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49A470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C7293">
              <w:rPr>
                <w:rFonts w:ascii="Times New Roman" w:hAnsi="Times New Roman" w:cs="Times New Roman"/>
                <w:b/>
                <w:color w:val="auto"/>
                <w:sz w:val="48"/>
              </w:rPr>
              <w:t>Clare Whiffen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E1395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C7293">
              <w:rPr>
                <w:rFonts w:ascii="Times New Roman" w:hAnsi="Times New Roman" w:cs="Times New Roman"/>
                <w:b/>
                <w:color w:val="auto"/>
                <w:sz w:val="48"/>
              </w:rPr>
              <w:t>Clare.Whiffen@btinternet.com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3910D46" w14:textId="1681085F" w:rsidR="003C7293" w:rsidRPr="005D3F07" w:rsidRDefault="003C729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2521747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DB03C25" w14:textId="77777777" w:rsidR="003C7293"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37930E83" w14:textId="77777777" w:rsidR="003C7293" w:rsidRDefault="003C7293" w:rsidP="00FF7EBB">
            <w:pPr>
              <w:jc w:val="both"/>
              <w:rPr>
                <w:sz w:val="24"/>
                <w:szCs w:val="24"/>
              </w:rPr>
            </w:pPr>
          </w:p>
          <w:p w14:paraId="06BD04DE" w14:textId="77777777" w:rsidR="003C7293" w:rsidRDefault="003C7293" w:rsidP="003C7293">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229CFA85" w14:textId="77777777" w:rsidR="003C7293" w:rsidRDefault="003C7293" w:rsidP="003C7293">
            <w:pPr>
              <w:jc w:val="both"/>
              <w:rPr>
                <w:sz w:val="24"/>
                <w:szCs w:val="24"/>
              </w:rPr>
            </w:pPr>
          </w:p>
          <w:p w14:paraId="6DB2FDBC" w14:textId="77777777" w:rsidR="003C7293" w:rsidRDefault="003C7293" w:rsidP="00FF7EBB">
            <w:pPr>
              <w:jc w:val="both"/>
              <w:rPr>
                <w:sz w:val="24"/>
                <w:szCs w:val="24"/>
              </w:rPr>
            </w:pPr>
          </w:p>
          <w:p w14:paraId="2F607284" w14:textId="77777777" w:rsidR="003C7293" w:rsidRDefault="003C7293" w:rsidP="00FF7EBB">
            <w:pPr>
              <w:jc w:val="both"/>
              <w:rPr>
                <w:sz w:val="24"/>
                <w:szCs w:val="24"/>
              </w:rPr>
            </w:pPr>
          </w:p>
          <w:p w14:paraId="2215EE33" w14:textId="77777777" w:rsidR="003C7293" w:rsidRPr="00CF6BF6" w:rsidRDefault="003C7293" w:rsidP="003C7293">
            <w:pPr>
              <w:rPr>
                <w:sz w:val="24"/>
                <w:szCs w:val="24"/>
              </w:rPr>
            </w:pPr>
            <w:r w:rsidRPr="00CF6BF6">
              <w:rPr>
                <w:sz w:val="24"/>
                <w:szCs w:val="24"/>
              </w:rPr>
              <w:t>Children's safeguarding in Wales is governed by a comprehensive legal framework and supported by both national and local procedures. The introduction of the Children Act 1989 placed statutory duties on local authorities to make enquiries where there is reasonable cause to suspect that a child is suffering, or is likely to suffer, significant harm through abuse or neglect. Section 47 outlines these duties and provides the legal basis for child safeguarding investigations. These responsibilities were strengthened by the Children Act 2004, with Section 28 placing duties on local authorities and partner agencies, to ensure that they safeguard and promote the welfare of children.</w:t>
            </w:r>
          </w:p>
          <w:p w14:paraId="3E5FCF81" w14:textId="77777777" w:rsidR="003C7293" w:rsidRPr="00881DD7" w:rsidRDefault="003C7293" w:rsidP="003C7293">
            <w:pPr>
              <w:rPr>
                <w:sz w:val="24"/>
                <w:szCs w:val="24"/>
              </w:rPr>
            </w:pPr>
            <w:r w:rsidRPr="00B477B3">
              <w:rPr>
                <w:sz w:val="24"/>
                <w:szCs w:val="24"/>
              </w:rPr>
              <w:t>The Social Services and Well-being (Wales) Act 2014 (SSWWBA) reflects wider human rights principles. Article 3 of the United Nations Convention on the Rights of the Child (1989) states that the child's best interests must be a primary consideration in all decisions affecting them. In addition, the Human Rights Act 1998</w:t>
            </w:r>
            <w:r w:rsidRPr="00881DD7">
              <w:rPr>
                <w:sz w:val="24"/>
                <w:szCs w:val="24"/>
              </w:rPr>
              <w:t xml:space="preserve"> protects children's fundamental rights and freedoms, ensuring that safeguarding interventions promote their welfare, dignity, and protection from harm.</w:t>
            </w:r>
          </w:p>
          <w:p w14:paraId="7CA84B72" w14:textId="77777777" w:rsidR="003C7293" w:rsidRPr="00CF6BF6" w:rsidRDefault="003C7293" w:rsidP="003C7293">
            <w:pPr>
              <w:rPr>
                <w:sz w:val="24"/>
                <w:szCs w:val="24"/>
              </w:rPr>
            </w:pPr>
            <w:r w:rsidRPr="00CF6BF6">
              <w:rPr>
                <w:sz w:val="24"/>
                <w:szCs w:val="24"/>
              </w:rPr>
              <w:t xml:space="preserve">Section 130 </w:t>
            </w:r>
            <w:r>
              <w:rPr>
                <w:sz w:val="24"/>
                <w:szCs w:val="24"/>
              </w:rPr>
              <w:t xml:space="preserve">of SSWWBA </w:t>
            </w:r>
            <w:r w:rsidRPr="00CF6BF6">
              <w:rPr>
                <w:sz w:val="24"/>
                <w:szCs w:val="24"/>
              </w:rPr>
              <w:t>highlights that safeguarding children is “everybody's responsibility” and requires relevant partners of the local authority to notify the authority if they have reasonable cause to suspect a child is at risk.  Part 7 of the SSWWBA provides the primary statutory framework for safeguarding in Wales. The Welsh Government</w:t>
            </w:r>
            <w:r>
              <w:rPr>
                <w:sz w:val="24"/>
                <w:szCs w:val="24"/>
              </w:rPr>
              <w:t>s</w:t>
            </w:r>
            <w:r w:rsidRPr="00CF6BF6">
              <w:rPr>
                <w:sz w:val="24"/>
                <w:szCs w:val="24"/>
              </w:rPr>
              <w:t xml:space="preserve"> national guidance</w:t>
            </w:r>
            <w:r>
              <w:rPr>
                <w:sz w:val="24"/>
                <w:szCs w:val="24"/>
              </w:rPr>
              <w:t xml:space="preserve"> “</w:t>
            </w:r>
            <w:r w:rsidRPr="00CF6BF6">
              <w:rPr>
                <w:sz w:val="24"/>
                <w:szCs w:val="24"/>
              </w:rPr>
              <w:t xml:space="preserve"> Working Together to Safeguard People: Volume 5 – Handling Individual Cases to Protect Children at Risk</w:t>
            </w:r>
            <w:r>
              <w:rPr>
                <w:sz w:val="24"/>
                <w:szCs w:val="24"/>
              </w:rPr>
              <w:t>”</w:t>
            </w:r>
            <w:r w:rsidRPr="00CF6BF6">
              <w:rPr>
                <w:sz w:val="24"/>
                <w:szCs w:val="24"/>
              </w:rPr>
              <w:t xml:space="preserve"> (</w:t>
            </w:r>
            <w:r>
              <w:rPr>
                <w:sz w:val="24"/>
                <w:szCs w:val="24"/>
              </w:rPr>
              <w:t>Welsh Government, 2018)</w:t>
            </w:r>
            <w:r w:rsidRPr="00CF6BF6">
              <w:rPr>
                <w:sz w:val="24"/>
                <w:szCs w:val="24"/>
              </w:rPr>
              <w:t xml:space="preserve"> emphasises the importance of multi-agency working and the need for clear roles, responsibilities, and effective information sharing. Although practitioners must remain mindful of data protection legislation, this should not prevent information sharing where</w:t>
            </w:r>
            <w:r>
              <w:rPr>
                <w:sz w:val="24"/>
                <w:szCs w:val="24"/>
              </w:rPr>
              <w:t xml:space="preserve"> this </w:t>
            </w:r>
            <w:r w:rsidRPr="00CF6BF6">
              <w:rPr>
                <w:sz w:val="24"/>
                <w:szCs w:val="24"/>
              </w:rPr>
              <w:t>is necessary to protect a child from harm. Information should be shared proportionately, appropriately, and in a timely manner when safeguarding concerns arise.</w:t>
            </w:r>
          </w:p>
          <w:p w14:paraId="5F634E78" w14:textId="77777777" w:rsidR="003C7293" w:rsidRPr="00CF6BF6" w:rsidRDefault="003C7293" w:rsidP="003C7293">
            <w:pPr>
              <w:rPr>
                <w:sz w:val="24"/>
                <w:szCs w:val="24"/>
              </w:rPr>
            </w:pPr>
            <w:r w:rsidRPr="00CF6BF6">
              <w:rPr>
                <w:sz w:val="24"/>
                <w:szCs w:val="24"/>
              </w:rPr>
              <w:lastRenderedPageBreak/>
              <w:t>The Wales Safeguarding Procedures 2019</w:t>
            </w:r>
            <w:r>
              <w:rPr>
                <w:sz w:val="24"/>
                <w:szCs w:val="24"/>
              </w:rPr>
              <w:t xml:space="preserve">(WSP)(Wales Safeguarding Procedures, 2019)  </w:t>
            </w:r>
            <w:r w:rsidRPr="00CF6BF6">
              <w:rPr>
                <w:sz w:val="24"/>
                <w:szCs w:val="24"/>
              </w:rPr>
              <w:t>help practitioners to apply the legislation and</w:t>
            </w:r>
            <w:r>
              <w:rPr>
                <w:sz w:val="24"/>
                <w:szCs w:val="24"/>
              </w:rPr>
              <w:t xml:space="preserve"> promote </w:t>
            </w:r>
            <w:r w:rsidRPr="00CF6BF6">
              <w:rPr>
                <w:sz w:val="24"/>
                <w:szCs w:val="24"/>
              </w:rPr>
              <w:t>consistency in safeguarding practice across Wales. Both the WSP and the SSWWBA place a strong emphasis on well-being, prevention, early intervention, and voice and control. A key aspect of safeguarding children is ensuring that their voice is heard.</w:t>
            </w:r>
            <w:r>
              <w:rPr>
                <w:sz w:val="24"/>
                <w:szCs w:val="24"/>
              </w:rPr>
              <w:t xml:space="preserve"> Practitioners should consider their age, maturity and level of understanding and communication needs.</w:t>
            </w:r>
            <w:r w:rsidRPr="00CF6BF6">
              <w:rPr>
                <w:sz w:val="24"/>
                <w:szCs w:val="24"/>
              </w:rPr>
              <w:t xml:space="preserve"> Children should be listened to, and their views should be considered when decisions affecting them are made.</w:t>
            </w:r>
            <w:r>
              <w:rPr>
                <w:sz w:val="24"/>
                <w:szCs w:val="24"/>
              </w:rPr>
              <w:t xml:space="preserve"> Wh</w:t>
            </w:r>
            <w:r w:rsidRPr="00CF6BF6">
              <w:rPr>
                <w:sz w:val="24"/>
                <w:szCs w:val="24"/>
              </w:rPr>
              <w:t>ile confidentiality should be respected wherever possible, it cannot always be guaranteed. Practitioners must ensure that children understand that information may need to be shared if safeguarding concerns are identified, as their safety must always remain the primary consideration.</w:t>
            </w:r>
          </w:p>
          <w:p w14:paraId="7FC64DBF" w14:textId="77777777" w:rsidR="003C7293" w:rsidRPr="00CF6BF6" w:rsidRDefault="003C7293" w:rsidP="003C7293">
            <w:pPr>
              <w:rPr>
                <w:sz w:val="24"/>
                <w:szCs w:val="24"/>
              </w:rPr>
            </w:pPr>
            <w:r w:rsidRPr="00CF6BF6">
              <w:rPr>
                <w:sz w:val="24"/>
                <w:szCs w:val="24"/>
              </w:rPr>
              <w:t>The SSWWBA highlights the importance of establishing safeguarding boards and outlines their responsibilities. The Safeguarding Boards (Functions and Procedures) (Wales) Regulations 2015</w:t>
            </w:r>
            <w:r>
              <w:rPr>
                <w:sz w:val="24"/>
                <w:szCs w:val="24"/>
              </w:rPr>
              <w:t xml:space="preserve"> </w:t>
            </w:r>
            <w:r w:rsidRPr="00CF6BF6">
              <w:rPr>
                <w:sz w:val="24"/>
                <w:szCs w:val="24"/>
              </w:rPr>
              <w:t xml:space="preserve">provide requirements regarding the operation of safeguarding boards and further strengthen safeguarding arrangements in Wales. </w:t>
            </w:r>
            <w:proofErr w:type="spellStart"/>
            <w:r>
              <w:rPr>
                <w:sz w:val="24"/>
                <w:szCs w:val="24"/>
              </w:rPr>
              <w:t>Cysur</w:t>
            </w:r>
            <w:proofErr w:type="spellEnd"/>
            <w:r>
              <w:rPr>
                <w:sz w:val="24"/>
                <w:szCs w:val="24"/>
              </w:rPr>
              <w:t xml:space="preserve"> (</w:t>
            </w:r>
            <w:proofErr w:type="spellStart"/>
            <w:r>
              <w:rPr>
                <w:sz w:val="24"/>
                <w:szCs w:val="24"/>
              </w:rPr>
              <w:t>Cysur</w:t>
            </w:r>
            <w:proofErr w:type="spellEnd"/>
            <w:r>
              <w:rPr>
                <w:sz w:val="24"/>
                <w:szCs w:val="24"/>
              </w:rPr>
              <w:t xml:space="preserve">, 2019) is the local </w:t>
            </w:r>
            <w:r w:rsidRPr="00CF6BF6">
              <w:rPr>
                <w:sz w:val="24"/>
                <w:szCs w:val="24"/>
              </w:rPr>
              <w:t>Safeguarding board</w:t>
            </w:r>
            <w:r>
              <w:rPr>
                <w:sz w:val="24"/>
                <w:szCs w:val="24"/>
              </w:rPr>
              <w:t xml:space="preserve"> and </w:t>
            </w:r>
            <w:r w:rsidRPr="00CF6BF6">
              <w:rPr>
                <w:sz w:val="24"/>
                <w:szCs w:val="24"/>
              </w:rPr>
              <w:t>oversee</w:t>
            </w:r>
            <w:r>
              <w:rPr>
                <w:sz w:val="24"/>
                <w:szCs w:val="24"/>
              </w:rPr>
              <w:t>s</w:t>
            </w:r>
            <w:r w:rsidRPr="00CF6BF6">
              <w:rPr>
                <w:sz w:val="24"/>
                <w:szCs w:val="24"/>
              </w:rPr>
              <w:t xml:space="preserve"> local child protection policies and procedures, provide advice and guidance, and commission Safeguarding Practice Reviews where appropriate. They are also responsible for monitoring whether recommendations arising from these reviews are effectively implemented</w:t>
            </w:r>
            <w:r>
              <w:rPr>
                <w:sz w:val="24"/>
                <w:szCs w:val="24"/>
              </w:rPr>
              <w:t xml:space="preserve"> and provide national and local guidance for practitioners.   </w:t>
            </w:r>
          </w:p>
          <w:p w14:paraId="75A197C3" w14:textId="77777777" w:rsidR="003C7293" w:rsidRPr="00CF6BF6" w:rsidRDefault="003C7293" w:rsidP="003C7293">
            <w:pPr>
              <w:rPr>
                <w:sz w:val="24"/>
                <w:szCs w:val="24"/>
              </w:rPr>
            </w:pPr>
          </w:p>
          <w:p w14:paraId="53480BF3" w14:textId="77777777" w:rsidR="003C7293" w:rsidRDefault="003C7293" w:rsidP="003C7293">
            <w:pPr>
              <w:rPr>
                <w:sz w:val="24"/>
                <w:szCs w:val="24"/>
              </w:rPr>
            </w:pPr>
          </w:p>
          <w:p w14:paraId="0DFF49B7" w14:textId="77777777" w:rsidR="003C7293" w:rsidRDefault="003C7293" w:rsidP="003C7293">
            <w:pPr>
              <w:rPr>
                <w:sz w:val="24"/>
                <w:szCs w:val="24"/>
              </w:rPr>
            </w:pPr>
            <w:r>
              <w:rPr>
                <w:sz w:val="24"/>
                <w:szCs w:val="24"/>
              </w:rPr>
              <w:t>WORD COUNT: 512</w:t>
            </w:r>
          </w:p>
          <w:p w14:paraId="15BB9C31" w14:textId="77777777" w:rsidR="003C7293" w:rsidRDefault="003C7293" w:rsidP="003C7293">
            <w:pPr>
              <w:rPr>
                <w:sz w:val="24"/>
                <w:szCs w:val="24"/>
              </w:rPr>
            </w:pPr>
            <w:r>
              <w:rPr>
                <w:sz w:val="24"/>
                <w:szCs w:val="24"/>
              </w:rPr>
              <w:t xml:space="preserve">      </w:t>
            </w:r>
          </w:p>
          <w:p w14:paraId="5963CBCE" w14:textId="77777777" w:rsidR="003C7293" w:rsidRDefault="003C7293" w:rsidP="003C7293">
            <w:pPr>
              <w:rPr>
                <w:sz w:val="24"/>
                <w:szCs w:val="24"/>
              </w:rPr>
            </w:pPr>
          </w:p>
          <w:p w14:paraId="648E8D07" w14:textId="77777777" w:rsidR="003C7293" w:rsidRDefault="003C7293" w:rsidP="003C7293">
            <w:pPr>
              <w:rPr>
                <w:sz w:val="24"/>
                <w:szCs w:val="24"/>
              </w:rPr>
            </w:pPr>
          </w:p>
          <w:p w14:paraId="17A49383" w14:textId="1D004B96"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3C7293">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2DAF821B" w14:textId="77777777" w:rsidR="003C7293" w:rsidRDefault="003C7293" w:rsidP="003C7293">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5125AECB" w14:textId="77777777" w:rsidR="003C7293" w:rsidRDefault="003C7293" w:rsidP="00FC0334">
            <w:pPr>
              <w:jc w:val="both"/>
              <w:rPr>
                <w:sz w:val="24"/>
                <w:szCs w:val="24"/>
              </w:rPr>
            </w:pPr>
          </w:p>
          <w:p w14:paraId="4CABE426" w14:textId="77777777" w:rsidR="00FC0334" w:rsidRDefault="00FC0334" w:rsidP="00FC0334">
            <w:pPr>
              <w:jc w:val="both"/>
              <w:rPr>
                <w:sz w:val="24"/>
                <w:szCs w:val="24"/>
              </w:rPr>
            </w:pPr>
          </w:p>
          <w:p w14:paraId="5B4E727F" w14:textId="77777777" w:rsidR="003C7293" w:rsidRDefault="003C7293" w:rsidP="00FC0334">
            <w:pPr>
              <w:jc w:val="both"/>
              <w:rPr>
                <w:sz w:val="24"/>
                <w:szCs w:val="24"/>
              </w:rPr>
            </w:pPr>
          </w:p>
          <w:p w14:paraId="617B12E4" w14:textId="77777777" w:rsidR="003C7293" w:rsidRPr="00033ABE" w:rsidRDefault="003C7293" w:rsidP="003C7293">
            <w:pPr>
              <w:rPr>
                <w:sz w:val="24"/>
                <w:szCs w:val="24"/>
              </w:rPr>
            </w:pPr>
            <w:r w:rsidRPr="00033ABE">
              <w:rPr>
                <w:sz w:val="24"/>
                <w:szCs w:val="24"/>
              </w:rPr>
              <w:lastRenderedPageBreak/>
              <w:t>Whilst both adult and children's safeguarding frameworks are designed to protect individuals from abuse, neglect, and harm, there are significant differences in their underlying principles and application.</w:t>
            </w:r>
          </w:p>
          <w:p w14:paraId="4990A179" w14:textId="77777777" w:rsidR="003C7293" w:rsidRPr="00033ABE" w:rsidRDefault="003C7293" w:rsidP="003C7293">
            <w:pPr>
              <w:rPr>
                <w:sz w:val="24"/>
                <w:szCs w:val="24"/>
              </w:rPr>
            </w:pPr>
            <w:r w:rsidRPr="00033ABE">
              <w:rPr>
                <w:sz w:val="24"/>
                <w:szCs w:val="24"/>
              </w:rPr>
              <w:t>It was not until the introduction of the Social Services and Well-being (Wales) Act 2014 (SSWWBA)</w:t>
            </w:r>
            <w:r>
              <w:rPr>
                <w:sz w:val="24"/>
                <w:szCs w:val="24"/>
              </w:rPr>
              <w:t xml:space="preserve"> </w:t>
            </w:r>
            <w:r w:rsidRPr="00033ABE">
              <w:rPr>
                <w:sz w:val="24"/>
                <w:szCs w:val="24"/>
              </w:rPr>
              <w:t>that adult safeguarding became more comparable to children's safeguarding. The Act strengthened the legal framework for protecting adults at risk and introduced duties to report and investigate safeguarding concerns.</w:t>
            </w:r>
            <w:r>
              <w:rPr>
                <w:sz w:val="24"/>
                <w:szCs w:val="24"/>
              </w:rPr>
              <w:t xml:space="preserve"> </w:t>
            </w:r>
            <w:r w:rsidRPr="00033ABE">
              <w:rPr>
                <w:sz w:val="24"/>
                <w:szCs w:val="24"/>
              </w:rPr>
              <w:t>A key distinction between adult and children's safeguarding is the balance between autonomy and protection.</w:t>
            </w:r>
            <w:r>
              <w:rPr>
                <w:sz w:val="24"/>
                <w:szCs w:val="24"/>
              </w:rPr>
              <w:t xml:space="preserve"> </w:t>
            </w:r>
            <w:r w:rsidRPr="00033ABE">
              <w:rPr>
                <w:sz w:val="24"/>
                <w:szCs w:val="24"/>
              </w:rPr>
              <w:t xml:space="preserve">Whilst the Children Act 1989 requires practitioners to ascertain and consider a child's wishes and feelings, professional intervention is not dependent upon the child's consent where there are concerns regarding their safety or welfare. Children's safeguarding is founded on the principle that children require protection from harm and cannot be expected to safeguard themselves. </w:t>
            </w:r>
          </w:p>
          <w:p w14:paraId="4C8F8755" w14:textId="77777777" w:rsidR="003C7293" w:rsidRPr="00033ABE" w:rsidRDefault="003C7293" w:rsidP="003C7293">
            <w:pPr>
              <w:rPr>
                <w:sz w:val="24"/>
                <w:szCs w:val="24"/>
              </w:rPr>
            </w:pPr>
            <w:r w:rsidRPr="00033ABE">
              <w:rPr>
                <w:sz w:val="24"/>
                <w:szCs w:val="24"/>
              </w:rPr>
              <w:t>In contrast, adult safeguarding must balance the duty to protect individuals from abuse and neglect with the principles of autonomy, choice, and self-determination. Adults with capacity retain the right to make decisions that others may regard as unwise. Therefore, where an adult has the mental capacity to make decisions regarding their circumstances, statutory agencies have limited powers to intervene against their wishes.</w:t>
            </w:r>
            <w:r>
              <w:rPr>
                <w:sz w:val="24"/>
                <w:szCs w:val="24"/>
              </w:rPr>
              <w:t xml:space="preserve"> </w:t>
            </w:r>
          </w:p>
          <w:p w14:paraId="3947A2B1" w14:textId="77777777" w:rsidR="003C7293" w:rsidRPr="00616FD2" w:rsidRDefault="003C7293" w:rsidP="003C7293">
            <w:pPr>
              <w:rPr>
                <w:sz w:val="24"/>
                <w:szCs w:val="24"/>
              </w:rPr>
            </w:pPr>
            <w:r w:rsidRPr="00033ABE">
              <w:rPr>
                <w:sz w:val="24"/>
                <w:szCs w:val="24"/>
              </w:rPr>
              <w:t>Where concerns arise regarding an adult's ability to make a particular decision, the Mental Capacity Act 2005 (MCA) provides the legal framework for assessing capacity. Practitioners must begin with the presumption that the individual has capacity and ensure that the five statutory principles of the Act have been considered before questioning an individual's decision-making ability. If there is reasonable belief that the person may lack capacity in relation to a specific decision, a capacity assessment can be undertaken.</w:t>
            </w:r>
            <w:r w:rsidRPr="00460F63">
              <w:rPr>
                <w:sz w:val="24"/>
                <w:szCs w:val="24"/>
              </w:rPr>
              <w:t xml:space="preserve"> If the assessment concludes that the adult lacks capacity to make decisions regarding the safeguarding concern, any subsequent actions must be undertaken in their best interests.</w:t>
            </w:r>
            <w:r w:rsidRPr="00616FD2">
              <w:rPr>
                <w:rFonts w:ascii="Segoe UI" w:hAnsi="Segoe UI" w:cs="Segoe UI"/>
                <w:color w:val="auto"/>
                <w:sz w:val="21"/>
                <w:szCs w:val="21"/>
              </w:rPr>
              <w:t xml:space="preserve"> </w:t>
            </w:r>
            <w:r w:rsidRPr="00616FD2">
              <w:rPr>
                <w:sz w:val="24"/>
                <w:szCs w:val="24"/>
              </w:rPr>
              <w:t xml:space="preserve">This may involve decisions by the local authority or Power of Attorney whilst </w:t>
            </w:r>
            <w:proofErr w:type="gramStart"/>
            <w:r w:rsidRPr="00616FD2">
              <w:rPr>
                <w:sz w:val="24"/>
                <w:szCs w:val="24"/>
              </w:rPr>
              <w:t>taking into account</w:t>
            </w:r>
            <w:proofErr w:type="gramEnd"/>
            <w:r w:rsidRPr="00616FD2">
              <w:rPr>
                <w:sz w:val="24"/>
                <w:szCs w:val="24"/>
              </w:rPr>
              <w:t xml:space="preserve"> the individual's current and past wishes.</w:t>
            </w:r>
          </w:p>
          <w:p w14:paraId="0C393FD6" w14:textId="77777777" w:rsidR="003C7293" w:rsidRPr="00460F63" w:rsidRDefault="003C7293" w:rsidP="003C7293">
            <w:pPr>
              <w:rPr>
                <w:sz w:val="24"/>
                <w:szCs w:val="24"/>
              </w:rPr>
            </w:pPr>
            <w:r w:rsidRPr="00460F63">
              <w:rPr>
                <w:sz w:val="24"/>
                <w:szCs w:val="24"/>
              </w:rPr>
              <w:t>Whilst the Mental Capacity Act 2005 does not apply to children under the age of 16, a child's ability to participate in decision-making may be assessed through the principle of Gillick competence, which recognises that some children may have sufficient maturity and understanding to make informed decisions (</w:t>
            </w:r>
            <w:r w:rsidRPr="00460F63">
              <w:rPr>
                <w:i/>
                <w:iCs/>
                <w:sz w:val="24"/>
                <w:szCs w:val="24"/>
              </w:rPr>
              <w:t>Gillick v West Norfolk and Wisbech Area Health Authority</w:t>
            </w:r>
            <w:r w:rsidRPr="00460F63">
              <w:rPr>
                <w:sz w:val="24"/>
                <w:szCs w:val="24"/>
              </w:rPr>
              <w:t>, 1986).</w:t>
            </w:r>
          </w:p>
          <w:p w14:paraId="0B52BEED" w14:textId="77777777" w:rsidR="003C7293" w:rsidRDefault="003C7293" w:rsidP="003C7293">
            <w:pPr>
              <w:rPr>
                <w:sz w:val="24"/>
                <w:szCs w:val="24"/>
              </w:rPr>
            </w:pPr>
            <w:r>
              <w:rPr>
                <w:sz w:val="24"/>
                <w:szCs w:val="24"/>
              </w:rPr>
              <w:t xml:space="preserve">To conclude </w:t>
            </w:r>
            <w:r w:rsidRPr="00033ABE">
              <w:rPr>
                <w:sz w:val="24"/>
                <w:szCs w:val="24"/>
              </w:rPr>
              <w:t xml:space="preserve">Welsh safeguarding guidance reinforces the principle that adults are generally best placed to determine their own wellbeing and make </w:t>
            </w:r>
            <w:r>
              <w:rPr>
                <w:sz w:val="24"/>
                <w:szCs w:val="24"/>
              </w:rPr>
              <w:t>their own de</w:t>
            </w:r>
            <w:r w:rsidRPr="00033ABE">
              <w:rPr>
                <w:sz w:val="24"/>
                <w:szCs w:val="24"/>
              </w:rPr>
              <w:t>cisions</w:t>
            </w:r>
            <w:r>
              <w:rPr>
                <w:sz w:val="24"/>
                <w:szCs w:val="24"/>
              </w:rPr>
              <w:t>. Th</w:t>
            </w:r>
            <w:r w:rsidRPr="00033ABE">
              <w:rPr>
                <w:sz w:val="24"/>
                <w:szCs w:val="24"/>
              </w:rPr>
              <w:t>is contrasts with children's safeguarding, where the primary focus remains the protection and promotion of the child's welfare, even where this may override the child's wishes.</w:t>
            </w:r>
          </w:p>
          <w:p w14:paraId="007336D6" w14:textId="77777777" w:rsidR="003C7293" w:rsidRDefault="003C7293" w:rsidP="003C7293">
            <w:pPr>
              <w:rPr>
                <w:sz w:val="24"/>
                <w:szCs w:val="24"/>
              </w:rPr>
            </w:pPr>
          </w:p>
          <w:p w14:paraId="5F0B4DB6" w14:textId="77777777" w:rsidR="003C7293" w:rsidRDefault="003C7293" w:rsidP="003C7293">
            <w:pPr>
              <w:rPr>
                <w:i/>
                <w:sz w:val="24"/>
                <w:szCs w:val="24"/>
              </w:rPr>
            </w:pPr>
            <w:r>
              <w:rPr>
                <w:sz w:val="24"/>
                <w:szCs w:val="24"/>
              </w:rPr>
              <w:t>WORD COUNT: 436</w:t>
            </w:r>
          </w:p>
          <w:p w14:paraId="4FB13222" w14:textId="77777777" w:rsidR="003C7293" w:rsidRDefault="003C7293" w:rsidP="003C7293">
            <w:pPr>
              <w:rPr>
                <w:sz w:val="24"/>
                <w:szCs w:val="24"/>
              </w:rPr>
            </w:pPr>
          </w:p>
          <w:p w14:paraId="5D24A281" w14:textId="77777777" w:rsidR="003C7293" w:rsidRDefault="003C7293"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3C7293">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4D1D7" w14:textId="77777777" w:rsidR="00F77D5B" w:rsidRDefault="00F77D5B">
      <w:r>
        <w:separator/>
      </w:r>
    </w:p>
  </w:endnote>
  <w:endnote w:type="continuationSeparator" w:id="0">
    <w:p w14:paraId="5D76588A" w14:textId="77777777" w:rsidR="00F77D5B" w:rsidRDefault="00F77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53664" w14:textId="77777777" w:rsidR="00F77D5B" w:rsidRDefault="00F77D5B">
      <w:r>
        <w:separator/>
      </w:r>
    </w:p>
  </w:footnote>
  <w:footnote w:type="continuationSeparator" w:id="0">
    <w:p w14:paraId="7F39C290" w14:textId="77777777" w:rsidR="00F77D5B" w:rsidRDefault="00F77D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293"/>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2F8B"/>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D5B"/>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Clare Whiffen</cp:lastModifiedBy>
  <cp:revision>2</cp:revision>
  <cp:lastPrinted>2020-02-11T19:20:00Z</cp:lastPrinted>
  <dcterms:created xsi:type="dcterms:W3CDTF">2026-10-02T12:25:00Z</dcterms:created>
  <dcterms:modified xsi:type="dcterms:W3CDTF">2026-10-02T12:25:00Z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