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5BC9D5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048EA">
              <w:rPr>
                <w:rFonts w:ascii="Times New Roman" w:hAnsi="Times New Roman" w:cs="Times New Roman"/>
                <w:b/>
                <w:color w:val="auto"/>
                <w:sz w:val="48"/>
              </w:rPr>
              <w:t xml:space="preserve">Sinead Jones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B0A78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048EA">
              <w:rPr>
                <w:rFonts w:ascii="Times New Roman" w:hAnsi="Times New Roman" w:cs="Times New Roman"/>
                <w:b/>
                <w:color w:val="auto"/>
                <w:sz w:val="48"/>
              </w:rPr>
              <w:t xml:space="preserve"> taniajones24@icloud.com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1D7CF08" w:rsidR="0085230E" w:rsidRPr="005D3F07" w:rsidRDefault="008048E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2116719</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7B3693" w:rsidRDefault="00337FEF" w:rsidP="00FF7EBB">
            <w:pPr>
              <w:jc w:val="both"/>
              <w:rPr>
                <w:sz w:val="24"/>
                <w:szCs w:val="24"/>
              </w:rPr>
            </w:pPr>
            <w:r w:rsidRPr="007B3693">
              <w:rPr>
                <w:sz w:val="24"/>
                <w:szCs w:val="24"/>
              </w:rPr>
              <w:t>Question</w:t>
            </w:r>
            <w:r w:rsidR="00FC0334" w:rsidRPr="007B3693">
              <w:rPr>
                <w:sz w:val="24"/>
                <w:szCs w:val="24"/>
              </w:rPr>
              <w:t xml:space="preserve"> a</w:t>
            </w:r>
            <w:r w:rsidR="007A628F" w:rsidRPr="007B3693">
              <w:rPr>
                <w:sz w:val="24"/>
                <w:szCs w:val="24"/>
              </w:rPr>
              <w:t>:</w:t>
            </w:r>
          </w:p>
          <w:p w14:paraId="604C4FD7" w14:textId="77777777" w:rsidR="008048EA" w:rsidRPr="007B3693" w:rsidRDefault="00BB7FD2" w:rsidP="00FF7EBB">
            <w:pPr>
              <w:jc w:val="both"/>
              <w:rPr>
                <w:sz w:val="24"/>
                <w:szCs w:val="24"/>
              </w:rPr>
            </w:pPr>
            <w:r w:rsidRPr="007B3693">
              <w:rPr>
                <w:sz w:val="24"/>
                <w:szCs w:val="24"/>
              </w:rPr>
              <w:t xml:space="preserve">In an area that is not your main focus of work (see guidance above), </w:t>
            </w:r>
            <w:r w:rsidR="0002440E" w:rsidRPr="007B3693">
              <w:rPr>
                <w:sz w:val="24"/>
                <w:szCs w:val="24"/>
              </w:rPr>
              <w:t>explain</w:t>
            </w:r>
            <w:r w:rsidR="008340BA" w:rsidRPr="007B3693">
              <w:rPr>
                <w:sz w:val="24"/>
                <w:szCs w:val="24"/>
              </w:rPr>
              <w:t xml:space="preserve"> </w:t>
            </w:r>
            <w:r w:rsidR="00DA22EC" w:rsidRPr="007B3693">
              <w:rPr>
                <w:sz w:val="24"/>
                <w:szCs w:val="24"/>
              </w:rPr>
              <w:t>the</w:t>
            </w:r>
            <w:r w:rsidR="005A545C" w:rsidRPr="007B3693">
              <w:rPr>
                <w:sz w:val="24"/>
                <w:szCs w:val="24"/>
              </w:rPr>
              <w:t xml:space="preserve"> relevant </w:t>
            </w:r>
            <w:r w:rsidRPr="007B3693">
              <w:rPr>
                <w:sz w:val="24"/>
                <w:szCs w:val="24"/>
              </w:rPr>
              <w:t xml:space="preserve">legislation, </w:t>
            </w:r>
            <w:r w:rsidR="0002440E" w:rsidRPr="007B3693">
              <w:rPr>
                <w:sz w:val="24"/>
                <w:szCs w:val="24"/>
              </w:rPr>
              <w:t>and</w:t>
            </w:r>
            <w:r w:rsidR="008340BA" w:rsidRPr="007B3693">
              <w:rPr>
                <w:sz w:val="24"/>
                <w:szCs w:val="24"/>
              </w:rPr>
              <w:t xml:space="preserve"> the </w:t>
            </w:r>
            <w:r w:rsidR="005A545C" w:rsidRPr="007B3693">
              <w:rPr>
                <w:sz w:val="24"/>
                <w:szCs w:val="24"/>
              </w:rPr>
              <w:t>national, local and organisational policies and procedures</w:t>
            </w:r>
            <w:r w:rsidRPr="007B3693">
              <w:rPr>
                <w:sz w:val="24"/>
                <w:szCs w:val="24"/>
              </w:rPr>
              <w:t xml:space="preserve"> for safeguarding.</w:t>
            </w:r>
          </w:p>
          <w:p w14:paraId="17A49383" w14:textId="08D1B845" w:rsidR="008B28E7" w:rsidRPr="007B3693" w:rsidRDefault="00BB7FD2" w:rsidP="00FF7EBB">
            <w:pPr>
              <w:jc w:val="both"/>
              <w:rPr>
                <w:i/>
                <w:sz w:val="24"/>
                <w:szCs w:val="24"/>
              </w:rPr>
            </w:pPr>
            <w:r w:rsidRPr="007B3693">
              <w:rPr>
                <w:sz w:val="24"/>
                <w:szCs w:val="24"/>
              </w:rPr>
              <w:t xml:space="preserve"> </w:t>
            </w:r>
            <w:r w:rsidR="008048EA" w:rsidRPr="007B3693">
              <w:rPr>
                <w:i/>
                <w:sz w:val="24"/>
                <w:szCs w:val="24"/>
              </w:rPr>
              <w:t>500 words (+/- 10%: include your actual word count at the end of each section).</w:t>
            </w:r>
          </w:p>
          <w:p w14:paraId="1FBBCFA0" w14:textId="77777777" w:rsidR="006108C9" w:rsidRPr="007B3693" w:rsidRDefault="006108C9" w:rsidP="00FF7EBB">
            <w:pPr>
              <w:jc w:val="both"/>
              <w:rPr>
                <w:sz w:val="24"/>
                <w:szCs w:val="24"/>
              </w:rPr>
            </w:pPr>
          </w:p>
          <w:p w14:paraId="3E60128D" w14:textId="77777777" w:rsidR="008048EA" w:rsidRPr="007B3693" w:rsidRDefault="008048EA" w:rsidP="008048EA">
            <w:pPr>
              <w:spacing w:line="360" w:lineRule="auto"/>
              <w:jc w:val="both"/>
              <w:rPr>
                <w:sz w:val="24"/>
                <w:szCs w:val="24"/>
              </w:rPr>
            </w:pPr>
            <w:r w:rsidRPr="007B3693">
              <w:rPr>
                <w:sz w:val="24"/>
                <w:szCs w:val="24"/>
              </w:rPr>
              <w:t>In Wales, safeguarding adults is governed by various legislation, national policies, local protocols, and organisational procedures aimed at protecting vulnerable adults from abuse, neglect, and harm. Understanding these frameworks is crucial for ensuring the safety and well-being of adults at risk.</w:t>
            </w:r>
          </w:p>
          <w:p w14:paraId="06B47D59" w14:textId="77777777" w:rsidR="008048EA" w:rsidRPr="007B3693" w:rsidRDefault="008048EA" w:rsidP="008048EA">
            <w:pPr>
              <w:spacing w:line="360" w:lineRule="auto"/>
              <w:jc w:val="both"/>
              <w:rPr>
                <w:sz w:val="24"/>
                <w:szCs w:val="24"/>
              </w:rPr>
            </w:pPr>
          </w:p>
          <w:p w14:paraId="553975CE" w14:textId="77777777" w:rsidR="008048EA" w:rsidRPr="007B3693" w:rsidRDefault="008048EA" w:rsidP="008048EA">
            <w:pPr>
              <w:spacing w:line="360" w:lineRule="auto"/>
              <w:jc w:val="both"/>
              <w:rPr>
                <w:sz w:val="24"/>
                <w:szCs w:val="24"/>
              </w:rPr>
            </w:pPr>
            <w:r w:rsidRPr="007B3693">
              <w:rPr>
                <w:sz w:val="24"/>
                <w:szCs w:val="24"/>
              </w:rPr>
              <w:t>The primary legislation in Wales concerning safeguarding adults is the Social Services and Well-being (Wales) Act 2014. This legislation emphasises the importance of promoting the well-being of individuals, including safeguarding those at risk of abuse or neglect. It sets out the responsibilities of local authorities and other agencies in safeguarding adults, including conducting inquiries and taking appropriate action in cases of abuse or neglect. Additionally, the Regulation and Inspection of Social Care (Wales) Act 2016 regulates social care services, including provisions for safeguarding adults. It requires service providers to meet certain standards of care and take measures to prevent abuse and neglect.</w:t>
            </w:r>
          </w:p>
          <w:p w14:paraId="18693BB3" w14:textId="77777777" w:rsidR="008048EA" w:rsidRPr="007B3693" w:rsidRDefault="008048EA" w:rsidP="008048EA">
            <w:pPr>
              <w:spacing w:line="360" w:lineRule="auto"/>
              <w:jc w:val="both"/>
              <w:rPr>
                <w:sz w:val="24"/>
                <w:szCs w:val="24"/>
              </w:rPr>
            </w:pPr>
          </w:p>
          <w:p w14:paraId="18241008" w14:textId="77777777" w:rsidR="008048EA" w:rsidRPr="007B3693" w:rsidRDefault="008048EA" w:rsidP="008048EA">
            <w:pPr>
              <w:spacing w:line="360" w:lineRule="auto"/>
              <w:jc w:val="both"/>
              <w:rPr>
                <w:sz w:val="24"/>
                <w:szCs w:val="24"/>
              </w:rPr>
            </w:pPr>
            <w:r w:rsidRPr="007B3693">
              <w:rPr>
                <w:sz w:val="24"/>
                <w:szCs w:val="24"/>
              </w:rPr>
              <w:t xml:space="preserve">The Welsh Government has developed national policies and guidance documents to support the implementation of safeguarding practices across Wales. The “Safeguarding Adults: Practice Guidance” provides comprehensive guidance on identifying, reporting, and responding to adult abuse and neglect. It outlines the roles and responsibilities of different </w:t>
            </w:r>
            <w:r w:rsidRPr="007B3693">
              <w:rPr>
                <w:sz w:val="24"/>
                <w:szCs w:val="24"/>
              </w:rPr>
              <w:lastRenderedPageBreak/>
              <w:t>agencies and emphasises the importance of collaboration and communication in safeguarding adults effectively.</w:t>
            </w:r>
          </w:p>
          <w:p w14:paraId="3A87B9C1" w14:textId="77777777" w:rsidR="008048EA" w:rsidRPr="007B3693" w:rsidRDefault="008048EA" w:rsidP="008048EA">
            <w:pPr>
              <w:spacing w:line="360" w:lineRule="auto"/>
              <w:jc w:val="both"/>
              <w:rPr>
                <w:sz w:val="24"/>
                <w:szCs w:val="24"/>
              </w:rPr>
            </w:pPr>
          </w:p>
          <w:p w14:paraId="03EDF975" w14:textId="5EB4A9AB" w:rsidR="008048EA" w:rsidRPr="007B3693" w:rsidRDefault="008048EA" w:rsidP="008048EA">
            <w:pPr>
              <w:spacing w:line="360" w:lineRule="auto"/>
              <w:jc w:val="both"/>
              <w:rPr>
                <w:sz w:val="24"/>
                <w:szCs w:val="24"/>
              </w:rPr>
            </w:pPr>
            <w:r w:rsidRPr="007B3693">
              <w:rPr>
                <w:sz w:val="24"/>
                <w:szCs w:val="24"/>
              </w:rPr>
              <w:t>Local authorities in Wales have developed their own safeguarding protocols in line with national legislation and guidance. These protocols outline the procedures for safeguarding adults within specific geographic areas and ensure consistency in practice across different agencies. They establish multi-agency safeguarding teams responsible for coordinating responses to safeguarding concerns and co</w:t>
            </w:r>
            <w:r w:rsidR="006401ED" w:rsidRPr="007B3693">
              <w:rPr>
                <w:sz w:val="24"/>
                <w:szCs w:val="24"/>
              </w:rPr>
              <w:t>nducting safeguarding inquiries, (McManus, M.A. and Boulton, L., 2020).</w:t>
            </w:r>
          </w:p>
          <w:p w14:paraId="5B87B6E6" w14:textId="77777777" w:rsidR="008048EA" w:rsidRPr="007B3693" w:rsidRDefault="008048EA" w:rsidP="008048EA">
            <w:pPr>
              <w:spacing w:line="360" w:lineRule="auto"/>
              <w:jc w:val="both"/>
              <w:rPr>
                <w:sz w:val="24"/>
                <w:szCs w:val="24"/>
              </w:rPr>
            </w:pPr>
          </w:p>
          <w:p w14:paraId="008074A5" w14:textId="615716A8" w:rsidR="008048EA" w:rsidRPr="007B3693" w:rsidRDefault="002B0364" w:rsidP="008048EA">
            <w:pPr>
              <w:spacing w:line="360" w:lineRule="auto"/>
              <w:jc w:val="both"/>
              <w:rPr>
                <w:sz w:val="24"/>
                <w:szCs w:val="24"/>
              </w:rPr>
            </w:pPr>
            <w:r w:rsidRPr="007B3693">
              <w:rPr>
                <w:sz w:val="24"/>
                <w:szCs w:val="24"/>
              </w:rPr>
              <w:t xml:space="preserve">According to </w:t>
            </w:r>
            <w:r w:rsidR="006401ED" w:rsidRPr="007B3693">
              <w:rPr>
                <w:sz w:val="24"/>
                <w:szCs w:val="24"/>
              </w:rPr>
              <w:t xml:space="preserve">(Wallcraft, J., 2012), </w:t>
            </w:r>
            <w:r w:rsidR="008048EA" w:rsidRPr="007B3693">
              <w:rPr>
                <w:sz w:val="24"/>
                <w:szCs w:val="24"/>
              </w:rPr>
              <w:t>Organisations providing services to adults in Wales, including health and social care providers, have their own safeguarding policies and procedures. These policies detail the steps staff should take to identify and respond to safeguarding concerns, including reporting procedures and measures to protect individuals from further harm. Organisational policies also address staff training requirements, supervision, and support mechanisms to ensure a robust safeguarding culture within the organisation.</w:t>
            </w:r>
          </w:p>
          <w:p w14:paraId="5B077E4F" w14:textId="77777777" w:rsidR="008048EA" w:rsidRPr="007B3693" w:rsidRDefault="008048EA" w:rsidP="008048EA">
            <w:pPr>
              <w:spacing w:line="360" w:lineRule="auto"/>
              <w:jc w:val="both"/>
              <w:rPr>
                <w:sz w:val="24"/>
                <w:szCs w:val="24"/>
              </w:rPr>
            </w:pPr>
          </w:p>
          <w:p w14:paraId="22D34A3C" w14:textId="41E74674" w:rsidR="008048EA" w:rsidRPr="007B3693" w:rsidRDefault="008048EA" w:rsidP="008048EA">
            <w:pPr>
              <w:spacing w:line="360" w:lineRule="auto"/>
              <w:jc w:val="both"/>
              <w:rPr>
                <w:sz w:val="24"/>
                <w:szCs w:val="24"/>
              </w:rPr>
            </w:pPr>
            <w:r w:rsidRPr="007B3693">
              <w:rPr>
                <w:sz w:val="24"/>
                <w:szCs w:val="24"/>
              </w:rPr>
              <w:t xml:space="preserve">Effective safeguarding relies on staff members being aware of their responsibilities and trained in recognising and responding to signs of abuse or neglect. In Wales, there are mandatory training requirements for staff working in social care and health settings, including </w:t>
            </w:r>
            <w:r w:rsidR="006401ED" w:rsidRPr="007B3693">
              <w:rPr>
                <w:sz w:val="24"/>
                <w:szCs w:val="24"/>
              </w:rPr>
              <w:t>training on safeguarding adults, (Hayes, L, et al., 2020).</w:t>
            </w:r>
            <w:r w:rsidRPr="007B3693">
              <w:rPr>
                <w:sz w:val="24"/>
                <w:szCs w:val="24"/>
              </w:rPr>
              <w:t xml:space="preserve"> Training programs cover topics such as types of abuse, legal frameworks, risk assessment, and communication skills.</w:t>
            </w:r>
          </w:p>
          <w:p w14:paraId="1ED39333" w14:textId="77777777" w:rsidR="008048EA" w:rsidRPr="007B3693" w:rsidRDefault="008048EA" w:rsidP="008048EA">
            <w:pPr>
              <w:spacing w:line="360" w:lineRule="auto"/>
              <w:jc w:val="both"/>
              <w:rPr>
                <w:sz w:val="24"/>
                <w:szCs w:val="24"/>
              </w:rPr>
            </w:pPr>
          </w:p>
          <w:p w14:paraId="0318E819" w14:textId="3CBA4794" w:rsidR="00FC0334" w:rsidRPr="007B3693" w:rsidRDefault="008048EA" w:rsidP="008048EA">
            <w:pPr>
              <w:spacing w:line="360" w:lineRule="auto"/>
              <w:jc w:val="both"/>
              <w:rPr>
                <w:sz w:val="24"/>
                <w:szCs w:val="24"/>
              </w:rPr>
            </w:pPr>
            <w:r w:rsidRPr="007B3693">
              <w:rPr>
                <w:sz w:val="24"/>
                <w:szCs w:val="24"/>
              </w:rPr>
              <w:t>In conclusion, safeguarding adults in Wales is governed by a complex framework of legislation, national policies, local protocols</w:t>
            </w:r>
            <w:r w:rsidR="006401ED" w:rsidRPr="007B3693">
              <w:rPr>
                <w:sz w:val="24"/>
                <w:szCs w:val="24"/>
              </w:rPr>
              <w:t>, and organisational procedures, (Donnelly, S. et al., 2017).</w:t>
            </w:r>
            <w:r w:rsidRPr="007B3693">
              <w:rPr>
                <w:sz w:val="24"/>
                <w:szCs w:val="24"/>
              </w:rPr>
              <w:t xml:space="preserve"> These frameworks aim to protect vulnerable adults from abuse and neglect by setting out clear responsibilities, procedures, and standards of practice for all agencies and organisations involved in providing care and support to adults at risk. Effective implementation of these safeguards requires collaboration, communication, and ongoing training and awareness-raising efforts across all l</w:t>
            </w:r>
            <w:r w:rsidR="006401ED" w:rsidRPr="007B3693">
              <w:rPr>
                <w:sz w:val="24"/>
                <w:szCs w:val="24"/>
              </w:rPr>
              <w:t>evels of the social care system, (Braye, S, et al., 2012).</w:t>
            </w:r>
          </w:p>
          <w:p w14:paraId="6D8CB8AF" w14:textId="77777777" w:rsidR="00FC0334" w:rsidRPr="007B3693" w:rsidRDefault="00FC0334" w:rsidP="00FF7EBB">
            <w:pPr>
              <w:jc w:val="both"/>
              <w:rPr>
                <w:sz w:val="24"/>
                <w:szCs w:val="24"/>
              </w:rPr>
            </w:pPr>
          </w:p>
          <w:p w14:paraId="4A95F4DB" w14:textId="3BA6A778" w:rsidR="00FC0334" w:rsidRPr="007B3693" w:rsidRDefault="007B3693" w:rsidP="00FF7EBB">
            <w:pPr>
              <w:jc w:val="both"/>
              <w:rPr>
                <w:sz w:val="24"/>
                <w:szCs w:val="24"/>
              </w:rPr>
            </w:pPr>
            <w:r>
              <w:rPr>
                <w:sz w:val="24"/>
                <w:szCs w:val="24"/>
              </w:rPr>
              <w:t>(Word Count 485</w:t>
            </w:r>
            <w:r w:rsidR="008048EA" w:rsidRPr="007B3693">
              <w:rPr>
                <w:sz w:val="24"/>
                <w:szCs w:val="24"/>
              </w:rPr>
              <w:t>)</w:t>
            </w:r>
          </w:p>
          <w:p w14:paraId="03BD6D93" w14:textId="2F9DB92E" w:rsidR="007A628F" w:rsidRPr="007B3693" w:rsidRDefault="007A628F" w:rsidP="008048EA">
            <w:pPr>
              <w:jc w:val="both"/>
              <w:rPr>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2DCD44C6"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r w:rsidR="008048EA">
              <w:rPr>
                <w:sz w:val="24"/>
                <w:szCs w:val="24"/>
              </w:rPr>
              <w:t>.</w:t>
            </w:r>
          </w:p>
          <w:p w14:paraId="36D42C0F" w14:textId="723A0999" w:rsidR="008048EA" w:rsidRPr="008048EA" w:rsidRDefault="008048EA" w:rsidP="00FC0334">
            <w:pPr>
              <w:jc w:val="both"/>
              <w:rPr>
                <w:i/>
                <w:sz w:val="24"/>
                <w:szCs w:val="24"/>
              </w:rPr>
            </w:pPr>
            <w:r w:rsidRPr="008048EA">
              <w:rPr>
                <w:i/>
                <w:sz w:val="24"/>
                <w:szCs w:val="24"/>
              </w:rPr>
              <w:t>400 words (+/- 10%: include your actual word count at the end of each section).</w:t>
            </w:r>
          </w:p>
          <w:p w14:paraId="02CF2474" w14:textId="0AE26C3C" w:rsidR="008048EA" w:rsidRPr="008048EA" w:rsidRDefault="008048EA" w:rsidP="008048EA">
            <w:pPr>
              <w:spacing w:line="360" w:lineRule="auto"/>
              <w:jc w:val="both"/>
              <w:rPr>
                <w:sz w:val="24"/>
                <w:szCs w:val="24"/>
              </w:rPr>
            </w:pPr>
          </w:p>
          <w:p w14:paraId="5FB6348E" w14:textId="77777777" w:rsidR="008048EA" w:rsidRPr="008048EA" w:rsidRDefault="008048EA" w:rsidP="008048EA">
            <w:pPr>
              <w:spacing w:line="360" w:lineRule="auto"/>
              <w:jc w:val="both"/>
              <w:rPr>
                <w:sz w:val="24"/>
                <w:szCs w:val="24"/>
              </w:rPr>
            </w:pPr>
            <w:r w:rsidRPr="008048EA">
              <w:rPr>
                <w:sz w:val="24"/>
                <w:szCs w:val="24"/>
              </w:rPr>
              <w:t>One key difference is the legal framework governing safeguarding for adults and children. In Wales, safeguarding adults is primarily governed by the Social Services and Well-being (Wales) Act 2014 and the Regulation and Inspection of Social Care (Wales) Act 2016. These laws outline the responsibilities of local authorities and other agencies in safeguarding adults, including conducting inquiries and taking action in cases of abuse or neglect. On the other hand, safeguarding children in Wales is primarily governed by the Social Services and Well-being (Wales) Act 2014, the Children Act 1989, and the Children Act 2004. These laws establish the legal duties of local authorities and other agencies to promote the welfare and safeguarding of children, including the duty to investigate concerns about a child’s welfare and take appropriate action to protect them.</w:t>
            </w:r>
          </w:p>
          <w:p w14:paraId="6C0B1130" w14:textId="77777777" w:rsidR="008048EA" w:rsidRPr="008048EA" w:rsidRDefault="008048EA" w:rsidP="008048EA">
            <w:pPr>
              <w:spacing w:line="360" w:lineRule="auto"/>
              <w:jc w:val="both"/>
              <w:rPr>
                <w:sz w:val="24"/>
                <w:szCs w:val="24"/>
              </w:rPr>
            </w:pPr>
          </w:p>
          <w:p w14:paraId="7F9F5AF7" w14:textId="2BDE9E74" w:rsidR="008048EA" w:rsidRPr="008048EA" w:rsidRDefault="007B3693" w:rsidP="008048EA">
            <w:pPr>
              <w:spacing w:line="360" w:lineRule="auto"/>
              <w:jc w:val="both"/>
              <w:rPr>
                <w:sz w:val="24"/>
                <w:szCs w:val="24"/>
              </w:rPr>
            </w:pPr>
            <w:r>
              <w:rPr>
                <w:sz w:val="24"/>
                <w:szCs w:val="24"/>
              </w:rPr>
              <w:t xml:space="preserve">Another </w:t>
            </w:r>
            <w:r w:rsidR="008048EA" w:rsidRPr="008048EA">
              <w:rPr>
                <w:sz w:val="24"/>
                <w:szCs w:val="24"/>
              </w:rPr>
              <w:t>difference is the nature of the risks and vulnerabilities faced by adults and children. While both groups may experience abuse, neglect, and exploitation, the factors contributing to these risks can vary significantly.</w:t>
            </w:r>
            <w:r w:rsidR="003F18EC">
              <w:rPr>
                <w:sz w:val="24"/>
                <w:szCs w:val="24"/>
              </w:rPr>
              <w:t xml:space="preserve"> </w:t>
            </w:r>
            <w:r w:rsidR="008048EA" w:rsidRPr="008048EA">
              <w:rPr>
                <w:sz w:val="24"/>
                <w:szCs w:val="24"/>
              </w:rPr>
              <w:t xml:space="preserve"> Adults may be at risk due to factors such as disability, mental illness, age-related vulnerabilities, or dependency on others for care and support. In contrast, children may be vulnerable due to their age, developmental stage, family circumstances, or exposure to parental substance misuse, domestic violence, or other adverse experiences. As a result, safeguarding interventions for adults and children may need to address different types </w:t>
            </w:r>
            <w:r w:rsidR="006401ED">
              <w:rPr>
                <w:sz w:val="24"/>
                <w:szCs w:val="24"/>
              </w:rPr>
              <w:t>of risks and protective factors.</w:t>
            </w:r>
          </w:p>
          <w:p w14:paraId="1F71B1BD" w14:textId="77777777" w:rsidR="008048EA" w:rsidRPr="008048EA" w:rsidRDefault="008048EA" w:rsidP="008048EA">
            <w:pPr>
              <w:spacing w:line="360" w:lineRule="auto"/>
              <w:jc w:val="both"/>
              <w:rPr>
                <w:sz w:val="24"/>
                <w:szCs w:val="24"/>
              </w:rPr>
            </w:pPr>
          </w:p>
          <w:p w14:paraId="67BC6AD0" w14:textId="7BFBD001" w:rsidR="008048EA" w:rsidRPr="008048EA" w:rsidRDefault="008048EA" w:rsidP="008048EA">
            <w:pPr>
              <w:spacing w:line="360" w:lineRule="auto"/>
              <w:jc w:val="both"/>
              <w:rPr>
                <w:sz w:val="24"/>
                <w:szCs w:val="24"/>
              </w:rPr>
            </w:pPr>
            <w:r w:rsidRPr="008048EA">
              <w:rPr>
                <w:sz w:val="24"/>
                <w:szCs w:val="24"/>
              </w:rPr>
              <w:t>Additionally, there are differences in the approach to safeguarding assessments and decision-making processes for adults and children. In adult safeguarding, the emphasis is often on promoting the autonomy and independence of the individual while ensur</w:t>
            </w:r>
            <w:r w:rsidR="008F21AA">
              <w:rPr>
                <w:sz w:val="24"/>
                <w:szCs w:val="24"/>
              </w:rPr>
              <w:t xml:space="preserve">ing their safety and well-being, </w:t>
            </w:r>
            <w:r w:rsidR="008F21AA">
              <w:t>(</w:t>
            </w:r>
            <w:r w:rsidR="008F21AA" w:rsidRPr="008F21AA">
              <w:rPr>
                <w:sz w:val="24"/>
                <w:szCs w:val="24"/>
              </w:rPr>
              <w:t>Williams, J., 2017</w:t>
            </w:r>
            <w:r w:rsidR="008F21AA">
              <w:rPr>
                <w:sz w:val="24"/>
                <w:szCs w:val="24"/>
              </w:rPr>
              <w:t>).</w:t>
            </w:r>
            <w:r w:rsidRPr="008048EA">
              <w:rPr>
                <w:sz w:val="24"/>
                <w:szCs w:val="24"/>
              </w:rPr>
              <w:t xml:space="preserve"> Assessments focus on understanding the individual’s </w:t>
            </w:r>
            <w:r w:rsidRPr="008048EA">
              <w:rPr>
                <w:sz w:val="24"/>
                <w:szCs w:val="24"/>
              </w:rPr>
              <w:lastRenderedPageBreak/>
              <w:t>strengths, preferences, and support needs, with interventions tailored to their specific circumstances. In contrast, safeguarding assessments for children may involve a more comprehensive exploration of family dynamics, parenting capacity, and the impact of wider environmental factors on the child’s we</w:t>
            </w:r>
            <w:r w:rsidR="007B3693">
              <w:rPr>
                <w:sz w:val="24"/>
                <w:szCs w:val="24"/>
              </w:rPr>
              <w:t>lfare. Decision-making</w:t>
            </w:r>
            <w:r w:rsidRPr="008048EA">
              <w:rPr>
                <w:sz w:val="24"/>
                <w:szCs w:val="24"/>
              </w:rPr>
              <w:t xml:space="preserve"> in child safeguarding may also involve a greater emphasis on the best interests of the child and the need for statutory intervention to protect them from harm.</w:t>
            </w:r>
            <w:r w:rsidR="008F21AA">
              <w:rPr>
                <w:sz w:val="24"/>
                <w:szCs w:val="24"/>
              </w:rPr>
              <w:t>(</w:t>
            </w:r>
            <w:r w:rsidR="008F21AA">
              <w:t xml:space="preserve"> </w:t>
            </w:r>
            <w:r w:rsidR="008F21AA">
              <w:rPr>
                <w:sz w:val="24"/>
                <w:szCs w:val="24"/>
              </w:rPr>
              <w:t>Cashmore, J. et al., 2023).</w:t>
            </w:r>
          </w:p>
          <w:p w14:paraId="425A8E85" w14:textId="77777777" w:rsidR="008048EA" w:rsidRPr="008048EA" w:rsidRDefault="008048EA" w:rsidP="008048EA">
            <w:pPr>
              <w:spacing w:line="360" w:lineRule="auto"/>
              <w:jc w:val="both"/>
              <w:rPr>
                <w:sz w:val="24"/>
                <w:szCs w:val="24"/>
              </w:rPr>
            </w:pPr>
          </w:p>
          <w:p w14:paraId="795C6051" w14:textId="2B7E71AB" w:rsidR="00FC0334" w:rsidRDefault="008048EA" w:rsidP="008048EA">
            <w:pPr>
              <w:spacing w:line="360" w:lineRule="auto"/>
              <w:jc w:val="both"/>
              <w:rPr>
                <w:sz w:val="24"/>
                <w:szCs w:val="24"/>
              </w:rPr>
            </w:pPr>
            <w:r w:rsidRPr="008048EA">
              <w:rPr>
                <w:sz w:val="24"/>
                <w:szCs w:val="24"/>
              </w:rPr>
              <w:t>Overall, while safeguarding is a shared priority in both adult and children’s social care in Wales, there are significant differences in the legal frameworks, risk factors, and approaches to assessment and interve</w:t>
            </w:r>
            <w:r w:rsidR="008F21AA">
              <w:rPr>
                <w:sz w:val="24"/>
                <w:szCs w:val="24"/>
              </w:rPr>
              <w:t>ntion for these two groups, (</w:t>
            </w:r>
            <w:r w:rsidR="008F21AA" w:rsidRPr="008F21AA">
              <w:rPr>
                <w:sz w:val="24"/>
                <w:szCs w:val="24"/>
              </w:rPr>
              <w:t>Alfandari, R</w:t>
            </w:r>
            <w:r w:rsidR="008F21AA">
              <w:rPr>
                <w:sz w:val="24"/>
                <w:szCs w:val="24"/>
              </w:rPr>
              <w:t>, et al., 2023).</w:t>
            </w:r>
            <w:r w:rsidRPr="008048EA">
              <w:rPr>
                <w:sz w:val="24"/>
                <w:szCs w:val="24"/>
              </w:rPr>
              <w:t xml:space="preserve"> Understanding these differences is essential for ensuring that safeguarding practices are tailored to the specific needs and vulnerabilities of adults and children in Wales.</w:t>
            </w:r>
          </w:p>
          <w:p w14:paraId="115D9D8C" w14:textId="3AED7AFF" w:rsidR="008048EA" w:rsidRDefault="008048EA" w:rsidP="008048EA">
            <w:pPr>
              <w:jc w:val="both"/>
              <w:rPr>
                <w:sz w:val="24"/>
                <w:szCs w:val="24"/>
              </w:rPr>
            </w:pPr>
          </w:p>
          <w:p w14:paraId="4394531E" w14:textId="0EF5582C" w:rsidR="008048EA" w:rsidRDefault="007B3693" w:rsidP="008048EA">
            <w:pPr>
              <w:jc w:val="both"/>
              <w:rPr>
                <w:sz w:val="24"/>
                <w:szCs w:val="24"/>
              </w:rPr>
            </w:pPr>
            <w:r>
              <w:rPr>
                <w:sz w:val="24"/>
                <w:szCs w:val="24"/>
              </w:rPr>
              <w:t>(Word Count 420</w:t>
            </w:r>
            <w:bookmarkStart w:id="0" w:name="_GoBack"/>
            <w:bookmarkEnd w:id="0"/>
            <w:r w:rsidR="008048EA">
              <w:rPr>
                <w:sz w:val="24"/>
                <w:szCs w:val="24"/>
              </w:rPr>
              <w:t>).</w:t>
            </w:r>
          </w:p>
          <w:p w14:paraId="67E7ED72" w14:textId="77777777" w:rsidR="00FC0334" w:rsidRDefault="00FC0334" w:rsidP="00FC0334">
            <w:pPr>
              <w:jc w:val="both"/>
              <w:rPr>
                <w:sz w:val="24"/>
                <w:szCs w:val="24"/>
              </w:rPr>
            </w:pPr>
          </w:p>
          <w:p w14:paraId="08760B3D" w14:textId="2BE64DF1" w:rsidR="00FC0334" w:rsidRPr="006108C9" w:rsidRDefault="00FC0334" w:rsidP="008048EA">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9F6C4" w14:textId="77777777" w:rsidR="009B08A1" w:rsidRDefault="009B08A1">
      <w:r>
        <w:separator/>
      </w:r>
    </w:p>
  </w:endnote>
  <w:endnote w:type="continuationSeparator" w:id="0">
    <w:p w14:paraId="540DEC12" w14:textId="77777777" w:rsidR="009B08A1" w:rsidRDefault="009B0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945043E" w:rsidR="00A5656A" w:rsidRDefault="00A5656A">
    <w:pPr>
      <w:pStyle w:val="Footer"/>
      <w:jc w:val="right"/>
    </w:pPr>
    <w:r>
      <w:fldChar w:fldCharType="begin"/>
    </w:r>
    <w:r>
      <w:instrText xml:space="preserve"> PAGE   \* MERGEFORMAT </w:instrText>
    </w:r>
    <w:r>
      <w:fldChar w:fldCharType="separate"/>
    </w:r>
    <w:r w:rsidR="007B3693">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D13AE" w14:textId="77777777" w:rsidR="009B08A1" w:rsidRDefault="009B08A1">
      <w:r>
        <w:separator/>
      </w:r>
    </w:p>
  </w:footnote>
  <w:footnote w:type="continuationSeparator" w:id="0">
    <w:p w14:paraId="605111E8" w14:textId="77777777" w:rsidR="009B08A1" w:rsidRDefault="009B08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139"/>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036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18EC"/>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01E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3693"/>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48E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21AA"/>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8A1"/>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2586E8C-3810-4FD9-AFBF-53002A26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1168</Words>
  <Characters>6662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Sinead Jones</cp:lastModifiedBy>
  <cp:revision>5</cp:revision>
  <cp:lastPrinted>2020-02-11T19:20:00Z</cp:lastPrinted>
  <dcterms:created xsi:type="dcterms:W3CDTF">2024-03-08T09:39:00Z</dcterms:created>
  <dcterms:modified xsi:type="dcterms:W3CDTF">2024-03-10T16:41:00Z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