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6E697A" w14:textId="68F09D27" w:rsidR="004E1065" w:rsidRDefault="004E1065" w:rsidP="0031126E">
      <w:pPr>
        <w:pStyle w:val="p1"/>
        <w:spacing w:line="360" w:lineRule="auto"/>
        <w:jc w:val="both"/>
        <w:rPr>
          <w:rStyle w:val="s1"/>
          <w:rFonts w:ascii="Arial" w:hAnsi="Arial"/>
          <w:b w:val="0"/>
          <w:bCs w:val="0"/>
          <w:sz w:val="22"/>
          <w:szCs w:val="22"/>
        </w:rPr>
      </w:pPr>
      <w:r>
        <w:rPr>
          <w:rStyle w:val="s1"/>
          <w:rFonts w:ascii="Arial" w:hAnsi="Arial"/>
          <w:b w:val="0"/>
          <w:bCs w:val="0"/>
          <w:sz w:val="22"/>
          <w:szCs w:val="22"/>
        </w:rPr>
        <w:t>Student Name: Alexandru-Lavi</w:t>
      </w:r>
      <w:r w:rsidR="005D5169">
        <w:rPr>
          <w:rStyle w:val="s1"/>
          <w:rFonts w:ascii="Arial" w:hAnsi="Arial"/>
          <w:b w:val="0"/>
          <w:bCs w:val="0"/>
          <w:sz w:val="22"/>
          <w:szCs w:val="22"/>
        </w:rPr>
        <w:t>nel</w:t>
      </w:r>
      <w:r>
        <w:rPr>
          <w:rStyle w:val="s1"/>
          <w:rFonts w:ascii="Arial" w:hAnsi="Arial"/>
          <w:b w:val="0"/>
          <w:bCs w:val="0"/>
          <w:sz w:val="22"/>
          <w:szCs w:val="22"/>
        </w:rPr>
        <w:t xml:space="preserve"> Gaiu</w:t>
      </w:r>
    </w:p>
    <w:p w14:paraId="4D5708B7" w14:textId="5E1735AE" w:rsidR="004E1065" w:rsidRDefault="004E1065" w:rsidP="0031126E">
      <w:pPr>
        <w:pStyle w:val="p1"/>
        <w:spacing w:line="360" w:lineRule="auto"/>
        <w:jc w:val="both"/>
        <w:rPr>
          <w:rStyle w:val="s1"/>
          <w:rFonts w:ascii="Arial" w:hAnsi="Arial"/>
          <w:b w:val="0"/>
          <w:bCs w:val="0"/>
          <w:sz w:val="22"/>
          <w:szCs w:val="22"/>
        </w:rPr>
      </w:pPr>
      <w:r>
        <w:rPr>
          <w:rStyle w:val="s1"/>
          <w:rFonts w:ascii="Arial" w:hAnsi="Arial"/>
          <w:b w:val="0"/>
          <w:bCs w:val="0"/>
          <w:sz w:val="22"/>
          <w:szCs w:val="22"/>
        </w:rPr>
        <w:t>Student Number: 2332587</w:t>
      </w:r>
    </w:p>
    <w:p w14:paraId="4C9DBBB0" w14:textId="7773A391" w:rsidR="004E1065" w:rsidRDefault="004E1065" w:rsidP="0031126E">
      <w:pPr>
        <w:pStyle w:val="p1"/>
        <w:spacing w:line="360" w:lineRule="auto"/>
        <w:jc w:val="both"/>
        <w:rPr>
          <w:rStyle w:val="s1"/>
          <w:rFonts w:ascii="Arial" w:hAnsi="Arial"/>
          <w:b w:val="0"/>
          <w:bCs w:val="0"/>
          <w:sz w:val="22"/>
          <w:szCs w:val="22"/>
        </w:rPr>
      </w:pPr>
      <w:r>
        <w:rPr>
          <w:rStyle w:val="s1"/>
          <w:rFonts w:ascii="Arial" w:hAnsi="Arial"/>
          <w:b w:val="0"/>
          <w:bCs w:val="0"/>
          <w:sz w:val="22"/>
          <w:szCs w:val="22"/>
        </w:rPr>
        <w:t>Module: Digital Transformation</w:t>
      </w:r>
      <w:r w:rsidR="00CA3EA8">
        <w:rPr>
          <w:rStyle w:val="s1"/>
          <w:rFonts w:ascii="Arial" w:hAnsi="Arial"/>
          <w:b w:val="0"/>
          <w:bCs w:val="0"/>
          <w:sz w:val="22"/>
          <w:szCs w:val="22"/>
        </w:rPr>
        <w:t xml:space="preserve"> in the Health and Care</w:t>
      </w:r>
    </w:p>
    <w:p w14:paraId="3D58853E" w14:textId="6DBB60D4" w:rsidR="004E1065" w:rsidRDefault="00AB2BB2" w:rsidP="0031126E">
      <w:pPr>
        <w:pStyle w:val="p1"/>
        <w:spacing w:line="360" w:lineRule="auto"/>
        <w:jc w:val="both"/>
        <w:rPr>
          <w:rStyle w:val="s1"/>
          <w:rFonts w:ascii="Arial" w:hAnsi="Arial"/>
          <w:b w:val="0"/>
          <w:bCs w:val="0"/>
          <w:sz w:val="22"/>
          <w:szCs w:val="22"/>
        </w:rPr>
      </w:pPr>
      <w:r>
        <w:rPr>
          <w:rStyle w:val="s1"/>
          <w:rFonts w:ascii="Arial" w:hAnsi="Arial"/>
          <w:b w:val="0"/>
          <w:bCs w:val="0"/>
          <w:sz w:val="22"/>
          <w:szCs w:val="22"/>
        </w:rPr>
        <w:t>Component 1: Report</w:t>
      </w:r>
    </w:p>
    <w:p w14:paraId="3A566C8B" w14:textId="066D8921" w:rsidR="00AB2BB2" w:rsidRDefault="00AB2BB2" w:rsidP="0031126E">
      <w:pPr>
        <w:pStyle w:val="p1"/>
        <w:spacing w:line="360" w:lineRule="auto"/>
        <w:jc w:val="both"/>
        <w:rPr>
          <w:rStyle w:val="s1"/>
          <w:rFonts w:ascii="Arial" w:hAnsi="Arial"/>
          <w:b w:val="0"/>
          <w:bCs w:val="0"/>
          <w:sz w:val="22"/>
          <w:szCs w:val="22"/>
        </w:rPr>
      </w:pPr>
      <w:r>
        <w:rPr>
          <w:rStyle w:val="s1"/>
          <w:rFonts w:ascii="Arial" w:hAnsi="Arial"/>
          <w:b w:val="0"/>
          <w:bCs w:val="0"/>
          <w:sz w:val="22"/>
          <w:szCs w:val="22"/>
        </w:rPr>
        <w:t>Lecturer Name: Zak</w:t>
      </w:r>
      <w:r w:rsidR="00A12411">
        <w:rPr>
          <w:rStyle w:val="s1"/>
          <w:rFonts w:ascii="Arial" w:hAnsi="Arial"/>
          <w:b w:val="0"/>
          <w:bCs w:val="0"/>
          <w:sz w:val="22"/>
          <w:szCs w:val="22"/>
        </w:rPr>
        <w:t>i</w:t>
      </w:r>
      <w:r>
        <w:rPr>
          <w:rStyle w:val="s1"/>
          <w:rFonts w:ascii="Arial" w:hAnsi="Arial"/>
          <w:b w:val="0"/>
          <w:bCs w:val="0"/>
          <w:sz w:val="22"/>
          <w:szCs w:val="22"/>
        </w:rPr>
        <w:t>y</w:t>
      </w:r>
      <w:r w:rsidR="00A12411">
        <w:rPr>
          <w:rStyle w:val="s1"/>
          <w:rFonts w:ascii="Arial" w:hAnsi="Arial"/>
          <w:b w:val="0"/>
          <w:bCs w:val="0"/>
          <w:sz w:val="22"/>
          <w:szCs w:val="22"/>
        </w:rPr>
        <w:t>y</w:t>
      </w:r>
      <w:r>
        <w:rPr>
          <w:rStyle w:val="s1"/>
          <w:rFonts w:ascii="Arial" w:hAnsi="Arial"/>
          <w:b w:val="0"/>
          <w:bCs w:val="0"/>
          <w:sz w:val="22"/>
          <w:szCs w:val="22"/>
        </w:rPr>
        <w:t>ah Ahmed</w:t>
      </w:r>
    </w:p>
    <w:p w14:paraId="34B91B94" w14:textId="09224EB2" w:rsidR="00AB6CEB" w:rsidRDefault="00AB6CEB" w:rsidP="0031126E">
      <w:pPr>
        <w:pStyle w:val="p1"/>
        <w:spacing w:line="360" w:lineRule="auto"/>
        <w:jc w:val="both"/>
        <w:rPr>
          <w:rStyle w:val="s1"/>
          <w:rFonts w:ascii="Arial" w:hAnsi="Arial"/>
          <w:b w:val="0"/>
          <w:bCs w:val="0"/>
          <w:sz w:val="22"/>
          <w:szCs w:val="22"/>
        </w:rPr>
      </w:pPr>
      <w:r>
        <w:rPr>
          <w:rStyle w:val="s1"/>
          <w:rFonts w:ascii="Arial" w:hAnsi="Arial"/>
          <w:b w:val="0"/>
          <w:bCs w:val="0"/>
          <w:sz w:val="22"/>
          <w:szCs w:val="22"/>
        </w:rPr>
        <w:t>Module Code: BMHP</w:t>
      </w:r>
      <w:r w:rsidR="00A12411">
        <w:rPr>
          <w:rStyle w:val="s1"/>
          <w:rFonts w:ascii="Arial" w:hAnsi="Arial"/>
          <w:b w:val="0"/>
          <w:bCs w:val="0"/>
          <w:sz w:val="22"/>
          <w:szCs w:val="22"/>
        </w:rPr>
        <w:t>6026</w:t>
      </w:r>
    </w:p>
    <w:p w14:paraId="3ED4F663" w14:textId="77777777" w:rsidR="004E1065" w:rsidRDefault="004E1065" w:rsidP="0031126E">
      <w:pPr>
        <w:pStyle w:val="p1"/>
        <w:spacing w:line="360" w:lineRule="auto"/>
        <w:jc w:val="both"/>
        <w:rPr>
          <w:rStyle w:val="s1"/>
          <w:rFonts w:ascii="Arial" w:hAnsi="Arial"/>
          <w:b w:val="0"/>
          <w:bCs w:val="0"/>
          <w:sz w:val="22"/>
          <w:szCs w:val="22"/>
        </w:rPr>
      </w:pPr>
    </w:p>
    <w:p w14:paraId="2AA836C2" w14:textId="77777777" w:rsidR="004E1065" w:rsidRDefault="004E1065" w:rsidP="0031126E">
      <w:pPr>
        <w:pStyle w:val="p1"/>
        <w:spacing w:line="360" w:lineRule="auto"/>
        <w:jc w:val="both"/>
        <w:rPr>
          <w:rStyle w:val="s1"/>
          <w:rFonts w:ascii="Arial" w:hAnsi="Arial"/>
          <w:b w:val="0"/>
          <w:bCs w:val="0"/>
          <w:sz w:val="22"/>
          <w:szCs w:val="22"/>
        </w:rPr>
      </w:pPr>
    </w:p>
    <w:p w14:paraId="26EADE07" w14:textId="77777777" w:rsidR="004E1065" w:rsidRDefault="004E1065" w:rsidP="0031126E">
      <w:pPr>
        <w:pStyle w:val="p1"/>
        <w:spacing w:line="360" w:lineRule="auto"/>
        <w:jc w:val="both"/>
        <w:rPr>
          <w:rStyle w:val="s1"/>
          <w:rFonts w:ascii="Arial" w:hAnsi="Arial"/>
          <w:b w:val="0"/>
          <w:bCs w:val="0"/>
          <w:sz w:val="22"/>
          <w:szCs w:val="22"/>
        </w:rPr>
      </w:pPr>
    </w:p>
    <w:p w14:paraId="11B4EA27" w14:textId="77777777" w:rsidR="004E1065" w:rsidRDefault="004E1065" w:rsidP="0031126E">
      <w:pPr>
        <w:pStyle w:val="p1"/>
        <w:spacing w:line="360" w:lineRule="auto"/>
        <w:jc w:val="both"/>
        <w:rPr>
          <w:rStyle w:val="s1"/>
          <w:rFonts w:ascii="Arial" w:hAnsi="Arial"/>
          <w:b w:val="0"/>
          <w:bCs w:val="0"/>
          <w:sz w:val="22"/>
          <w:szCs w:val="22"/>
        </w:rPr>
      </w:pPr>
    </w:p>
    <w:p w14:paraId="40D5D328" w14:textId="77777777" w:rsidR="004E1065" w:rsidRDefault="004E1065" w:rsidP="0031126E">
      <w:pPr>
        <w:pStyle w:val="p1"/>
        <w:spacing w:line="360" w:lineRule="auto"/>
        <w:jc w:val="both"/>
        <w:rPr>
          <w:rStyle w:val="s1"/>
          <w:rFonts w:ascii="Arial" w:hAnsi="Arial"/>
          <w:b w:val="0"/>
          <w:bCs w:val="0"/>
          <w:sz w:val="22"/>
          <w:szCs w:val="22"/>
        </w:rPr>
      </w:pPr>
    </w:p>
    <w:p w14:paraId="6BB93332" w14:textId="77777777" w:rsidR="004E1065" w:rsidRDefault="004E1065" w:rsidP="0031126E">
      <w:pPr>
        <w:pStyle w:val="p1"/>
        <w:spacing w:line="360" w:lineRule="auto"/>
        <w:jc w:val="both"/>
        <w:rPr>
          <w:rStyle w:val="s1"/>
          <w:rFonts w:ascii="Arial" w:hAnsi="Arial"/>
          <w:b w:val="0"/>
          <w:bCs w:val="0"/>
          <w:sz w:val="22"/>
          <w:szCs w:val="22"/>
        </w:rPr>
      </w:pPr>
    </w:p>
    <w:p w14:paraId="53F28B47" w14:textId="77777777" w:rsidR="004E1065" w:rsidRDefault="004E1065" w:rsidP="0031126E">
      <w:pPr>
        <w:pStyle w:val="p1"/>
        <w:spacing w:line="360" w:lineRule="auto"/>
        <w:jc w:val="both"/>
        <w:rPr>
          <w:rStyle w:val="s1"/>
          <w:rFonts w:ascii="Arial" w:hAnsi="Arial"/>
          <w:b w:val="0"/>
          <w:bCs w:val="0"/>
          <w:sz w:val="22"/>
          <w:szCs w:val="22"/>
        </w:rPr>
      </w:pPr>
    </w:p>
    <w:p w14:paraId="1F15BB58" w14:textId="77777777" w:rsidR="004E1065" w:rsidRDefault="004E1065" w:rsidP="0031126E">
      <w:pPr>
        <w:pStyle w:val="p1"/>
        <w:spacing w:line="360" w:lineRule="auto"/>
        <w:jc w:val="both"/>
        <w:rPr>
          <w:rStyle w:val="s1"/>
          <w:rFonts w:ascii="Arial" w:hAnsi="Arial"/>
          <w:b w:val="0"/>
          <w:bCs w:val="0"/>
          <w:sz w:val="22"/>
          <w:szCs w:val="22"/>
        </w:rPr>
      </w:pPr>
    </w:p>
    <w:p w14:paraId="4569F929" w14:textId="77777777" w:rsidR="004E1065" w:rsidRDefault="004E1065" w:rsidP="0031126E">
      <w:pPr>
        <w:pStyle w:val="p1"/>
        <w:spacing w:line="360" w:lineRule="auto"/>
        <w:jc w:val="both"/>
        <w:rPr>
          <w:rStyle w:val="s1"/>
          <w:rFonts w:ascii="Arial" w:hAnsi="Arial"/>
          <w:b w:val="0"/>
          <w:bCs w:val="0"/>
          <w:sz w:val="22"/>
          <w:szCs w:val="22"/>
        </w:rPr>
      </w:pPr>
    </w:p>
    <w:p w14:paraId="47765D57" w14:textId="77777777" w:rsidR="004E1065" w:rsidRDefault="004E1065" w:rsidP="0031126E">
      <w:pPr>
        <w:pStyle w:val="p1"/>
        <w:spacing w:line="360" w:lineRule="auto"/>
        <w:jc w:val="both"/>
        <w:rPr>
          <w:rStyle w:val="s1"/>
          <w:rFonts w:ascii="Arial" w:hAnsi="Arial"/>
          <w:b w:val="0"/>
          <w:bCs w:val="0"/>
          <w:sz w:val="22"/>
          <w:szCs w:val="22"/>
        </w:rPr>
      </w:pPr>
    </w:p>
    <w:p w14:paraId="2ACCDA3D" w14:textId="77777777" w:rsidR="004E1065" w:rsidRDefault="004E1065" w:rsidP="0031126E">
      <w:pPr>
        <w:pStyle w:val="p1"/>
        <w:spacing w:line="360" w:lineRule="auto"/>
        <w:jc w:val="both"/>
        <w:rPr>
          <w:rStyle w:val="s1"/>
          <w:rFonts w:ascii="Arial" w:hAnsi="Arial"/>
          <w:b w:val="0"/>
          <w:bCs w:val="0"/>
          <w:sz w:val="22"/>
          <w:szCs w:val="22"/>
        </w:rPr>
      </w:pPr>
    </w:p>
    <w:p w14:paraId="2F069588" w14:textId="77777777" w:rsidR="004E1065" w:rsidRDefault="004E1065" w:rsidP="0031126E">
      <w:pPr>
        <w:pStyle w:val="p1"/>
        <w:spacing w:line="360" w:lineRule="auto"/>
        <w:jc w:val="both"/>
        <w:rPr>
          <w:rStyle w:val="s1"/>
          <w:rFonts w:ascii="Arial" w:hAnsi="Arial"/>
          <w:b w:val="0"/>
          <w:bCs w:val="0"/>
          <w:sz w:val="22"/>
          <w:szCs w:val="22"/>
        </w:rPr>
      </w:pPr>
    </w:p>
    <w:p w14:paraId="58758A4A" w14:textId="77777777" w:rsidR="004E1065" w:rsidRDefault="004E1065" w:rsidP="0031126E">
      <w:pPr>
        <w:pStyle w:val="p1"/>
        <w:spacing w:line="360" w:lineRule="auto"/>
        <w:jc w:val="both"/>
        <w:rPr>
          <w:rStyle w:val="s1"/>
          <w:rFonts w:ascii="Arial" w:hAnsi="Arial"/>
          <w:b w:val="0"/>
          <w:bCs w:val="0"/>
          <w:sz w:val="22"/>
          <w:szCs w:val="22"/>
        </w:rPr>
      </w:pPr>
    </w:p>
    <w:p w14:paraId="34329786" w14:textId="77777777" w:rsidR="004E1065" w:rsidRDefault="004E1065" w:rsidP="0031126E">
      <w:pPr>
        <w:pStyle w:val="p1"/>
        <w:spacing w:line="360" w:lineRule="auto"/>
        <w:jc w:val="both"/>
        <w:rPr>
          <w:rStyle w:val="s1"/>
          <w:rFonts w:ascii="Arial" w:hAnsi="Arial"/>
          <w:b w:val="0"/>
          <w:bCs w:val="0"/>
          <w:sz w:val="22"/>
          <w:szCs w:val="22"/>
        </w:rPr>
      </w:pPr>
    </w:p>
    <w:p w14:paraId="55573F3E" w14:textId="77777777" w:rsidR="004E1065" w:rsidRDefault="004E1065" w:rsidP="0031126E">
      <w:pPr>
        <w:pStyle w:val="p1"/>
        <w:spacing w:line="360" w:lineRule="auto"/>
        <w:jc w:val="both"/>
        <w:rPr>
          <w:rStyle w:val="s1"/>
          <w:rFonts w:ascii="Arial" w:hAnsi="Arial"/>
          <w:b w:val="0"/>
          <w:bCs w:val="0"/>
          <w:sz w:val="22"/>
          <w:szCs w:val="22"/>
        </w:rPr>
      </w:pPr>
    </w:p>
    <w:p w14:paraId="26537A0A" w14:textId="77777777" w:rsidR="004E1065" w:rsidRDefault="004E1065" w:rsidP="0031126E">
      <w:pPr>
        <w:pStyle w:val="p1"/>
        <w:spacing w:line="360" w:lineRule="auto"/>
        <w:jc w:val="both"/>
        <w:rPr>
          <w:rStyle w:val="s1"/>
          <w:rFonts w:ascii="Arial" w:hAnsi="Arial"/>
          <w:b w:val="0"/>
          <w:bCs w:val="0"/>
          <w:sz w:val="22"/>
          <w:szCs w:val="22"/>
        </w:rPr>
      </w:pPr>
    </w:p>
    <w:p w14:paraId="4AF22320" w14:textId="77777777" w:rsidR="004E1065" w:rsidRDefault="004E1065" w:rsidP="0031126E">
      <w:pPr>
        <w:pStyle w:val="p1"/>
        <w:spacing w:line="360" w:lineRule="auto"/>
        <w:jc w:val="both"/>
        <w:rPr>
          <w:rStyle w:val="s1"/>
          <w:rFonts w:ascii="Arial" w:hAnsi="Arial"/>
          <w:b w:val="0"/>
          <w:bCs w:val="0"/>
          <w:sz w:val="22"/>
          <w:szCs w:val="22"/>
        </w:rPr>
      </w:pPr>
    </w:p>
    <w:p w14:paraId="498C80CC" w14:textId="77777777" w:rsidR="004E1065" w:rsidRDefault="004E1065" w:rsidP="0031126E">
      <w:pPr>
        <w:pStyle w:val="p1"/>
        <w:spacing w:line="360" w:lineRule="auto"/>
        <w:jc w:val="both"/>
        <w:rPr>
          <w:rStyle w:val="s1"/>
          <w:rFonts w:ascii="Arial" w:hAnsi="Arial"/>
          <w:b w:val="0"/>
          <w:bCs w:val="0"/>
          <w:sz w:val="22"/>
          <w:szCs w:val="22"/>
        </w:rPr>
      </w:pPr>
    </w:p>
    <w:p w14:paraId="655EDE4F" w14:textId="77777777" w:rsidR="004E1065" w:rsidRDefault="004E1065" w:rsidP="0031126E">
      <w:pPr>
        <w:pStyle w:val="p1"/>
        <w:spacing w:line="360" w:lineRule="auto"/>
        <w:jc w:val="both"/>
        <w:rPr>
          <w:rStyle w:val="s1"/>
          <w:rFonts w:ascii="Arial" w:hAnsi="Arial"/>
          <w:b w:val="0"/>
          <w:bCs w:val="0"/>
          <w:sz w:val="22"/>
          <w:szCs w:val="22"/>
        </w:rPr>
      </w:pPr>
    </w:p>
    <w:p w14:paraId="65198A13" w14:textId="77777777" w:rsidR="004E1065" w:rsidRDefault="004E1065" w:rsidP="0031126E">
      <w:pPr>
        <w:pStyle w:val="p1"/>
        <w:spacing w:line="360" w:lineRule="auto"/>
        <w:jc w:val="both"/>
        <w:rPr>
          <w:rStyle w:val="s1"/>
          <w:rFonts w:ascii="Arial" w:hAnsi="Arial"/>
          <w:b w:val="0"/>
          <w:bCs w:val="0"/>
          <w:sz w:val="22"/>
          <w:szCs w:val="22"/>
        </w:rPr>
      </w:pPr>
    </w:p>
    <w:p w14:paraId="76550D66" w14:textId="77777777" w:rsidR="004E1065" w:rsidRDefault="004E1065" w:rsidP="0031126E">
      <w:pPr>
        <w:pStyle w:val="p1"/>
        <w:spacing w:line="360" w:lineRule="auto"/>
        <w:jc w:val="both"/>
        <w:rPr>
          <w:rStyle w:val="s1"/>
          <w:rFonts w:ascii="Arial" w:hAnsi="Arial"/>
          <w:b w:val="0"/>
          <w:bCs w:val="0"/>
          <w:sz w:val="22"/>
          <w:szCs w:val="22"/>
        </w:rPr>
      </w:pPr>
    </w:p>
    <w:p w14:paraId="0D14F56B" w14:textId="77777777" w:rsidR="004E1065" w:rsidRDefault="004E1065" w:rsidP="0031126E">
      <w:pPr>
        <w:pStyle w:val="p1"/>
        <w:spacing w:line="360" w:lineRule="auto"/>
        <w:jc w:val="both"/>
        <w:rPr>
          <w:rStyle w:val="s1"/>
          <w:rFonts w:ascii="Arial" w:hAnsi="Arial"/>
          <w:b w:val="0"/>
          <w:bCs w:val="0"/>
          <w:sz w:val="22"/>
          <w:szCs w:val="22"/>
        </w:rPr>
      </w:pPr>
    </w:p>
    <w:p w14:paraId="412F77DC" w14:textId="77777777" w:rsidR="004E1065" w:rsidRDefault="004E1065" w:rsidP="0031126E">
      <w:pPr>
        <w:pStyle w:val="p1"/>
        <w:spacing w:line="360" w:lineRule="auto"/>
        <w:jc w:val="both"/>
        <w:rPr>
          <w:rStyle w:val="s1"/>
          <w:rFonts w:ascii="Arial" w:hAnsi="Arial"/>
          <w:b w:val="0"/>
          <w:bCs w:val="0"/>
          <w:sz w:val="22"/>
          <w:szCs w:val="22"/>
        </w:rPr>
      </w:pPr>
    </w:p>
    <w:p w14:paraId="4822BB76" w14:textId="77777777" w:rsidR="004E1065" w:rsidRDefault="004E1065" w:rsidP="0031126E">
      <w:pPr>
        <w:pStyle w:val="p1"/>
        <w:spacing w:line="360" w:lineRule="auto"/>
        <w:jc w:val="both"/>
        <w:rPr>
          <w:rStyle w:val="s1"/>
          <w:rFonts w:ascii="Arial" w:hAnsi="Arial"/>
          <w:b w:val="0"/>
          <w:bCs w:val="0"/>
          <w:sz w:val="22"/>
          <w:szCs w:val="22"/>
        </w:rPr>
      </w:pPr>
    </w:p>
    <w:p w14:paraId="4C02128F" w14:textId="77777777" w:rsidR="004E1065" w:rsidRDefault="004E1065" w:rsidP="0031126E">
      <w:pPr>
        <w:pStyle w:val="p1"/>
        <w:spacing w:line="360" w:lineRule="auto"/>
        <w:jc w:val="both"/>
        <w:rPr>
          <w:rStyle w:val="s1"/>
          <w:rFonts w:ascii="Arial" w:hAnsi="Arial"/>
          <w:b w:val="0"/>
          <w:bCs w:val="0"/>
          <w:sz w:val="22"/>
          <w:szCs w:val="22"/>
        </w:rPr>
      </w:pPr>
    </w:p>
    <w:p w14:paraId="32FE626E" w14:textId="77777777" w:rsidR="004E1065" w:rsidRDefault="004E1065" w:rsidP="0031126E">
      <w:pPr>
        <w:pStyle w:val="p1"/>
        <w:spacing w:line="360" w:lineRule="auto"/>
        <w:jc w:val="both"/>
        <w:rPr>
          <w:rStyle w:val="s1"/>
          <w:rFonts w:ascii="Arial" w:hAnsi="Arial"/>
          <w:b w:val="0"/>
          <w:bCs w:val="0"/>
          <w:sz w:val="22"/>
          <w:szCs w:val="22"/>
        </w:rPr>
      </w:pPr>
    </w:p>
    <w:p w14:paraId="45DC9944" w14:textId="77777777" w:rsidR="004E1065" w:rsidRDefault="004E1065" w:rsidP="0031126E">
      <w:pPr>
        <w:pStyle w:val="p1"/>
        <w:spacing w:line="360" w:lineRule="auto"/>
        <w:jc w:val="both"/>
        <w:rPr>
          <w:rStyle w:val="s1"/>
          <w:rFonts w:ascii="Arial" w:hAnsi="Arial"/>
          <w:b w:val="0"/>
          <w:bCs w:val="0"/>
          <w:sz w:val="22"/>
          <w:szCs w:val="22"/>
        </w:rPr>
      </w:pPr>
    </w:p>
    <w:p w14:paraId="3ACC78B0" w14:textId="77777777" w:rsidR="004E1065" w:rsidRDefault="004E1065" w:rsidP="0031126E">
      <w:pPr>
        <w:pStyle w:val="p1"/>
        <w:spacing w:line="360" w:lineRule="auto"/>
        <w:jc w:val="both"/>
        <w:rPr>
          <w:rStyle w:val="s1"/>
          <w:rFonts w:ascii="Arial" w:hAnsi="Arial"/>
          <w:b w:val="0"/>
          <w:bCs w:val="0"/>
          <w:sz w:val="22"/>
          <w:szCs w:val="22"/>
        </w:rPr>
      </w:pPr>
    </w:p>
    <w:p w14:paraId="715058FB" w14:textId="77777777" w:rsidR="004E1065" w:rsidRDefault="004E1065" w:rsidP="0031126E">
      <w:pPr>
        <w:pStyle w:val="p1"/>
        <w:spacing w:line="360" w:lineRule="auto"/>
        <w:jc w:val="both"/>
        <w:rPr>
          <w:rStyle w:val="s1"/>
          <w:rFonts w:ascii="Arial" w:hAnsi="Arial"/>
          <w:b w:val="0"/>
          <w:bCs w:val="0"/>
          <w:sz w:val="22"/>
          <w:szCs w:val="22"/>
        </w:rPr>
      </w:pPr>
    </w:p>
    <w:p w14:paraId="02159B1A" w14:textId="77777777" w:rsidR="004E1065" w:rsidRDefault="004E1065" w:rsidP="0031126E">
      <w:pPr>
        <w:pStyle w:val="p1"/>
        <w:spacing w:line="360" w:lineRule="auto"/>
        <w:jc w:val="both"/>
        <w:rPr>
          <w:rStyle w:val="s1"/>
          <w:rFonts w:ascii="Arial" w:hAnsi="Arial"/>
          <w:b w:val="0"/>
          <w:bCs w:val="0"/>
          <w:sz w:val="22"/>
          <w:szCs w:val="22"/>
        </w:rPr>
      </w:pPr>
    </w:p>
    <w:p w14:paraId="2107E79A" w14:textId="77777777" w:rsidR="004E1065" w:rsidRDefault="004E1065" w:rsidP="0031126E">
      <w:pPr>
        <w:pStyle w:val="p1"/>
        <w:spacing w:line="360" w:lineRule="auto"/>
        <w:jc w:val="both"/>
        <w:rPr>
          <w:rStyle w:val="s1"/>
          <w:rFonts w:ascii="Arial" w:hAnsi="Arial"/>
          <w:b w:val="0"/>
          <w:bCs w:val="0"/>
          <w:sz w:val="22"/>
          <w:szCs w:val="22"/>
        </w:rPr>
      </w:pPr>
    </w:p>
    <w:p w14:paraId="52756609" w14:textId="474CC753" w:rsidR="003B1D84" w:rsidRPr="00AB6CEB" w:rsidRDefault="003B1D84" w:rsidP="0031126E">
      <w:pPr>
        <w:pStyle w:val="p1"/>
        <w:spacing w:line="360" w:lineRule="auto"/>
        <w:jc w:val="both"/>
        <w:rPr>
          <w:rStyle w:val="s1"/>
          <w:rFonts w:ascii="Arial" w:hAnsi="Arial"/>
          <w:sz w:val="22"/>
          <w:szCs w:val="22"/>
        </w:rPr>
      </w:pPr>
      <w:r w:rsidRPr="00AB6CEB">
        <w:rPr>
          <w:rStyle w:val="s1"/>
          <w:rFonts w:ascii="Arial" w:hAnsi="Arial"/>
          <w:sz w:val="22"/>
          <w:szCs w:val="22"/>
        </w:rPr>
        <w:lastRenderedPageBreak/>
        <w:t>Introduction</w:t>
      </w:r>
    </w:p>
    <w:p w14:paraId="1B73A578" w14:textId="77777777" w:rsidR="00F86FDF" w:rsidRPr="0031126E" w:rsidRDefault="00F86FDF" w:rsidP="0031126E">
      <w:pPr>
        <w:pStyle w:val="p1"/>
        <w:spacing w:line="360" w:lineRule="auto"/>
        <w:jc w:val="both"/>
        <w:rPr>
          <w:rStyle w:val="s1"/>
          <w:rFonts w:ascii="Arial" w:hAnsi="Arial"/>
          <w:b w:val="0"/>
          <w:bCs w:val="0"/>
          <w:sz w:val="22"/>
          <w:szCs w:val="22"/>
        </w:rPr>
      </w:pPr>
    </w:p>
    <w:p w14:paraId="2A05256D" w14:textId="7D9121DE" w:rsidR="00F53A6A" w:rsidRPr="0031126E" w:rsidRDefault="00F53A6A" w:rsidP="0031126E">
      <w:pPr>
        <w:pStyle w:val="p1"/>
        <w:spacing w:line="360" w:lineRule="auto"/>
        <w:jc w:val="both"/>
        <w:rPr>
          <w:rStyle w:val="s1"/>
          <w:rFonts w:ascii="Arial" w:hAnsi="Arial"/>
          <w:b w:val="0"/>
          <w:bCs w:val="0"/>
          <w:sz w:val="22"/>
          <w:szCs w:val="22"/>
        </w:rPr>
      </w:pPr>
      <w:r w:rsidRPr="0031126E">
        <w:rPr>
          <w:rStyle w:val="s1"/>
          <w:rFonts w:ascii="Arial" w:hAnsi="Arial"/>
          <w:b w:val="0"/>
          <w:bCs w:val="0"/>
          <w:sz w:val="22"/>
          <w:szCs w:val="22"/>
        </w:rPr>
        <w:t>Skin cancer is one of the fastest rising cancers in the United Kingdom, with almost 17,500 new melanoma cases diagnosed annually, placing increasing pressure on NHS dermatology services through rising referral volumes, prolonged waiting times and workforce shortages (Cancer Research UK, 2024a; GIRFT, 2021; Venables et al., 2024; NHS England, 2022; Levell and Thomas, 2024). Early diagnosis is essential because five-year melanoma survival falls from almost 100% at stage</w:t>
      </w:r>
      <w:r w:rsidR="00647046" w:rsidRPr="0031126E">
        <w:rPr>
          <w:rStyle w:val="s1"/>
          <w:rFonts w:ascii="Arial" w:hAnsi="Arial"/>
          <w:b w:val="0"/>
          <w:bCs w:val="0"/>
          <w:sz w:val="22"/>
          <w:szCs w:val="22"/>
        </w:rPr>
        <w:t xml:space="preserve"> I </w:t>
      </w:r>
      <w:r w:rsidRPr="0031126E">
        <w:rPr>
          <w:rStyle w:val="s1"/>
          <w:rFonts w:ascii="Arial" w:hAnsi="Arial"/>
          <w:b w:val="0"/>
          <w:bCs w:val="0"/>
          <w:sz w:val="22"/>
          <w:szCs w:val="22"/>
        </w:rPr>
        <w:t xml:space="preserve">and 75% at stage III, making timely assessment fundamental to improving patient outcomes (Cancer Research UK, 2024b). Consequently, the NHS Long Term Plan, the Teledermatology Roadmap and the National Cancer Plan prioritise digital innovation to accelerate diagnosis, improve productivity and create more sustainable cancer services (NHS England, 2019; NHS England, 2022; </w:t>
      </w:r>
      <w:r w:rsidR="00717668">
        <w:rPr>
          <w:rStyle w:val="s1"/>
          <w:rFonts w:ascii="Arial" w:hAnsi="Arial"/>
          <w:b w:val="0"/>
          <w:bCs w:val="0"/>
          <w:sz w:val="22"/>
          <w:szCs w:val="22"/>
        </w:rPr>
        <w:t>DHSC</w:t>
      </w:r>
      <w:r w:rsidRPr="0031126E">
        <w:rPr>
          <w:rStyle w:val="s1"/>
          <w:rFonts w:ascii="Arial" w:hAnsi="Arial"/>
          <w:b w:val="0"/>
          <w:bCs w:val="0"/>
          <w:sz w:val="22"/>
          <w:szCs w:val="22"/>
        </w:rPr>
        <w:t>, 2026; NICE, 2026).</w:t>
      </w:r>
    </w:p>
    <w:p w14:paraId="2279901B" w14:textId="77777777" w:rsidR="00F53A6A" w:rsidRPr="0031126E" w:rsidRDefault="00F53A6A" w:rsidP="0031126E">
      <w:pPr>
        <w:pStyle w:val="p1"/>
        <w:spacing w:line="360" w:lineRule="auto"/>
        <w:jc w:val="both"/>
        <w:rPr>
          <w:rStyle w:val="s1"/>
          <w:rFonts w:ascii="Arial" w:hAnsi="Arial"/>
          <w:b w:val="0"/>
          <w:bCs w:val="0"/>
          <w:sz w:val="22"/>
          <w:szCs w:val="22"/>
        </w:rPr>
      </w:pPr>
    </w:p>
    <w:p w14:paraId="2C9A168E" w14:textId="362D3619" w:rsidR="00F53A6A" w:rsidRPr="0031126E" w:rsidRDefault="00F53A6A" w:rsidP="0031126E">
      <w:pPr>
        <w:pStyle w:val="p1"/>
        <w:spacing w:line="360" w:lineRule="auto"/>
        <w:jc w:val="both"/>
        <w:rPr>
          <w:rStyle w:val="s1"/>
          <w:rFonts w:ascii="Arial" w:hAnsi="Arial"/>
          <w:b w:val="0"/>
          <w:bCs w:val="0"/>
          <w:sz w:val="22"/>
          <w:szCs w:val="22"/>
        </w:rPr>
      </w:pPr>
      <w:r w:rsidRPr="0031126E">
        <w:rPr>
          <w:rStyle w:val="s1"/>
          <w:rFonts w:ascii="Arial" w:hAnsi="Arial"/>
          <w:b w:val="0"/>
          <w:bCs w:val="0"/>
          <w:sz w:val="22"/>
          <w:szCs w:val="22"/>
        </w:rPr>
        <w:t xml:space="preserve">Responding to these challenges, </w:t>
      </w:r>
      <w:r w:rsidR="0030749B">
        <w:rPr>
          <w:rStyle w:val="s1"/>
          <w:rFonts w:ascii="Arial" w:hAnsi="Arial"/>
          <w:b w:val="0"/>
          <w:bCs w:val="0"/>
          <w:sz w:val="22"/>
          <w:szCs w:val="22"/>
        </w:rPr>
        <w:t>Skin Analytics (SA)</w:t>
      </w:r>
      <w:r w:rsidRPr="0031126E">
        <w:rPr>
          <w:rStyle w:val="s1"/>
          <w:rFonts w:ascii="Arial" w:hAnsi="Arial"/>
          <w:b w:val="0"/>
          <w:bCs w:val="0"/>
          <w:sz w:val="22"/>
          <w:szCs w:val="22"/>
        </w:rPr>
        <w:t xml:space="preserve"> developed DERM, the only autonomous AI medical device conditionally recommended by NICE for the urgent suspected skin cancer pathway (NICE, 202</w:t>
      </w:r>
      <w:r w:rsidR="00A158B1">
        <w:rPr>
          <w:rStyle w:val="s1"/>
          <w:rFonts w:ascii="Arial" w:hAnsi="Arial"/>
          <w:b w:val="0"/>
          <w:bCs w:val="0"/>
          <w:sz w:val="22"/>
          <w:szCs w:val="22"/>
        </w:rPr>
        <w:t>6</w:t>
      </w:r>
      <w:r w:rsidRPr="0031126E">
        <w:rPr>
          <w:rStyle w:val="s1"/>
          <w:rFonts w:ascii="Arial" w:hAnsi="Arial"/>
          <w:b w:val="0"/>
          <w:bCs w:val="0"/>
          <w:sz w:val="22"/>
          <w:szCs w:val="22"/>
        </w:rPr>
        <w:t>; Thomas et al., 2023; Marsden et al., 2024; Walton et al., 2026). While DERM has demonstrated promising diagnostic performance, successful implementation depends equally on organisational readiness, workforce capability, governance, digital infrastructure and public trust, reflecting wider barriers to NHS digital transformation (Asthana, Jones and Sheaff, 2019; Pope et al., 2024; Hoogenboom et al., 2025).</w:t>
      </w:r>
    </w:p>
    <w:p w14:paraId="2E6008A6" w14:textId="77777777" w:rsidR="00F53A6A" w:rsidRPr="0031126E" w:rsidRDefault="00F53A6A" w:rsidP="0031126E">
      <w:pPr>
        <w:pStyle w:val="p1"/>
        <w:spacing w:line="360" w:lineRule="auto"/>
        <w:jc w:val="both"/>
        <w:rPr>
          <w:rStyle w:val="s1"/>
          <w:rFonts w:ascii="Arial" w:hAnsi="Arial"/>
          <w:b w:val="0"/>
          <w:bCs w:val="0"/>
          <w:sz w:val="22"/>
          <w:szCs w:val="22"/>
        </w:rPr>
      </w:pPr>
    </w:p>
    <w:p w14:paraId="67B71002" w14:textId="0507999D" w:rsidR="00244A57" w:rsidRPr="0031126E" w:rsidRDefault="00F53A6A" w:rsidP="0031126E">
      <w:pPr>
        <w:pStyle w:val="p1"/>
        <w:spacing w:line="360" w:lineRule="auto"/>
        <w:jc w:val="both"/>
        <w:rPr>
          <w:rStyle w:val="s1"/>
          <w:rFonts w:ascii="Arial" w:hAnsi="Arial"/>
          <w:b w:val="0"/>
          <w:bCs w:val="0"/>
          <w:sz w:val="22"/>
          <w:szCs w:val="22"/>
        </w:rPr>
      </w:pPr>
      <w:r w:rsidRPr="0031126E">
        <w:rPr>
          <w:rStyle w:val="s1"/>
          <w:rFonts w:ascii="Arial" w:hAnsi="Arial"/>
          <w:b w:val="0"/>
          <w:bCs w:val="0"/>
          <w:sz w:val="22"/>
          <w:szCs w:val="22"/>
        </w:rPr>
        <w:t>Using a chronological and evaluative approach, this report examines the development and implementation of DERM before critically evaluating its impact on the healthcare workforce, service delivery, patient experience and the wider community. Evaluation is informed by the Non-adoption, Abandonment, Scale-up, Spread and Sustainability (NASSS) framework, enabling critical consideration of the technological, organisational and system-level factors influencing long-term adoption and sustainability (Greenhalgh et al., 2017).</w:t>
      </w:r>
    </w:p>
    <w:p w14:paraId="45938124" w14:textId="77777777" w:rsidR="00E22A18" w:rsidRPr="0031126E" w:rsidRDefault="00E22A18" w:rsidP="0031126E">
      <w:pPr>
        <w:pStyle w:val="p1"/>
        <w:spacing w:line="360" w:lineRule="auto"/>
        <w:jc w:val="both"/>
        <w:rPr>
          <w:rStyle w:val="s1"/>
          <w:rFonts w:ascii="Arial" w:hAnsi="Arial"/>
          <w:b w:val="0"/>
          <w:bCs w:val="0"/>
          <w:sz w:val="22"/>
          <w:szCs w:val="22"/>
        </w:rPr>
      </w:pPr>
    </w:p>
    <w:p w14:paraId="6F093695" w14:textId="77777777" w:rsidR="00BD48AD" w:rsidRPr="00F45589" w:rsidRDefault="00BD48AD" w:rsidP="0031126E">
      <w:pPr>
        <w:pStyle w:val="p1"/>
        <w:spacing w:line="360" w:lineRule="auto"/>
        <w:jc w:val="both"/>
        <w:rPr>
          <w:rStyle w:val="s1"/>
          <w:rFonts w:ascii="Arial" w:hAnsi="Arial"/>
          <w:sz w:val="22"/>
          <w:szCs w:val="22"/>
        </w:rPr>
      </w:pPr>
    </w:p>
    <w:p w14:paraId="7613EB94" w14:textId="0D3B0686" w:rsidR="00BD48AD" w:rsidRPr="00F45589" w:rsidRDefault="001E093E" w:rsidP="0031126E">
      <w:pPr>
        <w:pStyle w:val="p1"/>
        <w:spacing w:line="360" w:lineRule="auto"/>
        <w:jc w:val="both"/>
        <w:rPr>
          <w:rStyle w:val="s1"/>
          <w:rFonts w:ascii="Arial" w:hAnsi="Arial"/>
          <w:sz w:val="22"/>
          <w:szCs w:val="22"/>
        </w:rPr>
      </w:pPr>
      <w:r w:rsidRPr="00F45589">
        <w:rPr>
          <w:rStyle w:val="s1"/>
          <w:rFonts w:ascii="Arial" w:hAnsi="Arial"/>
          <w:sz w:val="22"/>
          <w:szCs w:val="22"/>
        </w:rPr>
        <w:t>Development and Implementation of the Digital Innovation</w:t>
      </w:r>
    </w:p>
    <w:p w14:paraId="74EE0EC4" w14:textId="77777777" w:rsidR="00244A57" w:rsidRPr="0031126E" w:rsidRDefault="00244A57" w:rsidP="0031126E">
      <w:pPr>
        <w:pStyle w:val="p1"/>
        <w:spacing w:line="360" w:lineRule="auto"/>
        <w:jc w:val="both"/>
        <w:rPr>
          <w:rStyle w:val="s1"/>
          <w:rFonts w:ascii="Arial" w:hAnsi="Arial"/>
          <w:b w:val="0"/>
          <w:bCs w:val="0"/>
          <w:sz w:val="22"/>
          <w:szCs w:val="22"/>
        </w:rPr>
      </w:pPr>
    </w:p>
    <w:p w14:paraId="41BACC7B" w14:textId="559B8099" w:rsidR="00244A57" w:rsidRPr="0031126E" w:rsidRDefault="006E44C6" w:rsidP="0031126E">
      <w:pPr>
        <w:pStyle w:val="p1"/>
        <w:spacing w:line="360" w:lineRule="auto"/>
        <w:jc w:val="both"/>
        <w:rPr>
          <w:rStyle w:val="s1"/>
          <w:rFonts w:ascii="Arial" w:hAnsi="Arial"/>
          <w:b w:val="0"/>
          <w:bCs w:val="0"/>
          <w:sz w:val="22"/>
          <w:szCs w:val="22"/>
        </w:rPr>
      </w:pPr>
      <w:r w:rsidRPr="0031126E">
        <w:rPr>
          <w:rStyle w:val="s1"/>
          <w:rFonts w:ascii="Arial" w:hAnsi="Arial"/>
          <w:b w:val="0"/>
          <w:bCs w:val="0"/>
          <w:sz w:val="22"/>
          <w:szCs w:val="22"/>
        </w:rPr>
        <w:t>DERM was approved by the MHRA</w:t>
      </w:r>
      <w:r w:rsidR="00B5021C" w:rsidRPr="0031126E">
        <w:rPr>
          <w:rStyle w:val="s1"/>
          <w:rFonts w:ascii="Arial" w:hAnsi="Arial"/>
          <w:b w:val="0"/>
          <w:bCs w:val="0"/>
          <w:sz w:val="22"/>
          <w:szCs w:val="22"/>
        </w:rPr>
        <w:t xml:space="preserve"> amd recommended by NICE</w:t>
      </w:r>
      <w:r w:rsidRPr="0031126E">
        <w:rPr>
          <w:rStyle w:val="s1"/>
          <w:rFonts w:ascii="Arial" w:hAnsi="Arial"/>
          <w:b w:val="0"/>
          <w:bCs w:val="0"/>
          <w:sz w:val="22"/>
          <w:szCs w:val="22"/>
        </w:rPr>
        <w:t xml:space="preserve"> in response to increasing skin cancer incidence, rising urgent suspected cancer referrals, workforce shortages and prolonged waiting times within NHS dermatology services (Cancer Research UK, 2024a; GIRFT, 2021; NHS England, 2022; </w:t>
      </w:r>
      <w:r w:rsidR="00717668">
        <w:rPr>
          <w:rStyle w:val="s1"/>
          <w:rFonts w:ascii="Arial" w:hAnsi="Arial"/>
          <w:b w:val="0"/>
          <w:bCs w:val="0"/>
          <w:sz w:val="22"/>
          <w:szCs w:val="22"/>
        </w:rPr>
        <w:t>DHSC</w:t>
      </w:r>
      <w:r w:rsidRPr="0031126E">
        <w:rPr>
          <w:rStyle w:val="s1"/>
          <w:rFonts w:ascii="Arial" w:hAnsi="Arial"/>
          <w:b w:val="0"/>
          <w:bCs w:val="0"/>
          <w:sz w:val="22"/>
          <w:szCs w:val="22"/>
        </w:rPr>
        <w:t>, 2026; MHRA, 2024</w:t>
      </w:r>
      <w:r w:rsidR="00CB408D" w:rsidRPr="0031126E">
        <w:rPr>
          <w:rStyle w:val="s1"/>
          <w:rFonts w:ascii="Arial" w:hAnsi="Arial"/>
          <w:b w:val="0"/>
          <w:bCs w:val="0"/>
          <w:sz w:val="22"/>
          <w:szCs w:val="22"/>
        </w:rPr>
        <w:t>; NICE, 2026</w:t>
      </w:r>
      <w:r w:rsidR="003F1C9E">
        <w:rPr>
          <w:rStyle w:val="s1"/>
          <w:rFonts w:ascii="Arial" w:hAnsi="Arial"/>
          <w:b w:val="0"/>
          <w:bCs w:val="0"/>
          <w:sz w:val="22"/>
          <w:szCs w:val="22"/>
        </w:rPr>
        <w:t>; SA, 2026</w:t>
      </w:r>
      <w:r w:rsidRPr="0031126E">
        <w:rPr>
          <w:rStyle w:val="s1"/>
          <w:rFonts w:ascii="Arial" w:hAnsi="Arial"/>
          <w:b w:val="0"/>
          <w:bCs w:val="0"/>
          <w:sz w:val="22"/>
          <w:szCs w:val="22"/>
        </w:rPr>
        <w:t xml:space="preserve">). Conventional consultant-led pathways created diagnostic </w:t>
      </w:r>
      <w:r w:rsidR="006809AA" w:rsidRPr="0031126E">
        <w:rPr>
          <w:rStyle w:val="s1"/>
          <w:rFonts w:ascii="Arial" w:hAnsi="Arial"/>
          <w:b w:val="0"/>
          <w:bCs w:val="0"/>
          <w:sz w:val="22"/>
          <w:szCs w:val="22"/>
        </w:rPr>
        <w:t>delays</w:t>
      </w:r>
      <w:r w:rsidRPr="0031126E">
        <w:rPr>
          <w:rStyle w:val="s1"/>
          <w:rFonts w:ascii="Arial" w:hAnsi="Arial"/>
          <w:b w:val="0"/>
          <w:bCs w:val="0"/>
          <w:sz w:val="22"/>
          <w:szCs w:val="22"/>
        </w:rPr>
        <w:t xml:space="preserve"> despite most referred lesions being benign, prompting development of an autonomous AI medical device to safely identify </w:t>
      </w:r>
      <w:r w:rsidRPr="0031126E">
        <w:rPr>
          <w:rStyle w:val="s1"/>
          <w:rFonts w:ascii="Arial" w:hAnsi="Arial"/>
          <w:b w:val="0"/>
          <w:bCs w:val="0"/>
          <w:sz w:val="22"/>
          <w:szCs w:val="22"/>
        </w:rPr>
        <w:lastRenderedPageBreak/>
        <w:t xml:space="preserve">low-risk lesions and prioritise specialist capacity for patients at highest risk (Palamaras et al., 2022; Walton et al., 2026; </w:t>
      </w:r>
      <w:r w:rsidR="0030749B">
        <w:rPr>
          <w:rStyle w:val="s1"/>
          <w:rFonts w:ascii="Arial" w:hAnsi="Arial"/>
          <w:b w:val="0"/>
          <w:bCs w:val="0"/>
          <w:sz w:val="22"/>
          <w:szCs w:val="22"/>
        </w:rPr>
        <w:t>SA</w:t>
      </w:r>
      <w:r w:rsidRPr="0031126E">
        <w:rPr>
          <w:rStyle w:val="s1"/>
          <w:rFonts w:ascii="Arial" w:hAnsi="Arial"/>
          <w:b w:val="0"/>
          <w:bCs w:val="0"/>
          <w:sz w:val="22"/>
          <w:szCs w:val="22"/>
        </w:rPr>
        <w:t>, 2026).</w:t>
      </w:r>
    </w:p>
    <w:p w14:paraId="414A155A" w14:textId="77777777" w:rsidR="00574CCE" w:rsidRPr="0031126E" w:rsidRDefault="00574CCE" w:rsidP="0031126E">
      <w:pPr>
        <w:pStyle w:val="p1"/>
        <w:spacing w:line="360" w:lineRule="auto"/>
        <w:jc w:val="both"/>
        <w:rPr>
          <w:rStyle w:val="s1"/>
          <w:rFonts w:ascii="Arial" w:hAnsi="Arial"/>
          <w:b w:val="0"/>
          <w:bCs w:val="0"/>
          <w:sz w:val="22"/>
          <w:szCs w:val="22"/>
        </w:rPr>
      </w:pPr>
    </w:p>
    <w:p w14:paraId="778B1128" w14:textId="3D173964" w:rsidR="00240377" w:rsidRPr="0031126E" w:rsidRDefault="003572B0" w:rsidP="0031126E">
      <w:pPr>
        <w:pStyle w:val="p1"/>
        <w:spacing w:line="360" w:lineRule="auto"/>
        <w:jc w:val="both"/>
        <w:rPr>
          <w:rStyle w:val="s1"/>
          <w:rFonts w:ascii="Arial" w:hAnsi="Arial"/>
          <w:b w:val="0"/>
          <w:bCs w:val="0"/>
          <w:sz w:val="22"/>
          <w:szCs w:val="22"/>
        </w:rPr>
      </w:pPr>
      <w:r w:rsidRPr="0031126E">
        <w:rPr>
          <w:rStyle w:val="s1"/>
          <w:rFonts w:ascii="Arial" w:hAnsi="Arial"/>
          <w:b w:val="0"/>
          <w:bCs w:val="0"/>
          <w:sz w:val="22"/>
          <w:szCs w:val="22"/>
        </w:rPr>
        <w:t xml:space="preserve">DERM analyses clinical and dermoscopic images captured by trained staff using smartphone-connected dermatoscopes before autonomously stratifying malignancy risk within consultant-led governance pathways (Palamaras et al., 2022; Thomas et al., 2023; Marsden et al., 2024; Walton et al., 2026; </w:t>
      </w:r>
      <w:r w:rsidR="0030749B">
        <w:rPr>
          <w:rStyle w:val="s1"/>
          <w:rFonts w:ascii="Arial" w:hAnsi="Arial"/>
          <w:b w:val="0"/>
          <w:bCs w:val="0"/>
          <w:sz w:val="22"/>
          <w:szCs w:val="22"/>
        </w:rPr>
        <w:t>SA</w:t>
      </w:r>
      <w:r w:rsidRPr="0031126E">
        <w:rPr>
          <w:rStyle w:val="s1"/>
          <w:rFonts w:ascii="Arial" w:hAnsi="Arial"/>
          <w:b w:val="0"/>
          <w:bCs w:val="0"/>
          <w:sz w:val="22"/>
          <w:szCs w:val="22"/>
        </w:rPr>
        <w:t>, 2026).</w:t>
      </w:r>
      <w:r w:rsidR="00CF7F98" w:rsidRPr="0031126E">
        <w:rPr>
          <w:rStyle w:val="s1"/>
          <w:rFonts w:ascii="Arial" w:hAnsi="Arial"/>
          <w:b w:val="0"/>
          <w:bCs w:val="0"/>
          <w:sz w:val="22"/>
          <w:szCs w:val="22"/>
        </w:rPr>
        <w:t xml:space="preserve"> </w:t>
      </w:r>
      <w:r w:rsidR="00244A57" w:rsidRPr="0031126E">
        <w:rPr>
          <w:rStyle w:val="s1"/>
          <w:rFonts w:ascii="Arial" w:hAnsi="Arial"/>
          <w:b w:val="0"/>
          <w:bCs w:val="0"/>
          <w:sz w:val="22"/>
          <w:szCs w:val="22"/>
        </w:rPr>
        <w:t>Initial NHS pilots commenced in 2020, followed by phased implementation across more than 25 NHS organisations, including University Hospitals Birmingham, Chelsea and Westminster Hospital</w:t>
      </w:r>
      <w:r w:rsidR="001420DA">
        <w:rPr>
          <w:rStyle w:val="s1"/>
          <w:rFonts w:ascii="Arial" w:hAnsi="Arial"/>
          <w:b w:val="0"/>
          <w:bCs w:val="0"/>
          <w:sz w:val="22"/>
          <w:szCs w:val="22"/>
        </w:rPr>
        <w:t xml:space="preserve"> and</w:t>
      </w:r>
      <w:r w:rsidR="00244A57" w:rsidRPr="0031126E">
        <w:rPr>
          <w:rStyle w:val="s1"/>
          <w:rFonts w:ascii="Arial" w:hAnsi="Arial"/>
          <w:b w:val="0"/>
          <w:bCs w:val="0"/>
          <w:sz w:val="22"/>
          <w:szCs w:val="22"/>
        </w:rPr>
        <w:t xml:space="preserve"> West Suffolk (Palamaras et al., 2022; Thomas et al., 2023; Walton et al., 2026; </w:t>
      </w:r>
      <w:r w:rsidR="0030749B">
        <w:rPr>
          <w:rStyle w:val="s1"/>
          <w:rFonts w:ascii="Arial" w:hAnsi="Arial"/>
          <w:b w:val="0"/>
          <w:bCs w:val="0"/>
          <w:sz w:val="22"/>
          <w:szCs w:val="22"/>
        </w:rPr>
        <w:t>SA</w:t>
      </w:r>
      <w:r w:rsidR="00244A57" w:rsidRPr="0031126E">
        <w:rPr>
          <w:rStyle w:val="s1"/>
          <w:rFonts w:ascii="Arial" w:hAnsi="Arial"/>
          <w:b w:val="0"/>
          <w:bCs w:val="0"/>
          <w:sz w:val="22"/>
          <w:szCs w:val="22"/>
        </w:rPr>
        <w:t>, 2026). More than 260,000 patients have now benefited from the technology, generating evidence that informed NICE’s</w:t>
      </w:r>
      <w:r w:rsidR="00964E5B" w:rsidRPr="0031126E">
        <w:rPr>
          <w:rStyle w:val="s1"/>
          <w:rFonts w:ascii="Arial" w:hAnsi="Arial"/>
          <w:b w:val="0"/>
          <w:bCs w:val="0"/>
          <w:sz w:val="22"/>
          <w:szCs w:val="22"/>
        </w:rPr>
        <w:t xml:space="preserve"> </w:t>
      </w:r>
      <w:r w:rsidR="00244A57" w:rsidRPr="0031126E">
        <w:rPr>
          <w:rStyle w:val="s1"/>
          <w:rFonts w:ascii="Arial" w:hAnsi="Arial"/>
          <w:b w:val="0"/>
          <w:bCs w:val="0"/>
          <w:sz w:val="22"/>
          <w:szCs w:val="22"/>
        </w:rPr>
        <w:t xml:space="preserve">guidance in 2026 (NICE, 2026; </w:t>
      </w:r>
      <w:r w:rsidR="0030749B">
        <w:rPr>
          <w:rStyle w:val="s1"/>
          <w:rFonts w:ascii="Arial" w:hAnsi="Arial"/>
          <w:b w:val="0"/>
          <w:bCs w:val="0"/>
          <w:sz w:val="22"/>
          <w:szCs w:val="22"/>
        </w:rPr>
        <w:t>SA</w:t>
      </w:r>
      <w:r w:rsidR="00244A57" w:rsidRPr="0031126E">
        <w:rPr>
          <w:rStyle w:val="s1"/>
          <w:rFonts w:ascii="Arial" w:hAnsi="Arial"/>
          <w:b w:val="0"/>
          <w:bCs w:val="0"/>
          <w:sz w:val="22"/>
          <w:szCs w:val="22"/>
        </w:rPr>
        <w:t xml:space="preserve">, 2026). </w:t>
      </w:r>
    </w:p>
    <w:p w14:paraId="76B7BD1D" w14:textId="77777777" w:rsidR="00240377" w:rsidRPr="0031126E" w:rsidRDefault="00240377" w:rsidP="0031126E">
      <w:pPr>
        <w:pStyle w:val="p1"/>
        <w:spacing w:line="360" w:lineRule="auto"/>
        <w:jc w:val="both"/>
        <w:rPr>
          <w:rStyle w:val="s1"/>
          <w:rFonts w:ascii="Arial" w:hAnsi="Arial"/>
          <w:b w:val="0"/>
          <w:bCs w:val="0"/>
          <w:sz w:val="22"/>
          <w:szCs w:val="22"/>
        </w:rPr>
      </w:pPr>
    </w:p>
    <w:p w14:paraId="35606FB0" w14:textId="62FE35B4" w:rsidR="009D368B" w:rsidRDefault="00526784" w:rsidP="0031126E">
      <w:pPr>
        <w:pStyle w:val="p1"/>
        <w:spacing w:line="360" w:lineRule="auto"/>
        <w:jc w:val="both"/>
        <w:rPr>
          <w:rStyle w:val="s1"/>
          <w:rFonts w:ascii="Arial" w:hAnsi="Arial"/>
          <w:b w:val="0"/>
          <w:bCs w:val="0"/>
          <w:sz w:val="22"/>
          <w:szCs w:val="22"/>
        </w:rPr>
      </w:pPr>
      <w:r w:rsidRPr="0031126E">
        <w:rPr>
          <w:rStyle w:val="s1"/>
          <w:rFonts w:ascii="Arial" w:hAnsi="Arial"/>
          <w:b w:val="0"/>
          <w:bCs w:val="0"/>
          <w:sz w:val="22"/>
          <w:szCs w:val="22"/>
        </w:rPr>
        <w:t>However, independent evaluations identified reduced performance for lesions unsuitable for AI assessment, dependence on high-quality clinical and dermoscopic image acquisition and under-representation of darker skin types, demonstrating that successful implementation depends as much on standardised imaging protocols, workforce capability, governance and continuous post-market evaluation as on algorithmic performance (Jones et al., 2022; Thomas et al., 2023; Marsden et al., 2024;</w:t>
      </w:r>
      <w:r w:rsidR="0052786C">
        <w:rPr>
          <w:rStyle w:val="s1"/>
          <w:rFonts w:ascii="Arial" w:hAnsi="Arial"/>
          <w:b w:val="0"/>
          <w:bCs w:val="0"/>
          <w:sz w:val="22"/>
          <w:szCs w:val="22"/>
        </w:rPr>
        <w:t xml:space="preserve"> Marsden et al., 2023</w:t>
      </w:r>
      <w:r w:rsidR="00067A12">
        <w:rPr>
          <w:rStyle w:val="s1"/>
          <w:rFonts w:ascii="Arial" w:hAnsi="Arial"/>
          <w:b w:val="0"/>
          <w:bCs w:val="0"/>
          <w:sz w:val="22"/>
          <w:szCs w:val="22"/>
        </w:rPr>
        <w:t>;</w:t>
      </w:r>
      <w:r w:rsidRPr="0031126E">
        <w:rPr>
          <w:rStyle w:val="s1"/>
          <w:rFonts w:ascii="Arial" w:hAnsi="Arial"/>
          <w:b w:val="0"/>
          <w:bCs w:val="0"/>
          <w:sz w:val="22"/>
          <w:szCs w:val="22"/>
        </w:rPr>
        <w:t xml:space="preserve"> Wen et al., 2024; Khatun et al., 2024; Karimzadhagh et al., 2025; Walton et al., 2026). Consequently, NICE recommends continued clinician oversight, while MHRA regulation, the NHS Plan for Digital Health and Social Care, What Good Looks Like and the NASSS framework emphasise continuous validation, robust governance, organisational readiness and high-quality data to support safe, equitable and sustainable implementation (Greenhalgh et al., 2017; MHRA, 2024; NICE, 2026; </w:t>
      </w:r>
      <w:r w:rsidR="00717668">
        <w:rPr>
          <w:rStyle w:val="s1"/>
          <w:rFonts w:ascii="Arial" w:hAnsi="Arial"/>
          <w:b w:val="0"/>
          <w:bCs w:val="0"/>
          <w:sz w:val="22"/>
          <w:szCs w:val="22"/>
        </w:rPr>
        <w:t>DHSC</w:t>
      </w:r>
      <w:r w:rsidRPr="0031126E">
        <w:rPr>
          <w:rStyle w:val="s1"/>
          <w:rFonts w:ascii="Arial" w:hAnsi="Arial"/>
          <w:b w:val="0"/>
          <w:bCs w:val="0"/>
          <w:sz w:val="22"/>
          <w:szCs w:val="22"/>
        </w:rPr>
        <w:t xml:space="preserve">, 2025; </w:t>
      </w:r>
      <w:r w:rsidR="00717668">
        <w:rPr>
          <w:rStyle w:val="s1"/>
          <w:rFonts w:ascii="Arial" w:hAnsi="Arial"/>
          <w:b w:val="0"/>
          <w:bCs w:val="0"/>
          <w:sz w:val="22"/>
          <w:szCs w:val="22"/>
        </w:rPr>
        <w:t>DHSC</w:t>
      </w:r>
      <w:r w:rsidRPr="0031126E">
        <w:rPr>
          <w:rStyle w:val="s1"/>
          <w:rFonts w:ascii="Arial" w:hAnsi="Arial"/>
          <w:b w:val="0"/>
          <w:bCs w:val="0"/>
          <w:sz w:val="22"/>
          <w:szCs w:val="22"/>
        </w:rPr>
        <w:t>, 2026).</w:t>
      </w:r>
    </w:p>
    <w:p w14:paraId="04C23BAD" w14:textId="77777777" w:rsidR="00517215" w:rsidRPr="00517215" w:rsidRDefault="00517215" w:rsidP="0031126E">
      <w:pPr>
        <w:pStyle w:val="p1"/>
        <w:spacing w:line="360" w:lineRule="auto"/>
        <w:jc w:val="both"/>
        <w:rPr>
          <w:rStyle w:val="s1"/>
          <w:rFonts w:ascii="Arial" w:hAnsi="Arial"/>
          <w:sz w:val="22"/>
          <w:szCs w:val="22"/>
        </w:rPr>
      </w:pPr>
    </w:p>
    <w:p w14:paraId="5CF33DAC" w14:textId="282ABBD9" w:rsidR="00517215" w:rsidRPr="00517215" w:rsidRDefault="00517215" w:rsidP="0031126E">
      <w:pPr>
        <w:pStyle w:val="p1"/>
        <w:spacing w:line="360" w:lineRule="auto"/>
        <w:jc w:val="both"/>
        <w:rPr>
          <w:rStyle w:val="s1"/>
          <w:rFonts w:ascii="Arial" w:hAnsi="Arial"/>
          <w:sz w:val="22"/>
          <w:szCs w:val="22"/>
        </w:rPr>
      </w:pPr>
      <w:r w:rsidRPr="00517215">
        <w:rPr>
          <w:rStyle w:val="s1"/>
          <w:rFonts w:ascii="Arial" w:hAnsi="Arial"/>
          <w:sz w:val="22"/>
          <w:szCs w:val="22"/>
        </w:rPr>
        <w:t>Workforce Implications</w:t>
      </w:r>
    </w:p>
    <w:p w14:paraId="2E9C88D1" w14:textId="77777777" w:rsidR="00ED2E6C" w:rsidRPr="0031126E" w:rsidRDefault="00ED2E6C" w:rsidP="0031126E">
      <w:pPr>
        <w:pStyle w:val="p1"/>
        <w:spacing w:line="360" w:lineRule="auto"/>
        <w:jc w:val="both"/>
        <w:rPr>
          <w:rStyle w:val="s1"/>
          <w:rFonts w:ascii="Arial" w:hAnsi="Arial"/>
          <w:b w:val="0"/>
          <w:bCs w:val="0"/>
          <w:sz w:val="22"/>
          <w:szCs w:val="22"/>
        </w:rPr>
      </w:pPr>
    </w:p>
    <w:p w14:paraId="4D35CB5F" w14:textId="7E70F3FD" w:rsidR="006C35BB" w:rsidRPr="0031126E" w:rsidRDefault="006C35BB" w:rsidP="0031126E">
      <w:pPr>
        <w:pStyle w:val="p1"/>
        <w:spacing w:line="360" w:lineRule="auto"/>
        <w:jc w:val="both"/>
        <w:rPr>
          <w:sz w:val="22"/>
          <w:szCs w:val="22"/>
        </w:rPr>
      </w:pPr>
      <w:r w:rsidRPr="0031126E">
        <w:rPr>
          <w:sz w:val="22"/>
          <w:szCs w:val="22"/>
        </w:rPr>
        <w:t xml:space="preserve">The implementation of DERM has transformed workforce practice by redistributing, rather than replacing, clinical responsibilities within the urgent suspected skin cancer pathway. Immediately, autonomous AI reduced the number of benign lesions requiring dermatologist assessment, enabling specialists to prioritise patients at highest risk of malignancy and partially alleviating pressures associated with increasing referrals, workforce shortages and the NHS two-week cancer pathway (GIRFT, 2021; Marsden et al., 2024; </w:t>
      </w:r>
      <w:r w:rsidR="00067A12">
        <w:rPr>
          <w:sz w:val="22"/>
          <w:szCs w:val="22"/>
        </w:rPr>
        <w:t xml:space="preserve">Marsden et al., 2023; </w:t>
      </w:r>
      <w:r w:rsidRPr="0031126E">
        <w:rPr>
          <w:sz w:val="22"/>
          <w:szCs w:val="22"/>
        </w:rPr>
        <w:t xml:space="preserve">Carson et al., 2026; Walton et al., 2026). However, these gains should be interpreted cautiously, as diagnostic performance remains dependent on high-quality image acquisition, appropriate patient selection and consultant oversight. Consequently, improvements in </w:t>
      </w:r>
      <w:r w:rsidRPr="0031126E">
        <w:rPr>
          <w:sz w:val="22"/>
          <w:szCs w:val="22"/>
        </w:rPr>
        <w:lastRenderedPageBreak/>
        <w:t>efficiency result from redesigning clinical pathways rather than from AI technology alone (Thomas et al., 2023; Walton et al., 2026; Jones et al., 2022).</w:t>
      </w:r>
    </w:p>
    <w:p w14:paraId="23C7EC6F" w14:textId="77777777" w:rsidR="006C35BB" w:rsidRPr="0031126E" w:rsidRDefault="006C35BB" w:rsidP="0031126E">
      <w:pPr>
        <w:pStyle w:val="p1"/>
        <w:spacing w:line="360" w:lineRule="auto"/>
        <w:jc w:val="both"/>
        <w:rPr>
          <w:sz w:val="22"/>
          <w:szCs w:val="22"/>
        </w:rPr>
      </w:pPr>
    </w:p>
    <w:p w14:paraId="47C61300" w14:textId="31C32E3B" w:rsidR="006C35BB" w:rsidRPr="0031126E" w:rsidRDefault="006C35BB" w:rsidP="0031126E">
      <w:pPr>
        <w:pStyle w:val="p1"/>
        <w:spacing w:line="360" w:lineRule="auto"/>
        <w:jc w:val="both"/>
        <w:rPr>
          <w:sz w:val="22"/>
          <w:szCs w:val="22"/>
        </w:rPr>
      </w:pPr>
      <w:r w:rsidRPr="0031126E">
        <w:rPr>
          <w:sz w:val="22"/>
          <w:szCs w:val="22"/>
        </w:rPr>
        <w:t>Long-term implementation has reshaped workforce structures by expanding the responsibilities of healthcare assistants, medical photographers and digital leaders responsible for image capture, AI-supported triage and quality assurance (</w:t>
      </w:r>
      <w:r w:rsidR="0030749B">
        <w:rPr>
          <w:sz w:val="22"/>
          <w:szCs w:val="22"/>
        </w:rPr>
        <w:t>SA</w:t>
      </w:r>
      <w:r w:rsidRPr="0031126E">
        <w:rPr>
          <w:sz w:val="22"/>
          <w:szCs w:val="22"/>
        </w:rPr>
        <w:t>, 2026; Marsden et al., 2024). While this redistribution improves workforce flexibility and optimises specialist capacity, it simultaneously increases responsibility among non-medical staff, making competency-based training, digital literacy, AI governance, information governance and continuous professional development indispensable for maintaining patient safety (NHS England, 2022; MHRA, 2024; Pope et al., 2024). These requirements demand sustained organisational investment in workforce capability, reflecting What Good Looks Like and the Plan for Digital Health and Social Care, which identify digital leadership, workforce development and governance as prerequisites for successful transformation rather than consequences of technology adoption (</w:t>
      </w:r>
      <w:r w:rsidR="00717668">
        <w:rPr>
          <w:sz w:val="22"/>
          <w:szCs w:val="22"/>
        </w:rPr>
        <w:t>DHSC</w:t>
      </w:r>
      <w:r w:rsidRPr="0031126E">
        <w:rPr>
          <w:sz w:val="22"/>
          <w:szCs w:val="22"/>
        </w:rPr>
        <w:t xml:space="preserve">, 2025; </w:t>
      </w:r>
      <w:r w:rsidR="00717668">
        <w:rPr>
          <w:sz w:val="22"/>
          <w:szCs w:val="22"/>
        </w:rPr>
        <w:t>DHSC</w:t>
      </w:r>
      <w:r w:rsidRPr="0031126E">
        <w:rPr>
          <w:sz w:val="22"/>
          <w:szCs w:val="22"/>
        </w:rPr>
        <w:t>, 2026).</w:t>
      </w:r>
    </w:p>
    <w:p w14:paraId="14D3B514" w14:textId="77777777" w:rsidR="006C35BB" w:rsidRPr="0031126E" w:rsidRDefault="006C35BB" w:rsidP="0031126E">
      <w:pPr>
        <w:pStyle w:val="p1"/>
        <w:spacing w:line="360" w:lineRule="auto"/>
        <w:jc w:val="both"/>
        <w:rPr>
          <w:sz w:val="22"/>
          <w:szCs w:val="22"/>
        </w:rPr>
      </w:pPr>
    </w:p>
    <w:p w14:paraId="6FFAD7F5" w14:textId="2CE9D738" w:rsidR="002B1EF1" w:rsidRPr="0031126E" w:rsidRDefault="006C35BB" w:rsidP="0031126E">
      <w:pPr>
        <w:pStyle w:val="p1"/>
        <w:spacing w:line="360" w:lineRule="auto"/>
        <w:jc w:val="both"/>
        <w:rPr>
          <w:sz w:val="22"/>
          <w:szCs w:val="22"/>
        </w:rPr>
      </w:pPr>
      <w:r w:rsidRPr="0031126E">
        <w:rPr>
          <w:sz w:val="22"/>
          <w:szCs w:val="22"/>
        </w:rPr>
        <w:t xml:space="preserve">Staff acceptance has therefore been conditional rather than universal. Clinicians generally support AI when it strengthens clinical decision-making while preserving professional judgement; nevertheless, concerns persist regarding algorithmic bias, diagnostic accountability, image quality, reduced diagnostic experience for junior clinicians and potential over-reliance on automation (Lim et al., 2022; Kawsar et al., 2023; Li et al., 2025; Wen et al., 2024; Karimzadhagh et al., 2025). Viewed through the NASSS framework, these findings suggest that technological capability is no longer the principal challenge. Instead, sustainable implementation depends on organisational readiness, workforce adaptability and effective governance, indicating that investment in AI without equivalent investment in people is unlikely to deliver the long-term transformation envisaged by Fit for the Future and wider NHS digital policy (Greenhalgh et al., 2017; </w:t>
      </w:r>
      <w:r w:rsidR="00717668">
        <w:rPr>
          <w:sz w:val="22"/>
          <w:szCs w:val="22"/>
        </w:rPr>
        <w:t>DHSC</w:t>
      </w:r>
      <w:r w:rsidRPr="0031126E">
        <w:rPr>
          <w:sz w:val="22"/>
          <w:szCs w:val="22"/>
        </w:rPr>
        <w:t>, 2026).</w:t>
      </w:r>
    </w:p>
    <w:p w14:paraId="2C5FC7F7" w14:textId="77777777" w:rsidR="006C35BB" w:rsidRPr="0031126E" w:rsidRDefault="006C35BB" w:rsidP="0031126E">
      <w:pPr>
        <w:pStyle w:val="p1"/>
        <w:spacing w:line="360" w:lineRule="auto"/>
        <w:jc w:val="both"/>
        <w:rPr>
          <w:sz w:val="22"/>
          <w:szCs w:val="22"/>
        </w:rPr>
      </w:pPr>
    </w:p>
    <w:p w14:paraId="78C3DAB9" w14:textId="77777777" w:rsidR="000D40AE" w:rsidRDefault="000D40AE" w:rsidP="0031126E">
      <w:pPr>
        <w:pStyle w:val="p1"/>
        <w:spacing w:line="360" w:lineRule="auto"/>
        <w:jc w:val="both"/>
        <w:rPr>
          <w:rStyle w:val="s1"/>
          <w:rFonts w:ascii="Arial" w:hAnsi="Arial"/>
          <w:sz w:val="22"/>
          <w:szCs w:val="22"/>
        </w:rPr>
      </w:pPr>
      <w:r w:rsidRPr="00684459">
        <w:rPr>
          <w:rStyle w:val="s1"/>
          <w:rFonts w:ascii="Arial" w:hAnsi="Arial"/>
          <w:sz w:val="22"/>
          <w:szCs w:val="22"/>
        </w:rPr>
        <w:t>Changes in Service Delivery</w:t>
      </w:r>
    </w:p>
    <w:p w14:paraId="4B51F986" w14:textId="77777777" w:rsidR="00684459" w:rsidRPr="00684459" w:rsidRDefault="00684459" w:rsidP="0031126E">
      <w:pPr>
        <w:pStyle w:val="p1"/>
        <w:spacing w:line="360" w:lineRule="auto"/>
        <w:jc w:val="both"/>
        <w:rPr>
          <w:rStyle w:val="s1"/>
          <w:rFonts w:ascii="Arial" w:hAnsi="Arial"/>
          <w:sz w:val="22"/>
          <w:szCs w:val="22"/>
        </w:rPr>
      </w:pPr>
    </w:p>
    <w:p w14:paraId="00A8523D" w14:textId="137366AE" w:rsidR="001946CF" w:rsidRPr="0031126E" w:rsidRDefault="001946CF" w:rsidP="0031126E">
      <w:pPr>
        <w:pStyle w:val="p1"/>
        <w:spacing w:line="360" w:lineRule="auto"/>
        <w:jc w:val="both"/>
        <w:rPr>
          <w:sz w:val="22"/>
          <w:szCs w:val="22"/>
        </w:rPr>
      </w:pPr>
      <w:r w:rsidRPr="0031126E">
        <w:rPr>
          <w:sz w:val="22"/>
          <w:szCs w:val="22"/>
        </w:rPr>
        <w:t>DERM has changed service delivery by redesigning the urgent suspected skin cancer pathway from a linear consultant-led model into an AI-enabled triage system. In practice, patients no longer always move directly from GP referral to dermatologist assessment; instead, trained staff capture clinical and dermoscopic images, which DERM analyses to stratify malignancy risk before referral decisions are made (</w:t>
      </w:r>
      <w:r w:rsidR="0030749B">
        <w:rPr>
          <w:sz w:val="22"/>
          <w:szCs w:val="22"/>
        </w:rPr>
        <w:t>SA</w:t>
      </w:r>
      <w:r w:rsidRPr="0031126E">
        <w:rPr>
          <w:sz w:val="22"/>
          <w:szCs w:val="22"/>
        </w:rPr>
        <w:t>, 2026; Marsden et al., 2024</w:t>
      </w:r>
      <w:r w:rsidR="00372149">
        <w:rPr>
          <w:sz w:val="22"/>
          <w:szCs w:val="22"/>
        </w:rPr>
        <w:t>; Marsden et al., 2023</w:t>
      </w:r>
      <w:r w:rsidRPr="0031126E">
        <w:rPr>
          <w:sz w:val="22"/>
          <w:szCs w:val="22"/>
        </w:rPr>
        <w:t xml:space="preserve">). This supports the NHS Long Term Plan, the Teledermatology Roadmap and the National Cancer Plan by aligning with policy ambitions for earlier diagnosis, digital productivity and </w:t>
      </w:r>
      <w:r w:rsidRPr="0031126E">
        <w:rPr>
          <w:sz w:val="22"/>
          <w:szCs w:val="22"/>
        </w:rPr>
        <w:lastRenderedPageBreak/>
        <w:t>more efficient specialist use (NHS England, 2019; NHS England, 2022;</w:t>
      </w:r>
      <w:r w:rsidR="00567917">
        <w:rPr>
          <w:sz w:val="22"/>
          <w:szCs w:val="22"/>
        </w:rPr>
        <w:t xml:space="preserve"> NHS England, 2025</w:t>
      </w:r>
      <w:r w:rsidR="004D67EC">
        <w:rPr>
          <w:sz w:val="22"/>
          <w:szCs w:val="22"/>
        </w:rPr>
        <w:t>;</w:t>
      </w:r>
      <w:r w:rsidRPr="0031126E">
        <w:rPr>
          <w:sz w:val="22"/>
          <w:szCs w:val="22"/>
        </w:rPr>
        <w:t xml:space="preserve"> </w:t>
      </w:r>
      <w:r w:rsidR="00717668">
        <w:rPr>
          <w:sz w:val="22"/>
          <w:szCs w:val="22"/>
        </w:rPr>
        <w:t>DHSC</w:t>
      </w:r>
      <w:r w:rsidRPr="0031126E">
        <w:rPr>
          <w:sz w:val="22"/>
          <w:szCs w:val="22"/>
        </w:rPr>
        <w:t>, 2026). However, this is not a simple improvement in care delivery. It transfers part of the diagnostic pathway into a digital process, meaning service quality becomes dependent on local infrastructure, image capture standards, interoperability and governance.</w:t>
      </w:r>
    </w:p>
    <w:p w14:paraId="5467AFB9" w14:textId="77777777" w:rsidR="001946CF" w:rsidRPr="0031126E" w:rsidRDefault="001946CF" w:rsidP="0031126E">
      <w:pPr>
        <w:pStyle w:val="p1"/>
        <w:spacing w:line="360" w:lineRule="auto"/>
        <w:jc w:val="both"/>
        <w:rPr>
          <w:sz w:val="22"/>
          <w:szCs w:val="22"/>
        </w:rPr>
      </w:pPr>
    </w:p>
    <w:p w14:paraId="29E2AA79" w14:textId="28CD2394" w:rsidR="001513C6" w:rsidRPr="0031126E" w:rsidRDefault="001946CF" w:rsidP="0031126E">
      <w:pPr>
        <w:pStyle w:val="p1"/>
        <w:spacing w:line="360" w:lineRule="auto"/>
        <w:jc w:val="both"/>
        <w:rPr>
          <w:sz w:val="22"/>
          <w:szCs w:val="22"/>
        </w:rPr>
      </w:pPr>
      <w:r w:rsidRPr="0031126E">
        <w:rPr>
          <w:sz w:val="22"/>
          <w:szCs w:val="22"/>
        </w:rPr>
        <w:t>Operationally, DERM’s value lies in its ability to improve patient flow. Walton et al. (2026) reported 96.1% sensitivity for malignant lesions, broadly comparable with dermatologist performance, while reducing avoidable specialist review for many eligible patients. This can increase capacity, reduce waiting times and allow consultants to focus on complex or high-risk cases (Palamaras et al., 2022; Marsden et al., 2024; Carson et al., 2026; Hoogenboom et al., 2025). Yet this benefit is conditional. Lower specificity means some patients may still be referred unnecessarily, while local variation in digital maturity may produce unequal service gains across NHS organisations (Jones et al., 2022; Asthana, Jones and Sheaff, 2019). Therefore, DERM does not remove pressure from the system; it redistributes it from outpatient clinics towards imaging hubs, data systems, pathway coordination and clinical governance.</w:t>
      </w:r>
    </w:p>
    <w:p w14:paraId="15BA8BE1" w14:textId="77777777" w:rsidR="00521272" w:rsidRPr="0031126E" w:rsidRDefault="00521272" w:rsidP="0031126E">
      <w:pPr>
        <w:pStyle w:val="p1"/>
        <w:spacing w:line="360" w:lineRule="auto"/>
        <w:jc w:val="both"/>
        <w:rPr>
          <w:sz w:val="22"/>
          <w:szCs w:val="22"/>
        </w:rPr>
      </w:pPr>
    </w:p>
    <w:p w14:paraId="5FC4054B" w14:textId="6F6F365C" w:rsidR="00521272" w:rsidRPr="0031126E" w:rsidRDefault="0063716B" w:rsidP="0031126E">
      <w:pPr>
        <w:pStyle w:val="p1"/>
        <w:spacing w:line="360" w:lineRule="auto"/>
        <w:jc w:val="both"/>
        <w:rPr>
          <w:sz w:val="22"/>
          <w:szCs w:val="22"/>
        </w:rPr>
      </w:pPr>
      <w:r w:rsidRPr="0031126E">
        <w:rPr>
          <w:sz w:val="22"/>
          <w:szCs w:val="22"/>
        </w:rPr>
        <w:t xml:space="preserve">This creates a critical implementation challenge. DERM supports compliance by capturing only clinical and dermoscopic images required for diagnosis, integrating image sharing within secure NHS clinical systems, maintaining clinician oversight of referral decisions and providing an auditable record of AI-supported assessments, consistent with the Data Protection Act 2018, UK GDPR, the Caldicott Principles and MHRA regulation (Data Protection Act, 2018; ICO, 2024; Caldicott, 2020; MHRA, 2024; </w:t>
      </w:r>
      <w:r w:rsidR="0030749B">
        <w:rPr>
          <w:sz w:val="22"/>
          <w:szCs w:val="22"/>
        </w:rPr>
        <w:t>SA</w:t>
      </w:r>
      <w:r w:rsidRPr="0031126E">
        <w:rPr>
          <w:sz w:val="22"/>
          <w:szCs w:val="22"/>
        </w:rPr>
        <w:t>, 2026). From a NASSS perspective, these governance mechanisms strengthen clinical trust and support adoption; however, sustainable implementation still depends on organisational readiness, interoperability and continuous evaluation rather than AI performance alone (Greenhalgh et al., 2017; Walton et al., 2026).</w:t>
      </w:r>
    </w:p>
    <w:p w14:paraId="4BD91A57" w14:textId="77777777" w:rsidR="00FB6642" w:rsidRPr="0031126E" w:rsidRDefault="00FB6642" w:rsidP="0031126E">
      <w:pPr>
        <w:pStyle w:val="p1"/>
        <w:spacing w:line="360" w:lineRule="auto"/>
        <w:jc w:val="both"/>
        <w:rPr>
          <w:sz w:val="22"/>
          <w:szCs w:val="22"/>
        </w:rPr>
      </w:pPr>
    </w:p>
    <w:p w14:paraId="05B99548" w14:textId="197B9CD3" w:rsidR="00FB6642" w:rsidRPr="0031126E" w:rsidRDefault="004729DA" w:rsidP="0031126E">
      <w:pPr>
        <w:pStyle w:val="p1"/>
        <w:spacing w:line="360" w:lineRule="auto"/>
        <w:jc w:val="both"/>
        <w:rPr>
          <w:sz w:val="22"/>
          <w:szCs w:val="22"/>
        </w:rPr>
      </w:pPr>
      <w:r w:rsidRPr="0031126E">
        <w:rPr>
          <w:sz w:val="22"/>
          <w:szCs w:val="22"/>
        </w:rPr>
        <w:t>Economic evaluation suggests that AI-supported teledermatology is cost-effective, with estimated NHS savings of £86 per patient pathway/case through reduced unnecessary secondary-care appointments, improved resource utilisation and streamlined diagnostic pathways (Hoogenboom et al., 2025). However, these savings depend upon adequate referral volumes, digital infrastructure and successful pathway implementation, meaning economic benefits cannot be assumed across all NHS organisations (Pope et al., 2024; Asthana, Jones and Sheaff, 2019).</w:t>
      </w:r>
    </w:p>
    <w:p w14:paraId="538025A5" w14:textId="77777777" w:rsidR="00790A1C" w:rsidRPr="0031126E" w:rsidRDefault="00790A1C" w:rsidP="0031126E">
      <w:pPr>
        <w:pStyle w:val="p1"/>
        <w:spacing w:line="360" w:lineRule="auto"/>
        <w:jc w:val="both"/>
        <w:rPr>
          <w:sz w:val="22"/>
          <w:szCs w:val="22"/>
        </w:rPr>
      </w:pPr>
    </w:p>
    <w:p w14:paraId="0DD5A603" w14:textId="77777777" w:rsidR="00A31D72" w:rsidRPr="002A51BD" w:rsidRDefault="00A31D72" w:rsidP="0031126E">
      <w:pPr>
        <w:pStyle w:val="p1"/>
        <w:spacing w:line="360" w:lineRule="auto"/>
        <w:jc w:val="both"/>
        <w:rPr>
          <w:rStyle w:val="s1"/>
          <w:rFonts w:ascii="Arial" w:hAnsi="Arial"/>
          <w:sz w:val="22"/>
          <w:szCs w:val="22"/>
        </w:rPr>
      </w:pPr>
      <w:r w:rsidRPr="002A51BD">
        <w:rPr>
          <w:rStyle w:val="s1"/>
          <w:rFonts w:ascii="Arial" w:hAnsi="Arial"/>
          <w:sz w:val="22"/>
          <w:szCs w:val="22"/>
        </w:rPr>
        <w:t>Patient and Service User Experiences</w:t>
      </w:r>
    </w:p>
    <w:p w14:paraId="3EA5CABF" w14:textId="77777777" w:rsidR="003B2800" w:rsidRPr="0031126E" w:rsidRDefault="003B2800" w:rsidP="0031126E">
      <w:pPr>
        <w:pStyle w:val="p1"/>
        <w:spacing w:line="360" w:lineRule="auto"/>
        <w:jc w:val="both"/>
        <w:rPr>
          <w:rStyle w:val="s1"/>
          <w:rFonts w:ascii="Arial" w:hAnsi="Arial"/>
          <w:b w:val="0"/>
          <w:bCs w:val="0"/>
          <w:sz w:val="22"/>
          <w:szCs w:val="22"/>
        </w:rPr>
      </w:pPr>
    </w:p>
    <w:p w14:paraId="443294FB" w14:textId="52E0105A" w:rsidR="003B2800" w:rsidRPr="0031126E" w:rsidRDefault="003B2800" w:rsidP="0031126E">
      <w:pPr>
        <w:pStyle w:val="p1"/>
        <w:spacing w:line="360" w:lineRule="auto"/>
        <w:jc w:val="both"/>
        <w:rPr>
          <w:rStyle w:val="s1"/>
          <w:rFonts w:ascii="Arial" w:hAnsi="Arial"/>
          <w:b w:val="0"/>
          <w:bCs w:val="0"/>
          <w:sz w:val="22"/>
          <w:szCs w:val="22"/>
        </w:rPr>
      </w:pPr>
      <w:r w:rsidRPr="0031126E">
        <w:rPr>
          <w:rStyle w:val="s1"/>
          <w:rFonts w:ascii="Arial" w:hAnsi="Arial"/>
          <w:b w:val="0"/>
          <w:bCs w:val="0"/>
          <w:sz w:val="22"/>
          <w:szCs w:val="22"/>
        </w:rPr>
        <w:lastRenderedPageBreak/>
        <w:t>DERM has transformed access to skin cancer assessment by introducing autonomous AI-supported teledermatology, enabling earlier triage, reducing unnecessary outpatient appointments and accelerating referral for suspicious lesions (Palamaras et al., 2022; Thomas et al., 2023; Marsden et al., 2024; Carson et al., 2026; Walton et al., 2026). This aligns with the NHS Long Term Plan, the Teledermatology Roadmap, NICE Early Value Assessment and the National Cancer Plan, all of which prioritise earlier diagnosis, personalised care and improved patient experience through digitally enabled services (NHS England, 2019; NHS England, 2022;</w:t>
      </w:r>
      <w:r w:rsidR="004D67EC">
        <w:rPr>
          <w:rStyle w:val="s1"/>
          <w:rFonts w:ascii="Arial" w:hAnsi="Arial"/>
          <w:b w:val="0"/>
          <w:bCs w:val="0"/>
          <w:sz w:val="22"/>
          <w:szCs w:val="22"/>
        </w:rPr>
        <w:t xml:space="preserve"> NHS England, 2025</w:t>
      </w:r>
      <w:r w:rsidRPr="0031126E">
        <w:rPr>
          <w:rStyle w:val="s1"/>
          <w:rFonts w:ascii="Arial" w:hAnsi="Arial"/>
          <w:b w:val="0"/>
          <w:bCs w:val="0"/>
          <w:sz w:val="22"/>
          <w:szCs w:val="22"/>
        </w:rPr>
        <w:t xml:space="preserve"> NICE, 2025; </w:t>
      </w:r>
      <w:r w:rsidR="00717668">
        <w:rPr>
          <w:rStyle w:val="s1"/>
          <w:rFonts w:ascii="Arial" w:hAnsi="Arial"/>
          <w:b w:val="0"/>
          <w:bCs w:val="0"/>
          <w:sz w:val="22"/>
          <w:szCs w:val="22"/>
        </w:rPr>
        <w:t>DHSC</w:t>
      </w:r>
      <w:r w:rsidRPr="0031126E">
        <w:rPr>
          <w:rStyle w:val="s1"/>
          <w:rFonts w:ascii="Arial" w:hAnsi="Arial"/>
          <w:b w:val="0"/>
          <w:bCs w:val="0"/>
          <w:sz w:val="22"/>
          <w:szCs w:val="22"/>
        </w:rPr>
        <w:t>, 2026). However, national policy implicitly assumes that improved access translates into improved patient experience, whereas current evidence demonstrates service efficiency more convincingly than patient-centred outcomes.</w:t>
      </w:r>
    </w:p>
    <w:p w14:paraId="638A2E0F" w14:textId="77777777" w:rsidR="003B2800" w:rsidRPr="0031126E" w:rsidRDefault="003B2800" w:rsidP="0031126E">
      <w:pPr>
        <w:pStyle w:val="p1"/>
        <w:spacing w:line="360" w:lineRule="auto"/>
        <w:jc w:val="both"/>
        <w:rPr>
          <w:rStyle w:val="s1"/>
          <w:rFonts w:ascii="Arial" w:hAnsi="Arial"/>
          <w:b w:val="0"/>
          <w:bCs w:val="0"/>
          <w:sz w:val="22"/>
          <w:szCs w:val="22"/>
        </w:rPr>
      </w:pPr>
    </w:p>
    <w:p w14:paraId="4715DD3A" w14:textId="77777777" w:rsidR="003B2800" w:rsidRPr="0031126E" w:rsidRDefault="003B2800" w:rsidP="0031126E">
      <w:pPr>
        <w:pStyle w:val="p1"/>
        <w:spacing w:line="360" w:lineRule="auto"/>
        <w:jc w:val="both"/>
        <w:rPr>
          <w:rStyle w:val="s1"/>
          <w:rFonts w:ascii="Arial" w:hAnsi="Arial"/>
          <w:b w:val="0"/>
          <w:bCs w:val="0"/>
          <w:sz w:val="22"/>
          <w:szCs w:val="22"/>
        </w:rPr>
      </w:pPr>
      <w:r w:rsidRPr="0031126E">
        <w:rPr>
          <w:rStyle w:val="s1"/>
          <w:rFonts w:ascii="Arial" w:hAnsi="Arial"/>
          <w:b w:val="0"/>
          <w:bCs w:val="0"/>
          <w:sz w:val="22"/>
          <w:szCs w:val="22"/>
        </w:rPr>
        <w:t>Patient acceptance of DERM remains conditional rather than unequivocal. Although most respondents in the DERM-005 evaluation expressed confidence in AI-supported assessment, acceptance declined when AI replaced dermatologist involvement, while 81% of patients surveyed by Lim et al. (2022) considered dermatologist confirmation essential despite recognising AI’s efficiency benefits (Kawsar et al., 2023; Lim et al., 2022). Similar findings across systematic, qualitative and umbrella reviews indicate that patients consistently trust AI when it augments, rather than replaces, clinician judgement, suggesting confidence is determined more by professional accountability and communication than by algorithmic accuracy alone (Jones et al., 2022; Levell and Thomas, 2024; Karimzadhagh et al., 2025; Li et al., 2025). Furthermore, existing studies predominantly evaluate diagnostic performance, waiting times and service utilisation, while providing comparatively limited evidence regarding quality of life, empowerment, shared decision-making or long-term patient-reported outcomes, limiting conclusions regarding whether DERM genuinely improves person-centred care (Walton et al., 2026; Pope et al., 2024; Hoogenboom et al., 2025).</w:t>
      </w:r>
    </w:p>
    <w:p w14:paraId="2CD4C380" w14:textId="77777777" w:rsidR="003B2800" w:rsidRPr="0031126E" w:rsidRDefault="003B2800" w:rsidP="0031126E">
      <w:pPr>
        <w:pStyle w:val="p1"/>
        <w:spacing w:line="360" w:lineRule="auto"/>
        <w:jc w:val="both"/>
        <w:rPr>
          <w:rStyle w:val="s1"/>
          <w:rFonts w:ascii="Arial" w:hAnsi="Arial"/>
          <w:b w:val="0"/>
          <w:bCs w:val="0"/>
          <w:sz w:val="22"/>
          <w:szCs w:val="22"/>
        </w:rPr>
      </w:pPr>
    </w:p>
    <w:p w14:paraId="26493CF7" w14:textId="5794EAA6" w:rsidR="00727985" w:rsidRPr="0031126E" w:rsidRDefault="003B2800" w:rsidP="0031126E">
      <w:pPr>
        <w:pStyle w:val="p1"/>
        <w:spacing w:line="360" w:lineRule="auto"/>
        <w:jc w:val="both"/>
        <w:rPr>
          <w:rStyle w:val="s1"/>
          <w:rFonts w:ascii="Arial" w:hAnsi="Arial"/>
          <w:b w:val="0"/>
          <w:bCs w:val="0"/>
          <w:sz w:val="22"/>
          <w:szCs w:val="22"/>
        </w:rPr>
      </w:pPr>
      <w:r w:rsidRPr="0031126E">
        <w:rPr>
          <w:rStyle w:val="s1"/>
          <w:rFonts w:ascii="Arial" w:hAnsi="Arial"/>
          <w:b w:val="0"/>
          <w:bCs w:val="0"/>
          <w:sz w:val="22"/>
          <w:szCs w:val="22"/>
        </w:rPr>
        <w:t>Consequently, whether DERM empowers patients remains contested. Earlier assessment may reduce anxiety associated with diagnostic delay, yet patients remain largely passive recipients of AI-supported decisions, limiting meaningful autonomy. NICE, the ICO, the NHS AI Lab and MHRA therefore emphasise clinician oversight, explainable AI, informed consent and transparent communication to preserve trust throughout AI-supported care (NICE, 202</w:t>
      </w:r>
      <w:r w:rsidR="009D00D5">
        <w:rPr>
          <w:rStyle w:val="s1"/>
          <w:rFonts w:ascii="Arial" w:hAnsi="Arial"/>
          <w:b w:val="0"/>
          <w:bCs w:val="0"/>
          <w:sz w:val="22"/>
          <w:szCs w:val="22"/>
        </w:rPr>
        <w:t>6</w:t>
      </w:r>
      <w:r w:rsidRPr="0031126E">
        <w:rPr>
          <w:rStyle w:val="s1"/>
          <w:rFonts w:ascii="Arial" w:hAnsi="Arial"/>
          <w:b w:val="0"/>
          <w:bCs w:val="0"/>
          <w:sz w:val="22"/>
          <w:szCs w:val="22"/>
        </w:rPr>
        <w:t xml:space="preserve">; ICO, 2024; </w:t>
      </w:r>
      <w:r w:rsidR="004D67EC">
        <w:rPr>
          <w:rStyle w:val="s1"/>
          <w:rFonts w:ascii="Arial" w:hAnsi="Arial"/>
          <w:b w:val="0"/>
          <w:bCs w:val="0"/>
          <w:sz w:val="22"/>
          <w:szCs w:val="22"/>
        </w:rPr>
        <w:t xml:space="preserve">NHS England, 2025; </w:t>
      </w:r>
      <w:r w:rsidR="00B66A54">
        <w:rPr>
          <w:rStyle w:val="s1"/>
          <w:rFonts w:ascii="Arial" w:hAnsi="Arial"/>
          <w:b w:val="0"/>
          <w:bCs w:val="0"/>
          <w:sz w:val="22"/>
          <w:szCs w:val="22"/>
        </w:rPr>
        <w:t>NHS England, 2026</w:t>
      </w:r>
      <w:r w:rsidRPr="0031126E">
        <w:rPr>
          <w:rStyle w:val="s1"/>
          <w:rFonts w:ascii="Arial" w:hAnsi="Arial"/>
          <w:b w:val="0"/>
          <w:bCs w:val="0"/>
          <w:sz w:val="22"/>
          <w:szCs w:val="22"/>
        </w:rPr>
        <w:t xml:space="preserve">; MHRA, 2024). Viewed through the NASSS framework, the greatest challenge is not improving diagnostic accuracy but sustaining trust during digital transformation. If implementation prioritises productivity over communication, therapeutic relationships and shared decision-making, DERM may satisfy NHS efficiency targets while failing to achieve the person-centred care that national policy </w:t>
      </w:r>
      <w:r w:rsidRPr="0031126E">
        <w:rPr>
          <w:rStyle w:val="s1"/>
          <w:rFonts w:ascii="Arial" w:hAnsi="Arial"/>
          <w:b w:val="0"/>
          <w:bCs w:val="0"/>
          <w:sz w:val="22"/>
          <w:szCs w:val="22"/>
        </w:rPr>
        <w:lastRenderedPageBreak/>
        <w:t>seeks to deliver (</w:t>
      </w:r>
      <w:r w:rsidR="00BB75B5">
        <w:rPr>
          <w:rStyle w:val="s1"/>
          <w:rFonts w:ascii="Arial" w:hAnsi="Arial"/>
          <w:b w:val="0"/>
          <w:bCs w:val="0"/>
          <w:sz w:val="22"/>
          <w:szCs w:val="22"/>
        </w:rPr>
        <w:t xml:space="preserve">Edge Health, 2024; </w:t>
      </w:r>
      <w:r w:rsidRPr="0031126E">
        <w:rPr>
          <w:rStyle w:val="s1"/>
          <w:rFonts w:ascii="Arial" w:hAnsi="Arial"/>
          <w:b w:val="0"/>
          <w:bCs w:val="0"/>
          <w:sz w:val="22"/>
          <w:szCs w:val="22"/>
        </w:rPr>
        <w:t xml:space="preserve">Greenhalgh et al., 2017; Asthana, Jones and Sheaff, 2019; </w:t>
      </w:r>
      <w:r w:rsidR="00717668">
        <w:rPr>
          <w:rStyle w:val="s1"/>
          <w:rFonts w:ascii="Arial" w:hAnsi="Arial"/>
          <w:b w:val="0"/>
          <w:bCs w:val="0"/>
          <w:sz w:val="22"/>
          <w:szCs w:val="22"/>
        </w:rPr>
        <w:t>DHSC</w:t>
      </w:r>
      <w:r w:rsidRPr="0031126E">
        <w:rPr>
          <w:rStyle w:val="s1"/>
          <w:rFonts w:ascii="Arial" w:hAnsi="Arial"/>
          <w:b w:val="0"/>
          <w:bCs w:val="0"/>
          <w:sz w:val="22"/>
          <w:szCs w:val="22"/>
        </w:rPr>
        <w:t xml:space="preserve">, 2025; </w:t>
      </w:r>
      <w:r w:rsidR="00717668">
        <w:rPr>
          <w:rStyle w:val="s1"/>
          <w:rFonts w:ascii="Arial" w:hAnsi="Arial"/>
          <w:b w:val="0"/>
          <w:bCs w:val="0"/>
          <w:sz w:val="22"/>
          <w:szCs w:val="22"/>
        </w:rPr>
        <w:t>DHSC</w:t>
      </w:r>
      <w:r w:rsidRPr="0031126E">
        <w:rPr>
          <w:rStyle w:val="s1"/>
          <w:rFonts w:ascii="Arial" w:hAnsi="Arial"/>
          <w:b w:val="0"/>
          <w:bCs w:val="0"/>
          <w:sz w:val="22"/>
          <w:szCs w:val="22"/>
        </w:rPr>
        <w:t>, 2026).</w:t>
      </w:r>
    </w:p>
    <w:p w14:paraId="447E9E61" w14:textId="77777777" w:rsidR="00727985" w:rsidRPr="0031126E" w:rsidRDefault="00727985" w:rsidP="0031126E">
      <w:pPr>
        <w:pStyle w:val="p1"/>
        <w:spacing w:line="360" w:lineRule="auto"/>
        <w:jc w:val="both"/>
        <w:rPr>
          <w:sz w:val="22"/>
          <w:szCs w:val="22"/>
        </w:rPr>
      </w:pPr>
    </w:p>
    <w:p w14:paraId="25822505" w14:textId="77777777" w:rsidR="002D6504" w:rsidRPr="009D00D5" w:rsidRDefault="002D6504" w:rsidP="0031126E">
      <w:pPr>
        <w:pStyle w:val="p1"/>
        <w:spacing w:line="360" w:lineRule="auto"/>
        <w:jc w:val="both"/>
        <w:rPr>
          <w:rStyle w:val="s1"/>
          <w:rFonts w:ascii="Arial" w:hAnsi="Arial"/>
          <w:sz w:val="22"/>
          <w:szCs w:val="22"/>
        </w:rPr>
      </w:pPr>
      <w:r w:rsidRPr="009D00D5">
        <w:rPr>
          <w:rStyle w:val="s1"/>
          <w:rFonts w:ascii="Arial" w:hAnsi="Arial"/>
          <w:sz w:val="22"/>
          <w:szCs w:val="22"/>
        </w:rPr>
        <w:t>Community Impact</w:t>
      </w:r>
    </w:p>
    <w:p w14:paraId="0BD1FD49" w14:textId="77777777" w:rsidR="00FD2456" w:rsidRPr="0031126E" w:rsidRDefault="00FD2456" w:rsidP="0031126E">
      <w:pPr>
        <w:pStyle w:val="p1"/>
        <w:spacing w:line="360" w:lineRule="auto"/>
        <w:jc w:val="both"/>
        <w:rPr>
          <w:rStyle w:val="s1"/>
          <w:rFonts w:ascii="Arial" w:hAnsi="Arial"/>
          <w:b w:val="0"/>
          <w:bCs w:val="0"/>
          <w:sz w:val="22"/>
          <w:szCs w:val="22"/>
        </w:rPr>
      </w:pPr>
    </w:p>
    <w:p w14:paraId="517B92BE" w14:textId="5F30354C" w:rsidR="00DD57EB" w:rsidRPr="0031126E" w:rsidRDefault="00DD57EB" w:rsidP="0031126E">
      <w:pPr>
        <w:pStyle w:val="p1"/>
        <w:spacing w:line="360" w:lineRule="auto"/>
        <w:jc w:val="both"/>
        <w:rPr>
          <w:rStyle w:val="s1"/>
          <w:rFonts w:ascii="Arial" w:hAnsi="Arial"/>
          <w:b w:val="0"/>
          <w:bCs w:val="0"/>
          <w:sz w:val="22"/>
          <w:szCs w:val="22"/>
        </w:rPr>
      </w:pPr>
      <w:r w:rsidRPr="0031126E">
        <w:rPr>
          <w:rStyle w:val="s1"/>
          <w:rFonts w:ascii="Arial" w:hAnsi="Arial"/>
          <w:b w:val="0"/>
          <w:bCs w:val="0"/>
          <w:sz w:val="22"/>
          <w:szCs w:val="22"/>
        </w:rPr>
        <w:t>DERM has the potential to improve population health by facilitating earlier skin cancer diagnosis, reducing unnecessary referrals and increasing dermatology capacity, supporting national ambitions within the NHS Long Term Plan, the Teledermatology Roadmap, the National Cancer Plan and Fit for the Future to improve cancer outcomes through digitally enabled care (</w:t>
      </w:r>
      <w:r w:rsidR="00515A44">
        <w:rPr>
          <w:rStyle w:val="s1"/>
          <w:rFonts w:ascii="Arial" w:hAnsi="Arial"/>
          <w:b w:val="0"/>
          <w:bCs w:val="0"/>
          <w:sz w:val="22"/>
          <w:szCs w:val="22"/>
        </w:rPr>
        <w:t xml:space="preserve">Edge Health, 2024; </w:t>
      </w:r>
      <w:r w:rsidRPr="0031126E">
        <w:rPr>
          <w:rStyle w:val="s1"/>
          <w:rFonts w:ascii="Arial" w:hAnsi="Arial"/>
          <w:b w:val="0"/>
          <w:bCs w:val="0"/>
          <w:sz w:val="22"/>
          <w:szCs w:val="22"/>
        </w:rPr>
        <w:t xml:space="preserve">NHS England, 2019; NHS England, 2022; </w:t>
      </w:r>
      <w:r w:rsidR="00717668">
        <w:rPr>
          <w:rStyle w:val="s1"/>
          <w:rFonts w:ascii="Arial" w:hAnsi="Arial"/>
          <w:b w:val="0"/>
          <w:bCs w:val="0"/>
          <w:sz w:val="22"/>
          <w:szCs w:val="22"/>
        </w:rPr>
        <w:t>DHSC</w:t>
      </w:r>
      <w:r w:rsidRPr="0031126E">
        <w:rPr>
          <w:rStyle w:val="s1"/>
          <w:rFonts w:ascii="Arial" w:hAnsi="Arial"/>
          <w:b w:val="0"/>
          <w:bCs w:val="0"/>
          <w:sz w:val="22"/>
          <w:szCs w:val="22"/>
        </w:rPr>
        <w:t xml:space="preserve">, 2025; </w:t>
      </w:r>
      <w:r w:rsidR="00717668">
        <w:rPr>
          <w:rStyle w:val="s1"/>
          <w:rFonts w:ascii="Arial" w:hAnsi="Arial"/>
          <w:b w:val="0"/>
          <w:bCs w:val="0"/>
          <w:sz w:val="22"/>
          <w:szCs w:val="22"/>
        </w:rPr>
        <w:t>DHSC</w:t>
      </w:r>
      <w:r w:rsidRPr="0031126E">
        <w:rPr>
          <w:rStyle w:val="s1"/>
          <w:rFonts w:ascii="Arial" w:hAnsi="Arial"/>
          <w:b w:val="0"/>
          <w:bCs w:val="0"/>
          <w:sz w:val="22"/>
          <w:szCs w:val="22"/>
        </w:rPr>
        <w:t>, 2026; Marsden et al., 2024; Carson et al., 2026). Nevertheless, current evidence demonstrates improvements in service performance more convincingly than improvements in community health. Although earlier diagnosis is associated with significantly higher melanoma survival (Cancer Research UK, 2024b), there remains limited longitudinal evidence that DERM has reduced population mortality, narrowed health inequalities or improved public health outcomes following wider NHS implementation (Walton et al., 2026; Karimzadhagh et al., 2025; Hoogenboom et al., 2025).</w:t>
      </w:r>
    </w:p>
    <w:p w14:paraId="0CB97345" w14:textId="77777777" w:rsidR="00DD57EB" w:rsidRPr="0031126E" w:rsidRDefault="00DD57EB" w:rsidP="0031126E">
      <w:pPr>
        <w:pStyle w:val="p1"/>
        <w:spacing w:line="360" w:lineRule="auto"/>
        <w:jc w:val="both"/>
        <w:rPr>
          <w:rStyle w:val="s1"/>
          <w:rFonts w:ascii="Arial" w:hAnsi="Arial"/>
          <w:b w:val="0"/>
          <w:bCs w:val="0"/>
          <w:sz w:val="22"/>
          <w:szCs w:val="22"/>
        </w:rPr>
      </w:pPr>
    </w:p>
    <w:p w14:paraId="4187D54A" w14:textId="525237E3" w:rsidR="00DD57EB" w:rsidRPr="0031126E" w:rsidRDefault="00DD57EB" w:rsidP="0031126E">
      <w:pPr>
        <w:pStyle w:val="p1"/>
        <w:spacing w:line="360" w:lineRule="auto"/>
        <w:jc w:val="both"/>
        <w:rPr>
          <w:rStyle w:val="s1"/>
          <w:rFonts w:ascii="Arial" w:hAnsi="Arial"/>
          <w:b w:val="0"/>
          <w:bCs w:val="0"/>
          <w:sz w:val="22"/>
          <w:szCs w:val="22"/>
        </w:rPr>
      </w:pPr>
      <w:r w:rsidRPr="0031126E">
        <w:rPr>
          <w:rStyle w:val="s1"/>
          <w:rFonts w:ascii="Arial" w:hAnsi="Arial"/>
          <w:b w:val="0"/>
          <w:bCs w:val="0"/>
          <w:sz w:val="22"/>
          <w:szCs w:val="22"/>
        </w:rPr>
        <w:t>Community-based teledermatology may improve access by enabling assessment closer to home, reducing travel, financial burden and disruption for families, particularly in rural or underserved areas (</w:t>
      </w:r>
      <w:r w:rsidR="00515A44">
        <w:rPr>
          <w:rStyle w:val="s1"/>
          <w:rFonts w:ascii="Arial" w:hAnsi="Arial"/>
          <w:b w:val="0"/>
          <w:bCs w:val="0"/>
          <w:sz w:val="22"/>
          <w:szCs w:val="22"/>
        </w:rPr>
        <w:t xml:space="preserve">Edge Health, 2024; </w:t>
      </w:r>
      <w:r w:rsidRPr="0031126E">
        <w:rPr>
          <w:rStyle w:val="s1"/>
          <w:rFonts w:ascii="Arial" w:hAnsi="Arial"/>
          <w:b w:val="0"/>
          <w:bCs w:val="0"/>
          <w:sz w:val="22"/>
          <w:szCs w:val="22"/>
        </w:rPr>
        <w:t xml:space="preserve">Palamaras et al., 2022; Thomas et al., 2023; NHS England, 2022). However, these benefits remain contingent upon equitable access to digital infrastructure, trained staff and integrated referral pathways. Consequently, communities with lower digital maturity may experience fewer benefits, potentially reinforcing geographical inequalities despite national commitments to equitable healthcare access (Asthana, Jones and Sheaff, 2019; Pope et al., 2024; </w:t>
      </w:r>
      <w:r w:rsidR="00717668">
        <w:rPr>
          <w:rStyle w:val="s1"/>
          <w:rFonts w:ascii="Arial" w:hAnsi="Arial"/>
          <w:b w:val="0"/>
          <w:bCs w:val="0"/>
          <w:sz w:val="22"/>
          <w:szCs w:val="22"/>
        </w:rPr>
        <w:t>DHSC</w:t>
      </w:r>
      <w:r w:rsidRPr="0031126E">
        <w:rPr>
          <w:rStyle w:val="s1"/>
          <w:rFonts w:ascii="Arial" w:hAnsi="Arial"/>
          <w:b w:val="0"/>
          <w:bCs w:val="0"/>
          <w:sz w:val="22"/>
          <w:szCs w:val="22"/>
        </w:rPr>
        <w:t>, 2025). Furthermore, published evaluations provide limited evidence of meaningful co-production beyond patient acceptability studies, suggesting implementation has been largely clinician- and organisation-led rather than developed collaboratively with patients, carers or local communities (Kawsar et al., 2023; Greenhalgh et al., 2017).</w:t>
      </w:r>
    </w:p>
    <w:p w14:paraId="130E4CB4" w14:textId="77777777" w:rsidR="00DD57EB" w:rsidRPr="0031126E" w:rsidRDefault="00DD57EB" w:rsidP="0031126E">
      <w:pPr>
        <w:pStyle w:val="p1"/>
        <w:spacing w:line="360" w:lineRule="auto"/>
        <w:jc w:val="both"/>
        <w:rPr>
          <w:rStyle w:val="s1"/>
          <w:rFonts w:ascii="Arial" w:hAnsi="Arial"/>
          <w:b w:val="0"/>
          <w:bCs w:val="0"/>
          <w:sz w:val="22"/>
          <w:szCs w:val="22"/>
        </w:rPr>
      </w:pPr>
    </w:p>
    <w:p w14:paraId="06E062D7" w14:textId="31C59D5D" w:rsidR="00DC6443" w:rsidRPr="0031126E" w:rsidRDefault="00DD57EB" w:rsidP="0031126E">
      <w:pPr>
        <w:pStyle w:val="p1"/>
        <w:spacing w:line="360" w:lineRule="auto"/>
        <w:jc w:val="both"/>
        <w:rPr>
          <w:rStyle w:val="s1"/>
          <w:rFonts w:ascii="Arial" w:hAnsi="Arial"/>
          <w:b w:val="0"/>
          <w:bCs w:val="0"/>
          <w:sz w:val="22"/>
          <w:szCs w:val="22"/>
        </w:rPr>
      </w:pPr>
      <w:r w:rsidRPr="0031126E">
        <w:rPr>
          <w:rStyle w:val="s1"/>
          <w:rFonts w:ascii="Arial" w:hAnsi="Arial"/>
          <w:b w:val="0"/>
          <w:bCs w:val="0"/>
          <w:sz w:val="22"/>
          <w:szCs w:val="22"/>
        </w:rPr>
        <w:t xml:space="preserve">The wider societal impact therefore remains uncertain. Older adults, individuals with lower health literacy and digitally excluded populations may engage less effectively with AI-supported pathways if information is inaccessible or support is inadequate (Jones et al., 2022; Li et al., 2025; </w:t>
      </w:r>
      <w:r w:rsidR="00B66A54">
        <w:rPr>
          <w:rStyle w:val="s1"/>
          <w:rFonts w:ascii="Arial" w:hAnsi="Arial"/>
          <w:b w:val="0"/>
          <w:bCs w:val="0"/>
          <w:sz w:val="22"/>
          <w:szCs w:val="22"/>
        </w:rPr>
        <w:t>NHS England, 2026</w:t>
      </w:r>
      <w:r w:rsidRPr="0031126E">
        <w:rPr>
          <w:rStyle w:val="s1"/>
          <w:rFonts w:ascii="Arial" w:hAnsi="Arial"/>
          <w:b w:val="0"/>
          <w:bCs w:val="0"/>
          <w:sz w:val="22"/>
          <w:szCs w:val="22"/>
        </w:rPr>
        <w:t xml:space="preserve">). Viewed through the NASSS framework, successful community impact depends not only on technological performance but on equitable implementation, meaningful co-production and rigorous evaluation of population outcomes. </w:t>
      </w:r>
      <w:r w:rsidRPr="0031126E">
        <w:rPr>
          <w:rStyle w:val="s1"/>
          <w:rFonts w:ascii="Arial" w:hAnsi="Arial"/>
          <w:b w:val="0"/>
          <w:bCs w:val="0"/>
          <w:sz w:val="22"/>
          <w:szCs w:val="22"/>
        </w:rPr>
        <w:lastRenderedPageBreak/>
        <w:t>Without these, DERM risks achieving measurable NHS efficiencies while delivering only limited and uneven public health benefit (Greenhalgh et al., 2017; Wen et al., 2024; Walton et al., 2026).</w:t>
      </w:r>
    </w:p>
    <w:p w14:paraId="213B28A0" w14:textId="77777777" w:rsidR="00672694" w:rsidRPr="0031126E" w:rsidRDefault="00672694" w:rsidP="0031126E">
      <w:pPr>
        <w:pStyle w:val="p1"/>
        <w:spacing w:line="360" w:lineRule="auto"/>
        <w:jc w:val="both"/>
        <w:rPr>
          <w:rStyle w:val="s1"/>
          <w:rFonts w:ascii="Arial" w:hAnsi="Arial"/>
          <w:b w:val="0"/>
          <w:bCs w:val="0"/>
          <w:sz w:val="22"/>
          <w:szCs w:val="22"/>
        </w:rPr>
      </w:pPr>
    </w:p>
    <w:p w14:paraId="071BEFBB" w14:textId="77777777" w:rsidR="00672694" w:rsidRPr="0031126E" w:rsidRDefault="00672694" w:rsidP="0031126E">
      <w:pPr>
        <w:pStyle w:val="p1"/>
        <w:spacing w:line="360" w:lineRule="auto"/>
        <w:jc w:val="both"/>
        <w:rPr>
          <w:rStyle w:val="s1"/>
          <w:rFonts w:ascii="Arial" w:hAnsi="Arial"/>
          <w:b w:val="0"/>
          <w:bCs w:val="0"/>
          <w:sz w:val="22"/>
          <w:szCs w:val="22"/>
        </w:rPr>
      </w:pPr>
    </w:p>
    <w:p w14:paraId="762A0FC0" w14:textId="77777777" w:rsidR="00885E8D" w:rsidRPr="00362148" w:rsidRDefault="00885E8D" w:rsidP="0031126E">
      <w:pPr>
        <w:pStyle w:val="p1"/>
        <w:spacing w:line="360" w:lineRule="auto"/>
        <w:jc w:val="both"/>
        <w:rPr>
          <w:sz w:val="22"/>
          <w:szCs w:val="22"/>
        </w:rPr>
      </w:pPr>
      <w:r w:rsidRPr="00362148">
        <w:rPr>
          <w:rStyle w:val="s1"/>
          <w:rFonts w:ascii="Arial" w:hAnsi="Arial"/>
          <w:sz w:val="22"/>
          <w:szCs w:val="22"/>
        </w:rPr>
        <w:t>Conclusion</w:t>
      </w:r>
    </w:p>
    <w:p w14:paraId="0D35897D" w14:textId="77777777" w:rsidR="00885E8D" w:rsidRPr="0031126E" w:rsidRDefault="00885E8D" w:rsidP="0031126E">
      <w:pPr>
        <w:pStyle w:val="p1"/>
        <w:spacing w:line="360" w:lineRule="auto"/>
        <w:jc w:val="both"/>
        <w:rPr>
          <w:sz w:val="22"/>
          <w:szCs w:val="22"/>
        </w:rPr>
      </w:pPr>
    </w:p>
    <w:p w14:paraId="55B364CD" w14:textId="77777777" w:rsidR="0060293A" w:rsidRPr="0031126E" w:rsidRDefault="0060293A" w:rsidP="0031126E">
      <w:pPr>
        <w:pStyle w:val="p1"/>
        <w:spacing w:line="360" w:lineRule="auto"/>
        <w:jc w:val="both"/>
        <w:rPr>
          <w:sz w:val="22"/>
          <w:szCs w:val="22"/>
        </w:rPr>
      </w:pPr>
    </w:p>
    <w:p w14:paraId="1EF8C9C5" w14:textId="77777777" w:rsidR="00C37A3F" w:rsidRPr="0031126E" w:rsidRDefault="00DB46A8" w:rsidP="0031126E">
      <w:pPr>
        <w:pStyle w:val="p1"/>
        <w:spacing w:line="360" w:lineRule="auto"/>
        <w:jc w:val="both"/>
        <w:rPr>
          <w:sz w:val="22"/>
          <w:szCs w:val="22"/>
        </w:rPr>
      </w:pPr>
      <w:r w:rsidRPr="0031126E">
        <w:rPr>
          <w:sz w:val="22"/>
          <w:szCs w:val="22"/>
        </w:rPr>
        <w:t xml:space="preserve">DERM demonstrates that autonomous AI can improve the efficiency, sustainability and cost-effectiveness of NHS skin cancer pathways by optimising specialist capacity, supporting earlier diagnosis and redesigning service delivery. However, current evidence more convincingly demonstrates improvements in operational performance than patient-centred or community outcomes. Sustainable success will therefore depend on equitable implementation, workforce development, robust governance and continued clinician oversight. </w:t>
      </w:r>
    </w:p>
    <w:p w14:paraId="32765F17" w14:textId="77777777" w:rsidR="00C37A3F" w:rsidRPr="0031126E" w:rsidRDefault="00C37A3F" w:rsidP="0031126E">
      <w:pPr>
        <w:pStyle w:val="p1"/>
        <w:spacing w:line="360" w:lineRule="auto"/>
        <w:jc w:val="both"/>
        <w:rPr>
          <w:sz w:val="22"/>
          <w:szCs w:val="22"/>
        </w:rPr>
      </w:pPr>
    </w:p>
    <w:p w14:paraId="49CA6B46" w14:textId="49613D38" w:rsidR="0060293A" w:rsidRDefault="00DB46A8" w:rsidP="0031126E">
      <w:pPr>
        <w:pStyle w:val="p1"/>
        <w:spacing w:line="360" w:lineRule="auto"/>
        <w:jc w:val="both"/>
        <w:rPr>
          <w:sz w:val="22"/>
          <w:szCs w:val="22"/>
        </w:rPr>
      </w:pPr>
      <w:r w:rsidRPr="0031126E">
        <w:rPr>
          <w:sz w:val="22"/>
          <w:szCs w:val="22"/>
        </w:rPr>
        <w:t>Future implementation should align with the NHS Long Term Plan, the National Cancer Plan and the Plan for Digital Health and Social Care by expanding equitable access, strengthening co-production, diversifying AI training datasets and undertaking longitudinal evaluation of patient, community and health inequality outcomes.</w:t>
      </w:r>
      <w:r w:rsidR="00A26830" w:rsidRPr="0031126E">
        <w:rPr>
          <w:sz w:val="22"/>
          <w:szCs w:val="22"/>
        </w:rPr>
        <w:t xml:space="preserve"> DERM should be considered for wider national implementation across NHS dermatology services, subject to continued evidence of clinical effectiveness, cost-effectiveness, equity and governance.</w:t>
      </w:r>
    </w:p>
    <w:p w14:paraId="58763622" w14:textId="77777777" w:rsidR="00CF29B2" w:rsidRDefault="00CF29B2" w:rsidP="0031126E">
      <w:pPr>
        <w:pStyle w:val="p1"/>
        <w:spacing w:line="360" w:lineRule="auto"/>
        <w:jc w:val="both"/>
        <w:rPr>
          <w:sz w:val="22"/>
          <w:szCs w:val="22"/>
        </w:rPr>
      </w:pPr>
    </w:p>
    <w:p w14:paraId="5233314C" w14:textId="07CCC7BF" w:rsidR="00AE3F40" w:rsidRPr="008B240B" w:rsidRDefault="00CF29B2" w:rsidP="008B240B">
      <w:pPr>
        <w:pStyle w:val="p1"/>
        <w:spacing w:line="360" w:lineRule="auto"/>
        <w:jc w:val="both"/>
        <w:rPr>
          <w:b/>
          <w:bCs/>
          <w:sz w:val="22"/>
          <w:szCs w:val="22"/>
        </w:rPr>
      </w:pPr>
      <w:r w:rsidRPr="00CF29B2">
        <w:rPr>
          <w:b/>
          <w:bCs/>
          <w:sz w:val="22"/>
          <w:szCs w:val="22"/>
        </w:rPr>
        <w:t>Referenc</w:t>
      </w:r>
      <w:r w:rsidR="008B240B">
        <w:rPr>
          <w:b/>
          <w:bCs/>
          <w:sz w:val="22"/>
          <w:szCs w:val="22"/>
        </w:rPr>
        <w:t>es</w:t>
      </w:r>
    </w:p>
    <w:p w14:paraId="10F71C22" w14:textId="77777777" w:rsidR="00AE3F40" w:rsidRPr="00AE3F40" w:rsidRDefault="00AE3F40" w:rsidP="00AE3F40">
      <w:pPr>
        <w:spacing w:line="360" w:lineRule="auto"/>
        <w:rPr>
          <w:rFonts w:ascii="Arial" w:hAnsi="Arial" w:cs="Arial"/>
          <w:sz w:val="22"/>
          <w:szCs w:val="22"/>
        </w:rPr>
      </w:pPr>
    </w:p>
    <w:p w14:paraId="72FF10ED" w14:textId="4E3CD447" w:rsidR="00AE3F40" w:rsidRPr="00AE3F40" w:rsidRDefault="00AE3F40" w:rsidP="00AE3F40">
      <w:pPr>
        <w:spacing w:line="360" w:lineRule="auto"/>
        <w:rPr>
          <w:rFonts w:ascii="Arial" w:hAnsi="Arial" w:cs="Arial"/>
          <w:sz w:val="22"/>
          <w:szCs w:val="22"/>
        </w:rPr>
      </w:pPr>
      <w:r w:rsidRPr="00AE3F40">
        <w:rPr>
          <w:rFonts w:ascii="Arial" w:hAnsi="Arial" w:cs="Arial"/>
          <w:sz w:val="22"/>
          <w:szCs w:val="22"/>
        </w:rPr>
        <w:t xml:space="preserve">Asthana, S., Jones, R. and Sheaff, R. (2019) </w:t>
      </w:r>
      <w:r w:rsidR="001A0E3B">
        <w:rPr>
          <w:rFonts w:ascii="Arial" w:hAnsi="Arial" w:cs="Arial"/>
          <w:sz w:val="22"/>
          <w:szCs w:val="22"/>
        </w:rPr>
        <w:t>‘</w:t>
      </w:r>
      <w:r w:rsidRPr="00AE3F40">
        <w:rPr>
          <w:rFonts w:ascii="Arial" w:hAnsi="Arial" w:cs="Arial"/>
          <w:sz w:val="22"/>
          <w:szCs w:val="22"/>
        </w:rPr>
        <w:t>Why does the NHS struggle to adopt eHealth innovations? A review of macro, meso and micro factors</w:t>
      </w:r>
      <w:r w:rsidR="001A0E3B">
        <w:rPr>
          <w:rFonts w:ascii="Arial" w:hAnsi="Arial" w:cs="Arial"/>
          <w:sz w:val="22"/>
          <w:szCs w:val="22"/>
        </w:rPr>
        <w:t>’,</w:t>
      </w:r>
      <w:r w:rsidRPr="00AE3F40">
        <w:rPr>
          <w:rFonts w:ascii="Arial" w:hAnsi="Arial" w:cs="Arial"/>
          <w:sz w:val="22"/>
          <w:szCs w:val="22"/>
        </w:rPr>
        <w:t xml:space="preserve"> </w:t>
      </w:r>
      <w:r w:rsidRPr="008B240B">
        <w:rPr>
          <w:rFonts w:ascii="Arial" w:hAnsi="Arial" w:cs="Arial"/>
          <w:i/>
          <w:iCs/>
          <w:sz w:val="22"/>
          <w:szCs w:val="22"/>
        </w:rPr>
        <w:t>BMC Health Services Research</w:t>
      </w:r>
      <w:r w:rsidRPr="00AE3F40">
        <w:rPr>
          <w:rFonts w:ascii="Arial" w:hAnsi="Arial" w:cs="Arial"/>
          <w:sz w:val="22"/>
          <w:szCs w:val="22"/>
        </w:rPr>
        <w:t xml:space="preserve">, 19. Available at: https://doi.org/10.1186/s12913-019-4790-x </w:t>
      </w:r>
    </w:p>
    <w:p w14:paraId="3E39465D" w14:textId="77777777" w:rsidR="00AE3F40" w:rsidRPr="00AE3F40" w:rsidRDefault="00AE3F40" w:rsidP="00AE3F40">
      <w:pPr>
        <w:spacing w:line="360" w:lineRule="auto"/>
        <w:rPr>
          <w:rFonts w:ascii="Arial" w:hAnsi="Arial" w:cs="Arial"/>
          <w:sz w:val="22"/>
          <w:szCs w:val="22"/>
        </w:rPr>
      </w:pPr>
      <w:r w:rsidRPr="008B240B">
        <w:rPr>
          <w:rFonts w:ascii="Arial" w:hAnsi="Arial" w:cs="Arial"/>
          <w:i/>
          <w:iCs/>
          <w:sz w:val="22"/>
          <w:szCs w:val="22"/>
        </w:rPr>
        <w:t>Caldicott Principles</w:t>
      </w:r>
      <w:r w:rsidRPr="00AE3F40">
        <w:rPr>
          <w:rFonts w:ascii="Arial" w:hAnsi="Arial" w:cs="Arial"/>
          <w:sz w:val="22"/>
          <w:szCs w:val="22"/>
        </w:rPr>
        <w:t xml:space="preserve"> (2020). Available at: https://www.gov.uk/government/publications/the-caldicott-principles (Accessed: 28 June 2026).</w:t>
      </w:r>
    </w:p>
    <w:p w14:paraId="364D37C6" w14:textId="77777777" w:rsidR="00AE3F40" w:rsidRPr="00AE3F40" w:rsidRDefault="00AE3F40" w:rsidP="00AE3F40">
      <w:pPr>
        <w:spacing w:line="360" w:lineRule="auto"/>
        <w:rPr>
          <w:rFonts w:ascii="Arial" w:hAnsi="Arial" w:cs="Arial"/>
          <w:sz w:val="22"/>
          <w:szCs w:val="22"/>
        </w:rPr>
      </w:pPr>
      <w:r w:rsidRPr="00AE3F40">
        <w:rPr>
          <w:rFonts w:ascii="Arial" w:hAnsi="Arial" w:cs="Arial"/>
          <w:sz w:val="22"/>
          <w:szCs w:val="22"/>
        </w:rPr>
        <w:t xml:space="preserve">Cancer Research UK (2024a) </w:t>
      </w:r>
      <w:r w:rsidRPr="008B240B">
        <w:rPr>
          <w:rFonts w:ascii="Arial" w:hAnsi="Arial" w:cs="Arial"/>
          <w:i/>
          <w:iCs/>
          <w:sz w:val="22"/>
          <w:szCs w:val="22"/>
        </w:rPr>
        <w:t>Melanoma skin cancer statistics</w:t>
      </w:r>
      <w:r w:rsidRPr="00AE3F40">
        <w:rPr>
          <w:rFonts w:ascii="Arial" w:hAnsi="Arial" w:cs="Arial"/>
          <w:sz w:val="22"/>
          <w:szCs w:val="22"/>
        </w:rPr>
        <w:t>. Available at: https://www.cancerresearchuk.org/health-professional/cancer-statistics/statistics-by-cancer-type/melanoma-skin-cancer (Accessed: 28 June 2026).</w:t>
      </w:r>
    </w:p>
    <w:p w14:paraId="4B61868A" w14:textId="77777777" w:rsidR="00AE3F40" w:rsidRPr="00AE3F40" w:rsidRDefault="00AE3F40" w:rsidP="00AE3F40">
      <w:pPr>
        <w:spacing w:line="360" w:lineRule="auto"/>
        <w:rPr>
          <w:rFonts w:ascii="Arial" w:hAnsi="Arial" w:cs="Arial"/>
          <w:sz w:val="22"/>
          <w:szCs w:val="22"/>
        </w:rPr>
      </w:pPr>
      <w:r w:rsidRPr="00AE3F40">
        <w:rPr>
          <w:rFonts w:ascii="Arial" w:hAnsi="Arial" w:cs="Arial"/>
          <w:sz w:val="22"/>
          <w:szCs w:val="22"/>
        </w:rPr>
        <w:t xml:space="preserve">Cancer Research UK (2024b) </w:t>
      </w:r>
      <w:r w:rsidRPr="008B240B">
        <w:rPr>
          <w:rFonts w:ascii="Arial" w:hAnsi="Arial" w:cs="Arial"/>
          <w:i/>
          <w:iCs/>
          <w:sz w:val="22"/>
          <w:szCs w:val="22"/>
        </w:rPr>
        <w:t>Survival for melanoma skin cancer</w:t>
      </w:r>
      <w:r w:rsidRPr="00AE3F40">
        <w:rPr>
          <w:rFonts w:ascii="Arial" w:hAnsi="Arial" w:cs="Arial"/>
          <w:sz w:val="22"/>
          <w:szCs w:val="22"/>
        </w:rPr>
        <w:t>. Available at: https://www.cancerresearchuk.org/about-cancer/melanoma/survival#about-these-statistics (Accessed: 28 June 2026).</w:t>
      </w:r>
    </w:p>
    <w:p w14:paraId="77732D47" w14:textId="7DA4DCD4" w:rsidR="00AE3F40" w:rsidRPr="00AE3F40" w:rsidRDefault="00AE3F40" w:rsidP="00AE3F40">
      <w:pPr>
        <w:spacing w:line="360" w:lineRule="auto"/>
        <w:rPr>
          <w:rFonts w:ascii="Arial" w:hAnsi="Arial" w:cs="Arial"/>
          <w:sz w:val="22"/>
          <w:szCs w:val="22"/>
        </w:rPr>
      </w:pPr>
      <w:r w:rsidRPr="00AE3F40">
        <w:rPr>
          <w:rFonts w:ascii="Arial" w:hAnsi="Arial" w:cs="Arial"/>
          <w:sz w:val="22"/>
          <w:szCs w:val="22"/>
        </w:rPr>
        <w:lastRenderedPageBreak/>
        <w:t xml:space="preserve">Carson, L., Fleming, R., Lennard, E., Matin, R.N. and Fleming, C. (2026) </w:t>
      </w:r>
      <w:r w:rsidR="001A0E3B">
        <w:rPr>
          <w:rFonts w:ascii="Arial" w:hAnsi="Arial" w:cs="Arial"/>
          <w:sz w:val="22"/>
          <w:szCs w:val="22"/>
        </w:rPr>
        <w:t>‘</w:t>
      </w:r>
      <w:r w:rsidRPr="00AE3F40">
        <w:rPr>
          <w:rFonts w:ascii="Arial" w:hAnsi="Arial" w:cs="Arial"/>
          <w:sz w:val="22"/>
          <w:szCs w:val="22"/>
        </w:rPr>
        <w:t>Real-world effectiveness of artificial-intelligence-assisted lesion triage on cancer waiting times</w:t>
      </w:r>
      <w:r w:rsidR="001A0E3B">
        <w:rPr>
          <w:rFonts w:ascii="Arial" w:hAnsi="Arial" w:cs="Arial"/>
          <w:sz w:val="22"/>
          <w:szCs w:val="22"/>
        </w:rPr>
        <w:t xml:space="preserve">’, </w:t>
      </w:r>
      <w:r w:rsidRPr="00AE3F40">
        <w:rPr>
          <w:rFonts w:ascii="Arial" w:hAnsi="Arial" w:cs="Arial"/>
          <w:sz w:val="22"/>
          <w:szCs w:val="22"/>
        </w:rPr>
        <w:t xml:space="preserve">British Journal of Dermatology, 194(6), pp. 1188–1190. Available at: https://doi.org/10.1093/bjd/ljag120 </w:t>
      </w:r>
    </w:p>
    <w:p w14:paraId="189CF222" w14:textId="77777777" w:rsidR="00AE3F40" w:rsidRPr="00AE3F40" w:rsidRDefault="00AE3F40" w:rsidP="00AE3F40">
      <w:pPr>
        <w:spacing w:line="360" w:lineRule="auto"/>
        <w:rPr>
          <w:rFonts w:ascii="Arial" w:hAnsi="Arial" w:cs="Arial"/>
          <w:sz w:val="22"/>
          <w:szCs w:val="22"/>
        </w:rPr>
      </w:pPr>
      <w:r w:rsidRPr="001A0E3B">
        <w:rPr>
          <w:rFonts w:ascii="Arial" w:hAnsi="Arial" w:cs="Arial"/>
          <w:i/>
          <w:iCs/>
          <w:sz w:val="22"/>
          <w:szCs w:val="22"/>
        </w:rPr>
        <w:t>Data Protection Act 2018</w:t>
      </w:r>
      <w:r w:rsidRPr="00AE3F40">
        <w:rPr>
          <w:rFonts w:ascii="Arial" w:hAnsi="Arial" w:cs="Arial"/>
          <w:sz w:val="22"/>
          <w:szCs w:val="22"/>
        </w:rPr>
        <w:t>. Available at: https://www.legislation.gov.uk/ukpga/2018/12/contents (Accessed: 28 June 2026).</w:t>
      </w:r>
    </w:p>
    <w:p w14:paraId="5801C736" w14:textId="77777777" w:rsidR="00AE3F40" w:rsidRPr="00AE3F40" w:rsidRDefault="00AE3F40" w:rsidP="00AE3F40">
      <w:pPr>
        <w:spacing w:line="360" w:lineRule="auto"/>
        <w:rPr>
          <w:rFonts w:ascii="Arial" w:hAnsi="Arial" w:cs="Arial"/>
          <w:sz w:val="22"/>
          <w:szCs w:val="22"/>
        </w:rPr>
      </w:pPr>
      <w:r w:rsidRPr="00AE3F40">
        <w:rPr>
          <w:rFonts w:ascii="Arial" w:hAnsi="Arial" w:cs="Arial"/>
          <w:sz w:val="22"/>
          <w:szCs w:val="22"/>
        </w:rPr>
        <w:t xml:space="preserve">Department of Health and Social Care (2025) </w:t>
      </w:r>
      <w:r w:rsidRPr="001A0E3B">
        <w:rPr>
          <w:rFonts w:ascii="Arial" w:hAnsi="Arial" w:cs="Arial"/>
          <w:i/>
          <w:iCs/>
          <w:sz w:val="22"/>
          <w:szCs w:val="22"/>
        </w:rPr>
        <w:t>10 Year Health Plan for England: fit for the future</w:t>
      </w:r>
      <w:r w:rsidRPr="00AE3F40">
        <w:rPr>
          <w:rFonts w:ascii="Arial" w:hAnsi="Arial" w:cs="Arial"/>
          <w:sz w:val="22"/>
          <w:szCs w:val="22"/>
        </w:rPr>
        <w:t>. Available at: https://www.gov.uk/government/publications/10-year-health-plan-for-england-fit-for-the-future (Accessed: 28 June 2026).</w:t>
      </w:r>
    </w:p>
    <w:p w14:paraId="574439AF" w14:textId="77777777" w:rsidR="00AE3F40" w:rsidRPr="00AE3F40" w:rsidRDefault="00AE3F40" w:rsidP="00AE3F40">
      <w:pPr>
        <w:spacing w:line="360" w:lineRule="auto"/>
        <w:rPr>
          <w:rFonts w:ascii="Arial" w:hAnsi="Arial" w:cs="Arial"/>
          <w:sz w:val="22"/>
          <w:szCs w:val="22"/>
        </w:rPr>
      </w:pPr>
      <w:r w:rsidRPr="00AE3F40">
        <w:rPr>
          <w:rFonts w:ascii="Arial" w:hAnsi="Arial" w:cs="Arial"/>
          <w:sz w:val="22"/>
          <w:szCs w:val="22"/>
        </w:rPr>
        <w:t xml:space="preserve">Department of Health and Social Care (2026) </w:t>
      </w:r>
      <w:r w:rsidRPr="001A0E3B">
        <w:rPr>
          <w:rFonts w:ascii="Arial" w:hAnsi="Arial" w:cs="Arial"/>
          <w:i/>
          <w:iCs/>
          <w:sz w:val="22"/>
          <w:szCs w:val="22"/>
        </w:rPr>
        <w:t>The National Cancer Plan for England: delivering world class cancer care (accessible version)</w:t>
      </w:r>
      <w:r w:rsidRPr="00AE3F40">
        <w:rPr>
          <w:rFonts w:ascii="Arial" w:hAnsi="Arial" w:cs="Arial"/>
          <w:sz w:val="22"/>
          <w:szCs w:val="22"/>
        </w:rPr>
        <w:t>. Available at: https://www.gov.uk/government/publications/national-cancer-plan-for-england/the-national-cancer-plan-for-england-delivering-world-class-cancer-care-accessible-version (Accessed: 28 June 2026).</w:t>
      </w:r>
    </w:p>
    <w:p w14:paraId="6F65CAF5" w14:textId="77777777" w:rsidR="00AE3F40" w:rsidRPr="00AE3F40" w:rsidRDefault="00AE3F40" w:rsidP="00AE3F40">
      <w:pPr>
        <w:spacing w:line="360" w:lineRule="auto"/>
        <w:rPr>
          <w:rFonts w:ascii="Arial" w:hAnsi="Arial" w:cs="Arial"/>
          <w:sz w:val="22"/>
          <w:szCs w:val="22"/>
        </w:rPr>
      </w:pPr>
      <w:r w:rsidRPr="00AE3F40">
        <w:rPr>
          <w:rFonts w:ascii="Arial" w:hAnsi="Arial" w:cs="Arial"/>
          <w:sz w:val="22"/>
          <w:szCs w:val="22"/>
        </w:rPr>
        <w:t xml:space="preserve">Edge Health (2024) </w:t>
      </w:r>
      <w:r w:rsidRPr="001A0E3B">
        <w:rPr>
          <w:rFonts w:ascii="Arial" w:hAnsi="Arial" w:cs="Arial"/>
          <w:i/>
          <w:iCs/>
          <w:sz w:val="22"/>
          <w:szCs w:val="22"/>
        </w:rPr>
        <w:t>AI in Dermatology: a White Paper by Edge Health for NHSE</w:t>
      </w:r>
      <w:r w:rsidRPr="00AE3F40">
        <w:rPr>
          <w:rFonts w:ascii="Arial" w:hAnsi="Arial" w:cs="Arial"/>
          <w:sz w:val="22"/>
          <w:szCs w:val="22"/>
        </w:rPr>
        <w:t>. Available at: https://www.edgehealth.co.uk/news-insights/ai-in-dermatology-white-paper/ (Accessed: 28 June 2026).</w:t>
      </w:r>
    </w:p>
    <w:p w14:paraId="2F2817C9" w14:textId="77777777" w:rsidR="00AE3F40" w:rsidRPr="00AE3F40" w:rsidRDefault="00AE3F40" w:rsidP="00AE3F40">
      <w:pPr>
        <w:spacing w:line="360" w:lineRule="auto"/>
        <w:rPr>
          <w:rFonts w:ascii="Arial" w:hAnsi="Arial" w:cs="Arial"/>
          <w:sz w:val="22"/>
          <w:szCs w:val="22"/>
        </w:rPr>
      </w:pPr>
      <w:r w:rsidRPr="00AE3F40">
        <w:rPr>
          <w:rFonts w:ascii="Arial" w:hAnsi="Arial" w:cs="Arial"/>
          <w:sz w:val="22"/>
          <w:szCs w:val="22"/>
        </w:rPr>
        <w:t xml:space="preserve">Getting It Right First Time (GIRFT) (2021) </w:t>
      </w:r>
      <w:r w:rsidRPr="00FB1823">
        <w:rPr>
          <w:rFonts w:ascii="Arial" w:hAnsi="Arial" w:cs="Arial"/>
          <w:i/>
          <w:iCs/>
          <w:sz w:val="22"/>
          <w:szCs w:val="22"/>
        </w:rPr>
        <w:t>Dermatology – national specialty report (September 2021)</w:t>
      </w:r>
      <w:r w:rsidRPr="00AE3F40">
        <w:rPr>
          <w:rFonts w:ascii="Arial" w:hAnsi="Arial" w:cs="Arial"/>
          <w:sz w:val="22"/>
          <w:szCs w:val="22"/>
        </w:rPr>
        <w:t>. Available at: https://gettingitrightfirsttime.co.uk/wp-content/uploads/2021/09/DermatologyReport-Sept21o.pdf (Accessed: 28 June 2026).</w:t>
      </w:r>
    </w:p>
    <w:p w14:paraId="30253A62" w14:textId="77777777" w:rsidR="00AE3F40" w:rsidRPr="00AE3F40" w:rsidRDefault="00AE3F40" w:rsidP="00AE3F40">
      <w:pPr>
        <w:spacing w:line="360" w:lineRule="auto"/>
        <w:rPr>
          <w:rFonts w:ascii="Arial" w:hAnsi="Arial" w:cs="Arial"/>
          <w:sz w:val="22"/>
          <w:szCs w:val="22"/>
        </w:rPr>
      </w:pPr>
      <w:r w:rsidRPr="00AE3F40">
        <w:rPr>
          <w:rFonts w:ascii="Arial" w:hAnsi="Arial" w:cs="Arial"/>
          <w:sz w:val="22"/>
          <w:szCs w:val="22"/>
        </w:rPr>
        <w:t xml:space="preserve">Greenhalgh, T., Wherton, J., Papoutsi, C., Lynch, J., Hughes, G., A’Court, C., Hinder, S., Fahy, N., Procter, R. and Shaw, S. (2017) ‘Beyond adoption: a new framework for theorizing and evaluating nonadoption, abandonment, and challenges to the scale-up, spread, and sustainability of health and care technologies’, </w:t>
      </w:r>
      <w:r w:rsidRPr="00FB1823">
        <w:rPr>
          <w:rFonts w:ascii="Arial" w:hAnsi="Arial" w:cs="Arial"/>
          <w:i/>
          <w:iCs/>
          <w:sz w:val="22"/>
          <w:szCs w:val="22"/>
        </w:rPr>
        <w:t>Journal of Medical Internet Research</w:t>
      </w:r>
      <w:r w:rsidRPr="00AE3F40">
        <w:rPr>
          <w:rFonts w:ascii="Arial" w:hAnsi="Arial" w:cs="Arial"/>
          <w:sz w:val="22"/>
          <w:szCs w:val="22"/>
        </w:rPr>
        <w:t>, 19(11). Available at: https://doi.org/10.2196/jmir.8775.</w:t>
      </w:r>
    </w:p>
    <w:p w14:paraId="1F3D9C91" w14:textId="357ABBE6" w:rsidR="00AE3F40" w:rsidRPr="00AE3F40" w:rsidRDefault="00AE3F40" w:rsidP="00AE3F40">
      <w:pPr>
        <w:spacing w:line="360" w:lineRule="auto"/>
        <w:rPr>
          <w:rFonts w:ascii="Arial" w:hAnsi="Arial" w:cs="Arial"/>
          <w:sz w:val="22"/>
          <w:szCs w:val="22"/>
        </w:rPr>
      </w:pPr>
      <w:r w:rsidRPr="00AE3F40">
        <w:rPr>
          <w:rFonts w:ascii="Arial" w:hAnsi="Arial" w:cs="Arial"/>
          <w:sz w:val="22"/>
          <w:szCs w:val="22"/>
        </w:rPr>
        <w:t xml:space="preserve">Hoogenboom, T.C.H., Martínez, P.G., Mahapatra, P. and Nizar, N.A. (2025) </w:t>
      </w:r>
      <w:r w:rsidR="00FB1823">
        <w:rPr>
          <w:rFonts w:ascii="Arial" w:hAnsi="Arial" w:cs="Arial"/>
          <w:sz w:val="22"/>
          <w:szCs w:val="22"/>
        </w:rPr>
        <w:t>‘</w:t>
      </w:r>
      <w:r w:rsidRPr="00AE3F40">
        <w:rPr>
          <w:rFonts w:ascii="Arial" w:hAnsi="Arial" w:cs="Arial"/>
          <w:sz w:val="22"/>
          <w:szCs w:val="22"/>
        </w:rPr>
        <w:t>Community-Based Teledermatology for Urgent Suspected Skin Cancer: health economic cost-comparison and discrete event simulation study</w:t>
      </w:r>
      <w:r w:rsidR="00FB1823">
        <w:rPr>
          <w:rFonts w:ascii="Arial" w:hAnsi="Arial" w:cs="Arial"/>
          <w:sz w:val="22"/>
          <w:szCs w:val="22"/>
        </w:rPr>
        <w:t>’,</w:t>
      </w:r>
      <w:r w:rsidRPr="00AE3F40">
        <w:rPr>
          <w:rFonts w:ascii="Arial" w:hAnsi="Arial" w:cs="Arial"/>
          <w:sz w:val="22"/>
          <w:szCs w:val="22"/>
        </w:rPr>
        <w:t xml:space="preserve"> </w:t>
      </w:r>
      <w:r w:rsidRPr="00FB1823">
        <w:rPr>
          <w:rFonts w:ascii="Arial" w:hAnsi="Arial" w:cs="Arial"/>
          <w:i/>
          <w:iCs/>
          <w:sz w:val="22"/>
          <w:szCs w:val="22"/>
        </w:rPr>
        <w:t>JMIR Dermatology</w:t>
      </w:r>
      <w:r w:rsidRPr="00AE3F40">
        <w:rPr>
          <w:rFonts w:ascii="Arial" w:hAnsi="Arial" w:cs="Arial"/>
          <w:sz w:val="22"/>
          <w:szCs w:val="22"/>
        </w:rPr>
        <w:t xml:space="preserve">, 9. Available at: https://doi.org/10.2196/86402 </w:t>
      </w:r>
    </w:p>
    <w:p w14:paraId="19AC2DC9" w14:textId="77777777" w:rsidR="00AE3F40" w:rsidRPr="00AE3F40" w:rsidRDefault="00AE3F40" w:rsidP="00AE3F40">
      <w:pPr>
        <w:spacing w:line="360" w:lineRule="auto"/>
        <w:rPr>
          <w:rFonts w:ascii="Arial" w:hAnsi="Arial" w:cs="Arial"/>
          <w:sz w:val="22"/>
          <w:szCs w:val="22"/>
        </w:rPr>
      </w:pPr>
      <w:r w:rsidRPr="00AE3F40">
        <w:rPr>
          <w:rFonts w:ascii="Arial" w:hAnsi="Arial" w:cs="Arial"/>
          <w:sz w:val="22"/>
          <w:szCs w:val="22"/>
        </w:rPr>
        <w:t xml:space="preserve">ICO (2024) </w:t>
      </w:r>
      <w:r w:rsidRPr="00FB1823">
        <w:rPr>
          <w:rFonts w:ascii="Arial" w:hAnsi="Arial" w:cs="Arial"/>
          <w:i/>
          <w:iCs/>
          <w:sz w:val="22"/>
          <w:szCs w:val="22"/>
        </w:rPr>
        <w:t>Legal framework</w:t>
      </w:r>
      <w:r w:rsidRPr="00AE3F40">
        <w:rPr>
          <w:rFonts w:ascii="Arial" w:hAnsi="Arial" w:cs="Arial"/>
          <w:sz w:val="22"/>
          <w:szCs w:val="22"/>
        </w:rPr>
        <w:t xml:space="preserve">. Available at: https://ico.org.uk/for-organisations/uk-gdpr-guidance-and-resources/artificial-intelligence/explaining-decisions-made-with-artificial-intelligence/part-1-the-basics-of-explaining-ai/legal-framework/ (Accessed: 28 June 2026). </w:t>
      </w:r>
    </w:p>
    <w:p w14:paraId="7D6539F4" w14:textId="173330D1" w:rsidR="00AE3F40" w:rsidRPr="00AE3F40" w:rsidRDefault="00AE3F40" w:rsidP="00AE3F40">
      <w:pPr>
        <w:spacing w:line="360" w:lineRule="auto"/>
        <w:rPr>
          <w:rFonts w:ascii="Arial" w:hAnsi="Arial" w:cs="Arial"/>
          <w:sz w:val="22"/>
          <w:szCs w:val="22"/>
        </w:rPr>
      </w:pPr>
      <w:r w:rsidRPr="00AE3F40">
        <w:rPr>
          <w:rFonts w:ascii="Arial" w:hAnsi="Arial" w:cs="Arial"/>
          <w:sz w:val="22"/>
          <w:szCs w:val="22"/>
        </w:rPr>
        <w:lastRenderedPageBreak/>
        <w:t xml:space="preserve">Jones, O.T., Matin, R.N., van der Schaar, M., Prathivadi Bhayankaram, K., Ranmuthu, C.K.I., Islam, M.S., Behiyat, D., Boscott, R., Calanzani, N., Emery, J., Williams, H.C. and Walter, F.M. (2022) </w:t>
      </w:r>
      <w:r w:rsidR="00FB1823">
        <w:rPr>
          <w:rFonts w:ascii="Arial" w:hAnsi="Arial" w:cs="Arial"/>
          <w:sz w:val="22"/>
          <w:szCs w:val="22"/>
        </w:rPr>
        <w:t>‘</w:t>
      </w:r>
      <w:r w:rsidRPr="00AE3F40">
        <w:rPr>
          <w:rFonts w:ascii="Arial" w:hAnsi="Arial" w:cs="Arial"/>
          <w:sz w:val="22"/>
          <w:szCs w:val="22"/>
        </w:rPr>
        <w:t>Artificial intelligence and machine learning algorithms for early detection of skin cancer in community and primary care settings: a systematic review</w:t>
      </w:r>
      <w:r w:rsidR="00FB1823">
        <w:rPr>
          <w:rFonts w:ascii="Arial" w:hAnsi="Arial" w:cs="Arial"/>
          <w:sz w:val="22"/>
          <w:szCs w:val="22"/>
        </w:rPr>
        <w:t>’,</w:t>
      </w:r>
      <w:r w:rsidRPr="00AE3F40">
        <w:rPr>
          <w:rFonts w:ascii="Arial" w:hAnsi="Arial" w:cs="Arial"/>
          <w:sz w:val="22"/>
          <w:szCs w:val="22"/>
        </w:rPr>
        <w:t xml:space="preserve"> </w:t>
      </w:r>
      <w:r w:rsidRPr="00FB1823">
        <w:rPr>
          <w:rFonts w:ascii="Arial" w:hAnsi="Arial" w:cs="Arial"/>
          <w:i/>
          <w:iCs/>
          <w:sz w:val="22"/>
          <w:szCs w:val="22"/>
        </w:rPr>
        <w:t>The Lancet Digital Health</w:t>
      </w:r>
      <w:r w:rsidRPr="00AE3F40">
        <w:rPr>
          <w:rFonts w:ascii="Arial" w:hAnsi="Arial" w:cs="Arial"/>
          <w:sz w:val="22"/>
          <w:szCs w:val="22"/>
        </w:rPr>
        <w:t xml:space="preserve">, 4(6), pp. E466–E476. Available at: https://doi.org/10.1016/S2589-7500(22)00023-1 </w:t>
      </w:r>
    </w:p>
    <w:p w14:paraId="2F6D3FDA" w14:textId="169DE874" w:rsidR="00AE3F40" w:rsidRPr="00AE3F40" w:rsidRDefault="00AE3F40" w:rsidP="00AE3F40">
      <w:pPr>
        <w:spacing w:line="360" w:lineRule="auto"/>
        <w:rPr>
          <w:rFonts w:ascii="Arial" w:hAnsi="Arial" w:cs="Arial"/>
          <w:sz w:val="22"/>
          <w:szCs w:val="22"/>
        </w:rPr>
      </w:pPr>
      <w:r w:rsidRPr="00AE3F40">
        <w:rPr>
          <w:rFonts w:ascii="Arial" w:hAnsi="Arial" w:cs="Arial"/>
          <w:sz w:val="22"/>
          <w:szCs w:val="22"/>
        </w:rPr>
        <w:t xml:space="preserve">Karimzadhagh, S., Ghodous, S., Robati, R.M., Abbaspour, E., Goldust, M., Zaresharifi, N. and Zaresharifi, S. (2025) </w:t>
      </w:r>
      <w:r w:rsidR="00CF007D">
        <w:rPr>
          <w:rFonts w:ascii="Arial" w:hAnsi="Arial" w:cs="Arial"/>
          <w:sz w:val="22"/>
          <w:szCs w:val="22"/>
        </w:rPr>
        <w:t>‘</w:t>
      </w:r>
      <w:r w:rsidRPr="00AE3F40">
        <w:rPr>
          <w:rFonts w:ascii="Arial" w:hAnsi="Arial" w:cs="Arial"/>
          <w:sz w:val="22"/>
          <w:szCs w:val="22"/>
        </w:rPr>
        <w:t>Performance of Artificial Intelligence in Skin Cancer Detection: An Umbrella Review of Systematic Reviews and Meta-Analyses</w:t>
      </w:r>
      <w:r w:rsidR="00CF007D">
        <w:rPr>
          <w:rFonts w:ascii="Arial" w:hAnsi="Arial" w:cs="Arial"/>
          <w:sz w:val="22"/>
          <w:szCs w:val="22"/>
        </w:rPr>
        <w:t>’,</w:t>
      </w:r>
      <w:r w:rsidRPr="00AE3F40">
        <w:rPr>
          <w:rFonts w:ascii="Arial" w:hAnsi="Arial" w:cs="Arial"/>
          <w:sz w:val="22"/>
          <w:szCs w:val="22"/>
        </w:rPr>
        <w:t xml:space="preserve"> </w:t>
      </w:r>
      <w:r w:rsidRPr="00CF007D">
        <w:rPr>
          <w:rFonts w:ascii="Arial" w:hAnsi="Arial" w:cs="Arial"/>
          <w:i/>
          <w:iCs/>
          <w:sz w:val="22"/>
          <w:szCs w:val="22"/>
        </w:rPr>
        <w:t>International Journal of Dermatology</w:t>
      </w:r>
      <w:r w:rsidRPr="00AE3F40">
        <w:rPr>
          <w:rFonts w:ascii="Arial" w:hAnsi="Arial" w:cs="Arial"/>
          <w:sz w:val="22"/>
          <w:szCs w:val="22"/>
        </w:rPr>
        <w:t xml:space="preserve">, 65(1), pp. 69–85. Available at: https://doi.org/10.1111/ijd.17981 </w:t>
      </w:r>
    </w:p>
    <w:p w14:paraId="0D374B91" w14:textId="5B212BA3" w:rsidR="00AE3F40" w:rsidRPr="00AE3F40" w:rsidRDefault="00AE3F40" w:rsidP="00AE3F40">
      <w:pPr>
        <w:spacing w:line="360" w:lineRule="auto"/>
        <w:rPr>
          <w:rFonts w:ascii="Arial" w:hAnsi="Arial" w:cs="Arial"/>
          <w:sz w:val="22"/>
          <w:szCs w:val="22"/>
        </w:rPr>
      </w:pPr>
      <w:r w:rsidRPr="00AE3F40">
        <w:rPr>
          <w:rFonts w:ascii="Arial" w:hAnsi="Arial" w:cs="Arial"/>
          <w:sz w:val="22"/>
          <w:szCs w:val="22"/>
        </w:rPr>
        <w:t xml:space="preserve">Kawsar, A., Hussain, K., Kalsi, D., Kemos, P., Marsden, H. and Thomas, L. (2023) </w:t>
      </w:r>
      <w:r w:rsidR="00CF007D">
        <w:rPr>
          <w:rFonts w:ascii="Arial" w:hAnsi="Arial" w:cs="Arial"/>
          <w:sz w:val="22"/>
          <w:szCs w:val="22"/>
        </w:rPr>
        <w:t>‘</w:t>
      </w:r>
      <w:r w:rsidRPr="00AE3F40">
        <w:rPr>
          <w:rFonts w:ascii="Arial" w:hAnsi="Arial" w:cs="Arial"/>
          <w:sz w:val="22"/>
          <w:szCs w:val="22"/>
        </w:rPr>
        <w:t>Patient perspectives of artificial intelligence as a medical device in a skin cancer pathway</w:t>
      </w:r>
      <w:r w:rsidR="003826A4">
        <w:rPr>
          <w:rFonts w:ascii="Arial" w:hAnsi="Arial" w:cs="Arial"/>
          <w:sz w:val="22"/>
          <w:szCs w:val="22"/>
        </w:rPr>
        <w:t>’,</w:t>
      </w:r>
      <w:r w:rsidRPr="00AE3F40">
        <w:rPr>
          <w:rFonts w:ascii="Arial" w:hAnsi="Arial" w:cs="Arial"/>
          <w:sz w:val="22"/>
          <w:szCs w:val="22"/>
        </w:rPr>
        <w:t xml:space="preserve"> </w:t>
      </w:r>
      <w:r w:rsidRPr="003826A4">
        <w:rPr>
          <w:rFonts w:ascii="Arial" w:hAnsi="Arial" w:cs="Arial"/>
          <w:i/>
          <w:iCs/>
          <w:sz w:val="22"/>
          <w:szCs w:val="22"/>
        </w:rPr>
        <w:t>Frontiers in Medicine</w:t>
      </w:r>
      <w:r w:rsidRPr="00AE3F40">
        <w:rPr>
          <w:rFonts w:ascii="Arial" w:hAnsi="Arial" w:cs="Arial"/>
          <w:sz w:val="22"/>
          <w:szCs w:val="22"/>
        </w:rPr>
        <w:t xml:space="preserve">, 10. Available at: https://doi.org/10.3389/fmed.2023.1259595 </w:t>
      </w:r>
    </w:p>
    <w:p w14:paraId="1D5AA416" w14:textId="06D1F690" w:rsidR="00AE3F40" w:rsidRPr="00AE3F40" w:rsidRDefault="00AE3F40" w:rsidP="00AE3F40">
      <w:pPr>
        <w:spacing w:line="360" w:lineRule="auto"/>
        <w:rPr>
          <w:rFonts w:ascii="Arial" w:hAnsi="Arial" w:cs="Arial"/>
          <w:sz w:val="22"/>
          <w:szCs w:val="22"/>
        </w:rPr>
      </w:pPr>
      <w:r w:rsidRPr="00AE3F40">
        <w:rPr>
          <w:rFonts w:ascii="Arial" w:hAnsi="Arial" w:cs="Arial"/>
          <w:sz w:val="22"/>
          <w:szCs w:val="22"/>
        </w:rPr>
        <w:t xml:space="preserve">Khatun, N., Spinelli, G. and Colecchia, F. (2024) </w:t>
      </w:r>
      <w:r w:rsidR="003826A4">
        <w:rPr>
          <w:rFonts w:ascii="Arial" w:hAnsi="Arial" w:cs="Arial"/>
          <w:sz w:val="22"/>
          <w:szCs w:val="22"/>
        </w:rPr>
        <w:t>‘</w:t>
      </w:r>
      <w:r w:rsidRPr="00AE3F40">
        <w:rPr>
          <w:rFonts w:ascii="Arial" w:hAnsi="Arial" w:cs="Arial"/>
          <w:sz w:val="22"/>
          <w:szCs w:val="22"/>
        </w:rPr>
        <w:t>Technology innovation to reduce health inequality in skin diagnosis and to improve patient outcomes for people of colour: a thematic literature review and future research agenda</w:t>
      </w:r>
      <w:r w:rsidR="003826A4">
        <w:rPr>
          <w:rFonts w:ascii="Arial" w:hAnsi="Arial" w:cs="Arial"/>
          <w:sz w:val="22"/>
          <w:szCs w:val="22"/>
        </w:rPr>
        <w:t>’,</w:t>
      </w:r>
      <w:r w:rsidRPr="00AE3F40">
        <w:rPr>
          <w:rFonts w:ascii="Arial" w:hAnsi="Arial" w:cs="Arial"/>
          <w:sz w:val="22"/>
          <w:szCs w:val="22"/>
        </w:rPr>
        <w:t xml:space="preserve"> </w:t>
      </w:r>
      <w:r w:rsidRPr="003826A4">
        <w:rPr>
          <w:rFonts w:ascii="Arial" w:hAnsi="Arial" w:cs="Arial"/>
          <w:i/>
          <w:iCs/>
          <w:sz w:val="22"/>
          <w:szCs w:val="22"/>
        </w:rPr>
        <w:t>Frontiers in Artificial Intelligence</w:t>
      </w:r>
      <w:r w:rsidRPr="00AE3F40">
        <w:rPr>
          <w:rFonts w:ascii="Arial" w:hAnsi="Arial" w:cs="Arial"/>
          <w:sz w:val="22"/>
          <w:szCs w:val="22"/>
        </w:rPr>
        <w:t xml:space="preserve">, 7. Available at: https://doi.org/10.3389/frai.2024.1394386 </w:t>
      </w:r>
    </w:p>
    <w:p w14:paraId="3955B27D" w14:textId="183EDB39" w:rsidR="00AE3F40" w:rsidRPr="00AE3F40" w:rsidRDefault="00AE3F40" w:rsidP="00AE3F40">
      <w:pPr>
        <w:spacing w:line="360" w:lineRule="auto"/>
        <w:rPr>
          <w:rFonts w:ascii="Arial" w:hAnsi="Arial" w:cs="Arial"/>
          <w:sz w:val="22"/>
          <w:szCs w:val="22"/>
        </w:rPr>
      </w:pPr>
      <w:r w:rsidRPr="00AE3F40">
        <w:rPr>
          <w:rFonts w:ascii="Arial" w:hAnsi="Arial" w:cs="Arial"/>
          <w:sz w:val="22"/>
          <w:szCs w:val="22"/>
        </w:rPr>
        <w:t xml:space="preserve">Levell, N.J. and Thomas, L. (2024) </w:t>
      </w:r>
      <w:r w:rsidR="003826A4">
        <w:rPr>
          <w:rFonts w:ascii="Arial" w:hAnsi="Arial" w:cs="Arial"/>
          <w:sz w:val="22"/>
          <w:szCs w:val="22"/>
        </w:rPr>
        <w:t>‘</w:t>
      </w:r>
      <w:r w:rsidRPr="00AE3F40">
        <w:rPr>
          <w:rFonts w:ascii="Arial" w:hAnsi="Arial" w:cs="Arial"/>
          <w:sz w:val="22"/>
          <w:szCs w:val="22"/>
        </w:rPr>
        <w:t>Artificial intelligence and skin melanoma</w:t>
      </w:r>
      <w:r w:rsidR="003826A4">
        <w:rPr>
          <w:rFonts w:ascii="Arial" w:hAnsi="Arial" w:cs="Arial"/>
          <w:sz w:val="22"/>
          <w:szCs w:val="22"/>
        </w:rPr>
        <w:t>’</w:t>
      </w:r>
      <w:r w:rsidR="00826E27">
        <w:rPr>
          <w:rFonts w:ascii="Arial" w:hAnsi="Arial" w:cs="Arial"/>
          <w:sz w:val="22"/>
          <w:szCs w:val="22"/>
        </w:rPr>
        <w:t>,</w:t>
      </w:r>
      <w:r w:rsidRPr="00AE3F40">
        <w:rPr>
          <w:rFonts w:ascii="Arial" w:hAnsi="Arial" w:cs="Arial"/>
          <w:sz w:val="22"/>
          <w:szCs w:val="22"/>
        </w:rPr>
        <w:t xml:space="preserve"> </w:t>
      </w:r>
      <w:r w:rsidRPr="00826E27">
        <w:rPr>
          <w:rFonts w:ascii="Arial" w:hAnsi="Arial" w:cs="Arial"/>
          <w:i/>
          <w:iCs/>
          <w:sz w:val="22"/>
          <w:szCs w:val="22"/>
        </w:rPr>
        <w:t>Clinics in Dermatology</w:t>
      </w:r>
      <w:r w:rsidRPr="00AE3F40">
        <w:rPr>
          <w:rFonts w:ascii="Arial" w:hAnsi="Arial" w:cs="Arial"/>
          <w:sz w:val="22"/>
          <w:szCs w:val="22"/>
        </w:rPr>
        <w:t xml:space="preserve">, 42(5), pp. 460–465. Available at: https://doi.org/10.1016/j.clindermatol.2024.06.015 </w:t>
      </w:r>
    </w:p>
    <w:p w14:paraId="27AD3EBA" w14:textId="623596F1" w:rsidR="00AE3F40" w:rsidRPr="00AE3F40" w:rsidRDefault="00AE3F40" w:rsidP="00AE3F40">
      <w:pPr>
        <w:spacing w:line="360" w:lineRule="auto"/>
        <w:rPr>
          <w:rFonts w:ascii="Arial" w:hAnsi="Arial" w:cs="Arial"/>
          <w:sz w:val="22"/>
          <w:szCs w:val="22"/>
        </w:rPr>
      </w:pPr>
      <w:r w:rsidRPr="00AE3F40">
        <w:rPr>
          <w:rFonts w:ascii="Arial" w:hAnsi="Arial" w:cs="Arial"/>
          <w:sz w:val="22"/>
          <w:szCs w:val="22"/>
        </w:rPr>
        <w:t xml:space="preserve">Li, D., Thompson, J., Ogbuneke, U., Banda, T., Andrew, K. and Shim, T.N. (2025) </w:t>
      </w:r>
      <w:r w:rsidR="00826E27">
        <w:rPr>
          <w:rFonts w:ascii="Arial" w:hAnsi="Arial" w:cs="Arial"/>
          <w:sz w:val="22"/>
          <w:szCs w:val="22"/>
        </w:rPr>
        <w:t>‘</w:t>
      </w:r>
      <w:r w:rsidRPr="00AE3F40">
        <w:rPr>
          <w:rFonts w:ascii="Arial" w:hAnsi="Arial" w:cs="Arial"/>
          <w:sz w:val="22"/>
          <w:szCs w:val="22"/>
        </w:rPr>
        <w:t>Exploring the role of artificial intelligence in skin cancer management: perspectives from UK dermatologists</w:t>
      </w:r>
      <w:r w:rsidR="00826E27">
        <w:rPr>
          <w:rFonts w:ascii="Arial" w:hAnsi="Arial" w:cs="Arial"/>
          <w:sz w:val="22"/>
          <w:szCs w:val="22"/>
        </w:rPr>
        <w:t>’,</w:t>
      </w:r>
      <w:r w:rsidRPr="00AE3F40">
        <w:rPr>
          <w:rFonts w:ascii="Arial" w:hAnsi="Arial" w:cs="Arial"/>
          <w:sz w:val="22"/>
          <w:szCs w:val="22"/>
        </w:rPr>
        <w:t xml:space="preserve"> </w:t>
      </w:r>
      <w:r w:rsidRPr="00826E27">
        <w:rPr>
          <w:rFonts w:ascii="Arial" w:hAnsi="Arial" w:cs="Arial"/>
          <w:i/>
          <w:iCs/>
          <w:sz w:val="22"/>
          <w:szCs w:val="22"/>
        </w:rPr>
        <w:t>Clinical and Experimental Dermatology</w:t>
      </w:r>
      <w:r w:rsidRPr="00AE3F40">
        <w:rPr>
          <w:rFonts w:ascii="Arial" w:hAnsi="Arial" w:cs="Arial"/>
          <w:sz w:val="22"/>
          <w:szCs w:val="22"/>
        </w:rPr>
        <w:t xml:space="preserve">, 50(12), pp. 2486–2488. Available at: https://doi.org/10.1093/ced/llaf321 </w:t>
      </w:r>
    </w:p>
    <w:p w14:paraId="3C4C2CD4" w14:textId="7E4C0BB2" w:rsidR="00AE3F40" w:rsidRPr="00AE3F40" w:rsidRDefault="00AE3F40" w:rsidP="00AE3F40">
      <w:pPr>
        <w:spacing w:line="360" w:lineRule="auto"/>
        <w:rPr>
          <w:rFonts w:ascii="Arial" w:hAnsi="Arial" w:cs="Arial"/>
          <w:sz w:val="22"/>
          <w:szCs w:val="22"/>
        </w:rPr>
      </w:pPr>
      <w:r w:rsidRPr="00AE3F40">
        <w:rPr>
          <w:rFonts w:ascii="Arial" w:hAnsi="Arial" w:cs="Arial"/>
          <w:sz w:val="22"/>
          <w:szCs w:val="22"/>
        </w:rPr>
        <w:t xml:space="preserve">Lim, K., Neal-Smith, G., Mitchell, C., Xerri, J. and Chuanromanee, P. (2022) </w:t>
      </w:r>
      <w:r w:rsidR="00C87EC8">
        <w:rPr>
          <w:rFonts w:ascii="Arial" w:hAnsi="Arial" w:cs="Arial"/>
          <w:sz w:val="22"/>
          <w:szCs w:val="22"/>
        </w:rPr>
        <w:t>‘</w:t>
      </w:r>
      <w:r w:rsidRPr="00AE3F40">
        <w:rPr>
          <w:rFonts w:ascii="Arial" w:hAnsi="Arial" w:cs="Arial"/>
          <w:sz w:val="22"/>
          <w:szCs w:val="22"/>
        </w:rPr>
        <w:t>Perceptions of the use of artificial intelligence in the diagnosis of skin cancer: an outpatient survey</w:t>
      </w:r>
      <w:r w:rsidR="00C87EC8">
        <w:rPr>
          <w:rFonts w:ascii="Arial" w:hAnsi="Arial" w:cs="Arial"/>
          <w:sz w:val="22"/>
          <w:szCs w:val="22"/>
        </w:rPr>
        <w:t>’</w:t>
      </w:r>
      <w:r w:rsidR="00C87EC8" w:rsidRPr="00C87EC8">
        <w:rPr>
          <w:rFonts w:ascii="Arial" w:hAnsi="Arial" w:cs="Arial"/>
          <w:i/>
          <w:iCs/>
          <w:sz w:val="22"/>
          <w:szCs w:val="22"/>
        </w:rPr>
        <w:t>,</w:t>
      </w:r>
      <w:r w:rsidRPr="00C87EC8">
        <w:rPr>
          <w:rFonts w:ascii="Arial" w:hAnsi="Arial" w:cs="Arial"/>
          <w:i/>
          <w:iCs/>
          <w:sz w:val="22"/>
          <w:szCs w:val="22"/>
        </w:rPr>
        <w:t xml:space="preserve"> Clinical and Experimental Dermatology</w:t>
      </w:r>
      <w:r w:rsidRPr="00AE3F40">
        <w:rPr>
          <w:rFonts w:ascii="Arial" w:hAnsi="Arial" w:cs="Arial"/>
          <w:sz w:val="22"/>
          <w:szCs w:val="22"/>
        </w:rPr>
        <w:t xml:space="preserve">, 47(3), pp. 542–546. Available at: https://doi.org/10.1111/ced.14969 </w:t>
      </w:r>
    </w:p>
    <w:p w14:paraId="516090E3" w14:textId="66AA1314" w:rsidR="00AE3F40" w:rsidRPr="00AE3F40" w:rsidRDefault="00AE3F40" w:rsidP="00AE3F40">
      <w:pPr>
        <w:spacing w:line="360" w:lineRule="auto"/>
        <w:rPr>
          <w:rFonts w:ascii="Arial" w:hAnsi="Arial" w:cs="Arial"/>
          <w:sz w:val="22"/>
          <w:szCs w:val="22"/>
        </w:rPr>
      </w:pPr>
      <w:r w:rsidRPr="00AE3F40">
        <w:rPr>
          <w:rFonts w:ascii="Arial" w:hAnsi="Arial" w:cs="Arial"/>
          <w:sz w:val="22"/>
          <w:szCs w:val="22"/>
        </w:rPr>
        <w:t xml:space="preserve">Marsden, H., Kemos, P.K., Venzi, M., Noy, M., Maheswaran, S., Francis, N., Hyde, C., Mullarkey, D., Kalsi, D. and Thomas, L. (2024) </w:t>
      </w:r>
      <w:r w:rsidR="00C87EC8">
        <w:rPr>
          <w:rFonts w:ascii="Arial" w:hAnsi="Arial" w:cs="Arial"/>
          <w:sz w:val="22"/>
          <w:szCs w:val="22"/>
        </w:rPr>
        <w:t>‘</w:t>
      </w:r>
      <w:r w:rsidRPr="00AE3F40">
        <w:rPr>
          <w:rFonts w:ascii="Arial" w:hAnsi="Arial" w:cs="Arial"/>
          <w:sz w:val="22"/>
          <w:szCs w:val="22"/>
        </w:rPr>
        <w:t>Accuracy of an artificial intelligence as a medical device as part of a UK-based skin cancer teledermatology service</w:t>
      </w:r>
      <w:r w:rsidR="00C87EC8">
        <w:rPr>
          <w:rFonts w:ascii="Arial" w:hAnsi="Arial" w:cs="Arial"/>
          <w:sz w:val="22"/>
          <w:szCs w:val="22"/>
        </w:rPr>
        <w:t>’,</w:t>
      </w:r>
      <w:r w:rsidRPr="00AE3F40">
        <w:rPr>
          <w:rFonts w:ascii="Arial" w:hAnsi="Arial" w:cs="Arial"/>
          <w:sz w:val="22"/>
          <w:szCs w:val="22"/>
        </w:rPr>
        <w:t xml:space="preserve"> </w:t>
      </w:r>
      <w:r w:rsidRPr="00C87EC8">
        <w:rPr>
          <w:rFonts w:ascii="Arial" w:hAnsi="Arial" w:cs="Arial"/>
          <w:i/>
          <w:iCs/>
          <w:sz w:val="22"/>
          <w:szCs w:val="22"/>
        </w:rPr>
        <w:t>Frontiers in Medicine</w:t>
      </w:r>
      <w:r w:rsidRPr="00AE3F40">
        <w:rPr>
          <w:rFonts w:ascii="Arial" w:hAnsi="Arial" w:cs="Arial"/>
          <w:sz w:val="22"/>
          <w:szCs w:val="22"/>
        </w:rPr>
        <w:t xml:space="preserve">, 11. Available at: https://doi.org/10.3389/fmed.2024.1302363 </w:t>
      </w:r>
    </w:p>
    <w:p w14:paraId="00A3466F" w14:textId="1EAB713B" w:rsidR="00AE3F40" w:rsidRPr="00AE3F40" w:rsidRDefault="00AE3F40" w:rsidP="00AE3F40">
      <w:pPr>
        <w:spacing w:line="360" w:lineRule="auto"/>
        <w:rPr>
          <w:rFonts w:ascii="Arial" w:hAnsi="Arial" w:cs="Arial"/>
          <w:sz w:val="22"/>
          <w:szCs w:val="22"/>
        </w:rPr>
      </w:pPr>
      <w:r w:rsidRPr="00AE3F40">
        <w:rPr>
          <w:rFonts w:ascii="Arial" w:hAnsi="Arial" w:cs="Arial"/>
          <w:sz w:val="22"/>
          <w:szCs w:val="22"/>
        </w:rPr>
        <w:t xml:space="preserve">Marsden, H., Morgan, C., Austin, S., DeGiovanni, C., Venzi, M., Kemos, P., Greenhalgh, J., Mullarkey, D. and Palamaras, I. (2023) </w:t>
      </w:r>
      <w:r w:rsidR="00C87EC8">
        <w:rPr>
          <w:rFonts w:ascii="Arial" w:hAnsi="Arial" w:cs="Arial"/>
          <w:sz w:val="22"/>
          <w:szCs w:val="22"/>
        </w:rPr>
        <w:t>‘</w:t>
      </w:r>
      <w:r w:rsidRPr="00AE3F40">
        <w:rPr>
          <w:rFonts w:ascii="Arial" w:hAnsi="Arial" w:cs="Arial"/>
          <w:sz w:val="22"/>
          <w:szCs w:val="22"/>
        </w:rPr>
        <w:t xml:space="preserve">Effectiveness of an image analyzing AI-based Digital </w:t>
      </w:r>
      <w:r w:rsidRPr="00AE3F40">
        <w:rPr>
          <w:rFonts w:ascii="Arial" w:hAnsi="Arial" w:cs="Arial"/>
          <w:sz w:val="22"/>
          <w:szCs w:val="22"/>
        </w:rPr>
        <w:lastRenderedPageBreak/>
        <w:t>Health Technology to identify Non-Melanoma Skin Cancer and other skin lesions: results of the DERM-003 study</w:t>
      </w:r>
      <w:r w:rsidR="00C87EC8">
        <w:rPr>
          <w:rFonts w:ascii="Arial" w:hAnsi="Arial" w:cs="Arial"/>
          <w:sz w:val="22"/>
          <w:szCs w:val="22"/>
        </w:rPr>
        <w:t>’</w:t>
      </w:r>
      <w:r w:rsidR="008D0901">
        <w:rPr>
          <w:rFonts w:ascii="Arial" w:hAnsi="Arial" w:cs="Arial"/>
          <w:sz w:val="22"/>
          <w:szCs w:val="22"/>
        </w:rPr>
        <w:t>,</w:t>
      </w:r>
      <w:r w:rsidRPr="00AE3F40">
        <w:rPr>
          <w:rFonts w:ascii="Arial" w:hAnsi="Arial" w:cs="Arial"/>
          <w:sz w:val="22"/>
          <w:szCs w:val="22"/>
        </w:rPr>
        <w:t xml:space="preserve"> </w:t>
      </w:r>
      <w:r w:rsidRPr="008D0901">
        <w:rPr>
          <w:rFonts w:ascii="Arial" w:hAnsi="Arial" w:cs="Arial"/>
          <w:i/>
          <w:iCs/>
          <w:sz w:val="22"/>
          <w:szCs w:val="22"/>
        </w:rPr>
        <w:t>Dermatology,</w:t>
      </w:r>
      <w:r w:rsidRPr="00AE3F40">
        <w:rPr>
          <w:rFonts w:ascii="Arial" w:hAnsi="Arial" w:cs="Arial"/>
          <w:sz w:val="22"/>
          <w:szCs w:val="22"/>
        </w:rPr>
        <w:t xml:space="preserve"> 10. Available at: https://doi.org/10.3389/fmed.2023.1288521</w:t>
      </w:r>
    </w:p>
    <w:p w14:paraId="12D1CE5E" w14:textId="77777777" w:rsidR="00AE3F40" w:rsidRPr="00AE3F40" w:rsidRDefault="00AE3F40" w:rsidP="00AE3F40">
      <w:pPr>
        <w:spacing w:line="360" w:lineRule="auto"/>
        <w:rPr>
          <w:rFonts w:ascii="Arial" w:hAnsi="Arial" w:cs="Arial"/>
          <w:sz w:val="22"/>
          <w:szCs w:val="22"/>
        </w:rPr>
      </w:pPr>
      <w:r w:rsidRPr="00AE3F40">
        <w:rPr>
          <w:rFonts w:ascii="Arial" w:hAnsi="Arial" w:cs="Arial"/>
          <w:sz w:val="22"/>
          <w:szCs w:val="22"/>
        </w:rPr>
        <w:t xml:space="preserve">Medicines and Healthcare products Regulatory Agency (MHRA) (2024) </w:t>
      </w:r>
      <w:r w:rsidRPr="008D0901">
        <w:rPr>
          <w:rFonts w:ascii="Arial" w:hAnsi="Arial" w:cs="Arial"/>
          <w:i/>
          <w:iCs/>
          <w:sz w:val="22"/>
          <w:szCs w:val="22"/>
        </w:rPr>
        <w:t>National Commission into the Regulation of AI in healthcare: research, engagement and call for evidence findings</w:t>
      </w:r>
      <w:r w:rsidRPr="00AE3F40">
        <w:rPr>
          <w:rFonts w:ascii="Arial" w:hAnsi="Arial" w:cs="Arial"/>
          <w:sz w:val="22"/>
          <w:szCs w:val="22"/>
        </w:rPr>
        <w:t>. Available at: https://www.gov.uk/government/publications/national-commission-into-the-regulation-of-ai-in-healthcare-research-engagement-and-call-for-evidence-findings (Accessed: 28 June 2026).</w:t>
      </w:r>
    </w:p>
    <w:p w14:paraId="15E6AEEA" w14:textId="3180A5AC" w:rsidR="00AE3F40" w:rsidRPr="00AE3F40" w:rsidRDefault="00AE3F40" w:rsidP="00AE3F40">
      <w:pPr>
        <w:spacing w:line="360" w:lineRule="auto"/>
        <w:rPr>
          <w:rFonts w:ascii="Arial" w:hAnsi="Arial" w:cs="Arial"/>
          <w:sz w:val="22"/>
          <w:szCs w:val="22"/>
        </w:rPr>
      </w:pPr>
      <w:r w:rsidRPr="00AE3F40">
        <w:rPr>
          <w:rFonts w:ascii="Arial" w:hAnsi="Arial" w:cs="Arial"/>
          <w:sz w:val="22"/>
          <w:szCs w:val="22"/>
        </w:rPr>
        <w:t xml:space="preserve">National Institute for Health and Care Excellence (NICE) (2026) </w:t>
      </w:r>
      <w:r w:rsidRPr="008D0901">
        <w:rPr>
          <w:rFonts w:ascii="Arial" w:hAnsi="Arial" w:cs="Arial"/>
          <w:i/>
          <w:iCs/>
          <w:sz w:val="22"/>
          <w:szCs w:val="22"/>
        </w:rPr>
        <w:t>Artificial intelligence (AI) technologies for assessing and triaging skin lesions referred to the urgent suspected skin cancer pathway: early value assessment (HTG746)</w:t>
      </w:r>
      <w:r w:rsidRPr="00AE3F40">
        <w:rPr>
          <w:rFonts w:ascii="Arial" w:hAnsi="Arial" w:cs="Arial"/>
          <w:sz w:val="22"/>
          <w:szCs w:val="22"/>
        </w:rPr>
        <w:t>. Available at: https://www.nice.org.uk/guidance/htg746/chapter/1-Recommendations (Accessed: 28 June 2026).</w:t>
      </w:r>
    </w:p>
    <w:p w14:paraId="4DD0FFEA" w14:textId="77777777" w:rsidR="00AE3F40" w:rsidRPr="00AE3F40" w:rsidRDefault="00AE3F40" w:rsidP="00AE3F40">
      <w:pPr>
        <w:spacing w:line="360" w:lineRule="auto"/>
        <w:rPr>
          <w:rFonts w:ascii="Arial" w:hAnsi="Arial" w:cs="Arial"/>
          <w:sz w:val="22"/>
          <w:szCs w:val="22"/>
        </w:rPr>
      </w:pPr>
      <w:r w:rsidRPr="00AE3F40">
        <w:rPr>
          <w:rFonts w:ascii="Arial" w:hAnsi="Arial" w:cs="Arial"/>
          <w:sz w:val="22"/>
          <w:szCs w:val="22"/>
        </w:rPr>
        <w:t>NHS England (2019</w:t>
      </w:r>
      <w:r w:rsidRPr="008D0901">
        <w:rPr>
          <w:rFonts w:ascii="Arial" w:hAnsi="Arial" w:cs="Arial"/>
          <w:i/>
          <w:iCs/>
          <w:sz w:val="22"/>
          <w:szCs w:val="22"/>
        </w:rPr>
        <w:t>) NHS Long Term Plan</w:t>
      </w:r>
      <w:r w:rsidRPr="00AE3F40">
        <w:rPr>
          <w:rFonts w:ascii="Arial" w:hAnsi="Arial" w:cs="Arial"/>
          <w:sz w:val="22"/>
          <w:szCs w:val="22"/>
        </w:rPr>
        <w:t>. Available at: https://webarchive.nationalarchives.gov.uk/ukgwa/20230418155402/https:/www.longtermplan.nhs.uk/publication/nhs-long-term-plan/ (Accessed: 28 June 2026).</w:t>
      </w:r>
    </w:p>
    <w:p w14:paraId="65F69F57" w14:textId="77777777" w:rsidR="00AE3F40" w:rsidRPr="00AE3F40" w:rsidRDefault="00AE3F40" w:rsidP="00AE3F40">
      <w:pPr>
        <w:spacing w:line="360" w:lineRule="auto"/>
        <w:rPr>
          <w:rFonts w:ascii="Arial" w:hAnsi="Arial" w:cs="Arial"/>
          <w:sz w:val="22"/>
          <w:szCs w:val="22"/>
        </w:rPr>
      </w:pPr>
      <w:r w:rsidRPr="00AE3F40">
        <w:rPr>
          <w:rFonts w:ascii="Arial" w:hAnsi="Arial" w:cs="Arial"/>
          <w:sz w:val="22"/>
          <w:szCs w:val="22"/>
        </w:rPr>
        <w:t xml:space="preserve">NHS England (2022) </w:t>
      </w:r>
      <w:r w:rsidRPr="008D0901">
        <w:rPr>
          <w:rFonts w:ascii="Arial" w:hAnsi="Arial" w:cs="Arial"/>
          <w:i/>
          <w:iCs/>
          <w:sz w:val="22"/>
          <w:szCs w:val="22"/>
        </w:rPr>
        <w:t>The two-week wait skin cancer pathway: innovative approaches to support early diagnosis of skin cancer as part of the NHS COVID-19 recovery plan</w:t>
      </w:r>
      <w:r w:rsidRPr="00AE3F40">
        <w:rPr>
          <w:rFonts w:ascii="Arial" w:hAnsi="Arial" w:cs="Arial"/>
          <w:sz w:val="22"/>
          <w:szCs w:val="22"/>
        </w:rPr>
        <w:t>. Available at: https://www.england.nhs.uk/publication/the-two-week-wait-skin-cancer-pathway-innovative-approaches-to-support-early-diagnosis-of-skin-cancer-as-part-of-the-nhs-covid-19-recovery-plan/</w:t>
      </w:r>
    </w:p>
    <w:p w14:paraId="414BC158" w14:textId="77777777" w:rsidR="00AE3F40" w:rsidRPr="00AE3F40" w:rsidRDefault="00AE3F40" w:rsidP="00AE3F40">
      <w:pPr>
        <w:spacing w:line="360" w:lineRule="auto"/>
        <w:rPr>
          <w:rFonts w:ascii="Arial" w:hAnsi="Arial" w:cs="Arial"/>
          <w:sz w:val="22"/>
          <w:szCs w:val="22"/>
        </w:rPr>
      </w:pPr>
      <w:r w:rsidRPr="00AE3F40">
        <w:rPr>
          <w:rFonts w:ascii="Arial" w:hAnsi="Arial" w:cs="Arial"/>
          <w:sz w:val="22"/>
          <w:szCs w:val="22"/>
        </w:rPr>
        <w:t>NHS England (2025</w:t>
      </w:r>
      <w:r w:rsidRPr="008D0901">
        <w:rPr>
          <w:rFonts w:ascii="Arial" w:hAnsi="Arial" w:cs="Arial"/>
          <w:i/>
          <w:iCs/>
          <w:sz w:val="22"/>
          <w:szCs w:val="22"/>
        </w:rPr>
        <w:t>) AI based skin lesion analysis technology</w:t>
      </w:r>
      <w:r w:rsidRPr="00AE3F40">
        <w:rPr>
          <w:rFonts w:ascii="Arial" w:hAnsi="Arial" w:cs="Arial"/>
          <w:sz w:val="22"/>
          <w:szCs w:val="22"/>
        </w:rPr>
        <w:t>. Available at: https://www.england.nhs.uk/elective-care/best-practice-solutions/ai-based-skin-lesion-analysis-technology/ (Accessed: 28 June 2026).</w:t>
      </w:r>
    </w:p>
    <w:p w14:paraId="124526A9" w14:textId="77777777" w:rsidR="00AE3F40" w:rsidRPr="00AE3F40" w:rsidRDefault="00AE3F40" w:rsidP="00AE3F40">
      <w:pPr>
        <w:spacing w:line="360" w:lineRule="auto"/>
        <w:rPr>
          <w:rFonts w:ascii="Arial" w:hAnsi="Arial" w:cs="Arial"/>
          <w:sz w:val="22"/>
          <w:szCs w:val="22"/>
        </w:rPr>
      </w:pPr>
      <w:r w:rsidRPr="00AE3F40">
        <w:rPr>
          <w:rFonts w:ascii="Arial" w:hAnsi="Arial" w:cs="Arial"/>
          <w:sz w:val="22"/>
          <w:szCs w:val="22"/>
        </w:rPr>
        <w:t xml:space="preserve">NHS England (2026) </w:t>
      </w:r>
      <w:r w:rsidRPr="008D0901">
        <w:rPr>
          <w:rFonts w:ascii="Arial" w:hAnsi="Arial" w:cs="Arial"/>
          <w:i/>
          <w:iCs/>
          <w:sz w:val="22"/>
          <w:szCs w:val="22"/>
        </w:rPr>
        <w:t>NHS Lab AI Lab Ethics Initiative</w:t>
      </w:r>
      <w:r w:rsidRPr="00AE3F40">
        <w:rPr>
          <w:rFonts w:ascii="Arial" w:hAnsi="Arial" w:cs="Arial"/>
          <w:sz w:val="22"/>
          <w:szCs w:val="22"/>
        </w:rPr>
        <w:t>. Available at: https://digital.nhs.uk/services/ai-knowledge-repository/nhs-lab-ai-ethics-initiative (Accessed: 28 June 2026).</w:t>
      </w:r>
    </w:p>
    <w:p w14:paraId="01E8E522" w14:textId="418FDAAF" w:rsidR="00AE3F40" w:rsidRPr="00AE3F40" w:rsidRDefault="00AE3F40" w:rsidP="00AE3F40">
      <w:pPr>
        <w:spacing w:line="360" w:lineRule="auto"/>
        <w:rPr>
          <w:rFonts w:ascii="Arial" w:hAnsi="Arial" w:cs="Arial"/>
          <w:sz w:val="22"/>
          <w:szCs w:val="22"/>
        </w:rPr>
      </w:pPr>
      <w:r w:rsidRPr="00AE3F40">
        <w:rPr>
          <w:rFonts w:ascii="Arial" w:hAnsi="Arial" w:cs="Arial"/>
          <w:sz w:val="22"/>
          <w:szCs w:val="22"/>
        </w:rPr>
        <w:t xml:space="preserve">Palamaras, I., Wark, H., Short, B., Hameed, O.A., Sheraz, A.A., Thomson, P., Kalirai, K. and Rose, L. (2022) </w:t>
      </w:r>
      <w:r w:rsidR="00B87596">
        <w:rPr>
          <w:rFonts w:ascii="Arial" w:hAnsi="Arial" w:cs="Arial"/>
          <w:sz w:val="22"/>
          <w:szCs w:val="22"/>
        </w:rPr>
        <w:t>‘</w:t>
      </w:r>
      <w:r w:rsidRPr="00AE3F40">
        <w:rPr>
          <w:rFonts w:ascii="Arial" w:hAnsi="Arial" w:cs="Arial"/>
          <w:sz w:val="22"/>
          <w:szCs w:val="22"/>
        </w:rPr>
        <w:t>Clinical outcomes and operational impact of a medical photography based teledermatology service with over 8,000 patients in the UK</w:t>
      </w:r>
      <w:r w:rsidR="00B87596">
        <w:rPr>
          <w:rFonts w:ascii="Arial" w:hAnsi="Arial" w:cs="Arial"/>
          <w:sz w:val="22"/>
          <w:szCs w:val="22"/>
        </w:rPr>
        <w:t>’,</w:t>
      </w:r>
      <w:r w:rsidRPr="00AE3F40">
        <w:rPr>
          <w:rFonts w:ascii="Arial" w:hAnsi="Arial" w:cs="Arial"/>
          <w:sz w:val="22"/>
          <w:szCs w:val="22"/>
        </w:rPr>
        <w:t xml:space="preserve"> </w:t>
      </w:r>
      <w:r w:rsidRPr="00B87596">
        <w:rPr>
          <w:rFonts w:ascii="Arial" w:hAnsi="Arial" w:cs="Arial"/>
          <w:i/>
          <w:iCs/>
          <w:sz w:val="22"/>
          <w:szCs w:val="22"/>
        </w:rPr>
        <w:t>Journal of Visual Communication in Medicine</w:t>
      </w:r>
      <w:r w:rsidRPr="00AE3F40">
        <w:rPr>
          <w:rFonts w:ascii="Arial" w:hAnsi="Arial" w:cs="Arial"/>
          <w:sz w:val="22"/>
          <w:szCs w:val="22"/>
        </w:rPr>
        <w:t xml:space="preserve">, 45(1), pp. 6–17. Available at: https://doi.org/10.1080/17453054.2021.2004883 </w:t>
      </w:r>
    </w:p>
    <w:p w14:paraId="5EAB049E" w14:textId="7D6E1B33" w:rsidR="00AE3F40" w:rsidRPr="00AE3F40" w:rsidRDefault="00AE3F40" w:rsidP="00AE3F40">
      <w:pPr>
        <w:spacing w:line="360" w:lineRule="auto"/>
        <w:rPr>
          <w:rFonts w:ascii="Arial" w:hAnsi="Arial" w:cs="Arial"/>
          <w:sz w:val="22"/>
          <w:szCs w:val="22"/>
        </w:rPr>
      </w:pPr>
      <w:r w:rsidRPr="00AE3F40">
        <w:rPr>
          <w:rFonts w:ascii="Arial" w:hAnsi="Arial" w:cs="Arial"/>
          <w:sz w:val="22"/>
          <w:szCs w:val="22"/>
        </w:rPr>
        <w:lastRenderedPageBreak/>
        <w:t xml:space="preserve">Pope, R., Zenonos, A., Bryant, W., Spiridou, A., Key, D., Patel, S., Robinson, J., Styles, A., Rockenbach, C., Bicknell, G., Rajendran, P., Taylor, A. M. and Sebire, N. J. (2024) </w:t>
      </w:r>
      <w:r w:rsidR="00B87596">
        <w:rPr>
          <w:rFonts w:ascii="Arial" w:hAnsi="Arial" w:cs="Arial"/>
          <w:sz w:val="22"/>
          <w:szCs w:val="22"/>
        </w:rPr>
        <w:t>‘</w:t>
      </w:r>
      <w:r w:rsidRPr="00AE3F40">
        <w:rPr>
          <w:rFonts w:ascii="Arial" w:hAnsi="Arial" w:cs="Arial"/>
          <w:sz w:val="22"/>
          <w:szCs w:val="22"/>
        </w:rPr>
        <w:t>Real-world learnings for digital health industry-NHS collaboration: Life sciences vision in action</w:t>
      </w:r>
      <w:r w:rsidR="00443469">
        <w:rPr>
          <w:rFonts w:ascii="Arial" w:hAnsi="Arial" w:cs="Arial"/>
          <w:sz w:val="22"/>
          <w:szCs w:val="22"/>
        </w:rPr>
        <w:t>’,</w:t>
      </w:r>
      <w:r w:rsidRPr="00AE3F40">
        <w:rPr>
          <w:rFonts w:ascii="Arial" w:hAnsi="Arial" w:cs="Arial"/>
          <w:sz w:val="22"/>
          <w:szCs w:val="22"/>
        </w:rPr>
        <w:t xml:space="preserve"> </w:t>
      </w:r>
      <w:r w:rsidRPr="00443469">
        <w:rPr>
          <w:rFonts w:ascii="Arial" w:hAnsi="Arial" w:cs="Arial"/>
          <w:i/>
          <w:iCs/>
          <w:sz w:val="22"/>
          <w:szCs w:val="22"/>
        </w:rPr>
        <w:t>Future Healthcare Journal</w:t>
      </w:r>
      <w:r w:rsidR="00443469">
        <w:rPr>
          <w:rFonts w:ascii="Arial" w:hAnsi="Arial" w:cs="Arial"/>
          <w:sz w:val="22"/>
          <w:szCs w:val="22"/>
        </w:rPr>
        <w:t>.</w:t>
      </w:r>
      <w:r w:rsidRPr="00AE3F40">
        <w:rPr>
          <w:rFonts w:ascii="Arial" w:hAnsi="Arial" w:cs="Arial"/>
          <w:sz w:val="22"/>
          <w:szCs w:val="22"/>
        </w:rPr>
        <w:t xml:space="preserve"> Available at: https://doi.org/10.1016/j.fhj.2024.100168</w:t>
      </w:r>
    </w:p>
    <w:p w14:paraId="61DD153D" w14:textId="77777777" w:rsidR="00AE3F40" w:rsidRPr="00AE3F40" w:rsidRDefault="00AE3F40" w:rsidP="00AE3F40">
      <w:pPr>
        <w:spacing w:line="360" w:lineRule="auto"/>
        <w:rPr>
          <w:rFonts w:ascii="Arial" w:hAnsi="Arial" w:cs="Arial"/>
          <w:sz w:val="22"/>
          <w:szCs w:val="22"/>
        </w:rPr>
      </w:pPr>
      <w:r w:rsidRPr="00AE3F40">
        <w:rPr>
          <w:rFonts w:ascii="Arial" w:hAnsi="Arial" w:cs="Arial"/>
          <w:sz w:val="22"/>
          <w:szCs w:val="22"/>
        </w:rPr>
        <w:t xml:space="preserve">Skin Analytics (2026) </w:t>
      </w:r>
      <w:r w:rsidRPr="00443469">
        <w:rPr>
          <w:rFonts w:ascii="Arial" w:hAnsi="Arial" w:cs="Arial"/>
          <w:i/>
          <w:iCs/>
          <w:sz w:val="22"/>
          <w:szCs w:val="22"/>
        </w:rPr>
        <w:t>Home – Skin Analytics</w:t>
      </w:r>
      <w:r w:rsidRPr="00AE3F40">
        <w:rPr>
          <w:rFonts w:ascii="Arial" w:hAnsi="Arial" w:cs="Arial"/>
          <w:sz w:val="22"/>
          <w:szCs w:val="22"/>
        </w:rPr>
        <w:t>. Available at: https://skin-analytics.com (Accessed: 28 June 2026).</w:t>
      </w:r>
    </w:p>
    <w:p w14:paraId="7984AEF5" w14:textId="62FBCD67" w:rsidR="00AE3F40" w:rsidRPr="00AE3F40" w:rsidRDefault="00AE3F40" w:rsidP="00AE3F40">
      <w:pPr>
        <w:spacing w:line="360" w:lineRule="auto"/>
        <w:rPr>
          <w:rFonts w:ascii="Arial" w:hAnsi="Arial" w:cs="Arial"/>
          <w:sz w:val="22"/>
          <w:szCs w:val="22"/>
        </w:rPr>
      </w:pPr>
      <w:r w:rsidRPr="00AE3F40">
        <w:rPr>
          <w:rFonts w:ascii="Arial" w:hAnsi="Arial" w:cs="Arial"/>
          <w:sz w:val="22"/>
          <w:szCs w:val="22"/>
        </w:rPr>
        <w:t xml:space="preserve">Thomas, L., Hyde, C., Mullarkey, D., Greenhalgh, J., Kalsi, D. and Ko, J. (2023) </w:t>
      </w:r>
      <w:r w:rsidR="00443469">
        <w:rPr>
          <w:rFonts w:ascii="Arial" w:hAnsi="Arial" w:cs="Arial"/>
          <w:sz w:val="22"/>
          <w:szCs w:val="22"/>
        </w:rPr>
        <w:t>‘</w:t>
      </w:r>
      <w:r w:rsidRPr="00AE3F40">
        <w:rPr>
          <w:rFonts w:ascii="Arial" w:hAnsi="Arial" w:cs="Arial"/>
          <w:sz w:val="22"/>
          <w:szCs w:val="22"/>
        </w:rPr>
        <w:t>Real-world post-deployment performance of a novel machine learning-based digital health technology for skin lesion assessment and suggestions for post-market surveillance</w:t>
      </w:r>
      <w:r w:rsidR="00443469">
        <w:rPr>
          <w:rFonts w:ascii="Arial" w:hAnsi="Arial" w:cs="Arial"/>
          <w:sz w:val="22"/>
          <w:szCs w:val="22"/>
        </w:rPr>
        <w:t>’,</w:t>
      </w:r>
      <w:r w:rsidRPr="00AE3F40">
        <w:rPr>
          <w:rFonts w:ascii="Arial" w:hAnsi="Arial" w:cs="Arial"/>
          <w:sz w:val="22"/>
          <w:szCs w:val="22"/>
        </w:rPr>
        <w:t xml:space="preserve"> </w:t>
      </w:r>
      <w:r w:rsidRPr="00443469">
        <w:rPr>
          <w:rFonts w:ascii="Arial" w:hAnsi="Arial" w:cs="Arial"/>
          <w:i/>
          <w:iCs/>
          <w:sz w:val="22"/>
          <w:szCs w:val="22"/>
        </w:rPr>
        <w:t>Dermatology</w:t>
      </w:r>
      <w:r w:rsidRPr="00AE3F40">
        <w:rPr>
          <w:rFonts w:ascii="Arial" w:hAnsi="Arial" w:cs="Arial"/>
          <w:sz w:val="22"/>
          <w:szCs w:val="22"/>
        </w:rPr>
        <w:t>, 10. Available at: https://doi.org/10.3389/fmed.2023.1264846</w:t>
      </w:r>
    </w:p>
    <w:p w14:paraId="7238D91F" w14:textId="4A666C13" w:rsidR="00AE3F40" w:rsidRPr="00AE3F40" w:rsidRDefault="00AE3F40" w:rsidP="00AE3F40">
      <w:pPr>
        <w:spacing w:line="360" w:lineRule="auto"/>
        <w:rPr>
          <w:rFonts w:ascii="Arial" w:hAnsi="Arial" w:cs="Arial"/>
          <w:sz w:val="22"/>
          <w:szCs w:val="22"/>
        </w:rPr>
      </w:pPr>
      <w:r w:rsidRPr="00AE3F40">
        <w:rPr>
          <w:rFonts w:ascii="Arial" w:hAnsi="Arial" w:cs="Arial"/>
          <w:sz w:val="22"/>
          <w:szCs w:val="22"/>
        </w:rPr>
        <w:t xml:space="preserve">Venables, Z.C., Gran, S., Levell, N.J., Yiu, Z.Z.N. and Proby, C.M. (2024) </w:t>
      </w:r>
      <w:r w:rsidR="00E862AF">
        <w:rPr>
          <w:rFonts w:ascii="Arial" w:hAnsi="Arial" w:cs="Arial"/>
          <w:sz w:val="22"/>
          <w:szCs w:val="22"/>
        </w:rPr>
        <w:t>‘</w:t>
      </w:r>
      <w:r w:rsidRPr="00AE3F40">
        <w:rPr>
          <w:rFonts w:ascii="Arial" w:hAnsi="Arial" w:cs="Arial"/>
          <w:sz w:val="22"/>
          <w:szCs w:val="22"/>
        </w:rPr>
        <w:t>International melanoma and non melanoma skin cancer mortality trends: is it time to refocus our attention?</w:t>
      </w:r>
      <w:r w:rsidR="00E862AF">
        <w:rPr>
          <w:rFonts w:ascii="Arial" w:hAnsi="Arial" w:cs="Arial"/>
          <w:sz w:val="22"/>
          <w:szCs w:val="22"/>
        </w:rPr>
        <w:t>’,</w:t>
      </w:r>
      <w:r w:rsidRPr="00AE3F40">
        <w:rPr>
          <w:rFonts w:ascii="Arial" w:hAnsi="Arial" w:cs="Arial"/>
          <w:sz w:val="22"/>
          <w:szCs w:val="22"/>
        </w:rPr>
        <w:t xml:space="preserve"> </w:t>
      </w:r>
      <w:r w:rsidRPr="00E862AF">
        <w:rPr>
          <w:rFonts w:ascii="Arial" w:hAnsi="Arial" w:cs="Arial"/>
          <w:i/>
          <w:iCs/>
          <w:sz w:val="22"/>
          <w:szCs w:val="22"/>
        </w:rPr>
        <w:t>Clinical and Experimental Dermatology</w:t>
      </w:r>
      <w:r w:rsidRPr="00AE3F40">
        <w:rPr>
          <w:rFonts w:ascii="Arial" w:hAnsi="Arial" w:cs="Arial"/>
          <w:sz w:val="22"/>
          <w:szCs w:val="22"/>
        </w:rPr>
        <w:t xml:space="preserve">, 49(5), pp. 514–516. Available at: https://doi.org/10.1093/ced/llad438 </w:t>
      </w:r>
    </w:p>
    <w:p w14:paraId="09EE7EAA" w14:textId="4DF05F8D" w:rsidR="00AE3F40" w:rsidRPr="00AE3F40" w:rsidRDefault="00AE3F40" w:rsidP="00AE3F40">
      <w:pPr>
        <w:spacing w:line="360" w:lineRule="auto"/>
        <w:rPr>
          <w:rFonts w:ascii="Arial" w:hAnsi="Arial" w:cs="Arial"/>
          <w:sz w:val="22"/>
          <w:szCs w:val="22"/>
        </w:rPr>
      </w:pPr>
      <w:r w:rsidRPr="00AE3F40">
        <w:rPr>
          <w:rFonts w:ascii="Arial" w:hAnsi="Arial" w:cs="Arial"/>
          <w:sz w:val="22"/>
          <w:szCs w:val="22"/>
        </w:rPr>
        <w:t xml:space="preserve">Walton, M., Llewellyn, A., Uphoff, E., Lord, J., Harden, M., Hodgson, R. and Simmonds, M. (2026) </w:t>
      </w:r>
      <w:r w:rsidR="00E862AF">
        <w:rPr>
          <w:rFonts w:ascii="Arial" w:hAnsi="Arial" w:cs="Arial"/>
          <w:sz w:val="22"/>
          <w:szCs w:val="22"/>
        </w:rPr>
        <w:t>‘</w:t>
      </w:r>
      <w:r w:rsidRPr="00AE3F40">
        <w:rPr>
          <w:rFonts w:ascii="Arial" w:hAnsi="Arial" w:cs="Arial"/>
          <w:sz w:val="22"/>
          <w:szCs w:val="22"/>
        </w:rPr>
        <w:t>Artificial intelligence technologies for assessing skin lesions for referral on the urgent suspected cancer pathway to detect benign lesions and reduce secondary care specialist appointments: early value assessment</w:t>
      </w:r>
      <w:r w:rsidR="00E862AF">
        <w:rPr>
          <w:rFonts w:ascii="Arial" w:hAnsi="Arial" w:cs="Arial"/>
          <w:sz w:val="22"/>
          <w:szCs w:val="22"/>
        </w:rPr>
        <w:t>’,</w:t>
      </w:r>
      <w:r w:rsidRPr="00AE3F40">
        <w:rPr>
          <w:rFonts w:ascii="Arial" w:hAnsi="Arial" w:cs="Arial"/>
          <w:sz w:val="22"/>
          <w:szCs w:val="22"/>
        </w:rPr>
        <w:t xml:space="preserve"> </w:t>
      </w:r>
      <w:r w:rsidRPr="00E862AF">
        <w:rPr>
          <w:rFonts w:ascii="Arial" w:hAnsi="Arial" w:cs="Arial"/>
          <w:i/>
          <w:iCs/>
          <w:sz w:val="22"/>
          <w:szCs w:val="22"/>
        </w:rPr>
        <w:t>Health Technology Assessment</w:t>
      </w:r>
      <w:r w:rsidRPr="00AE3F40">
        <w:rPr>
          <w:rFonts w:ascii="Arial" w:hAnsi="Arial" w:cs="Arial"/>
          <w:sz w:val="22"/>
          <w:szCs w:val="22"/>
        </w:rPr>
        <w:t xml:space="preserve">, 30(10). Available at: https://doi.org/10.3310/GJMS0317 </w:t>
      </w:r>
    </w:p>
    <w:p w14:paraId="1D7DF1BD" w14:textId="4D12674E" w:rsidR="00AE3F40" w:rsidRPr="00AE3F40" w:rsidRDefault="00AE3F40" w:rsidP="00AE3F40">
      <w:pPr>
        <w:spacing w:line="360" w:lineRule="auto"/>
        <w:rPr>
          <w:rFonts w:ascii="Arial" w:hAnsi="Arial" w:cs="Arial"/>
          <w:sz w:val="22"/>
          <w:szCs w:val="22"/>
        </w:rPr>
      </w:pPr>
      <w:r w:rsidRPr="00AE3F40">
        <w:rPr>
          <w:rFonts w:ascii="Arial" w:hAnsi="Arial" w:cs="Arial"/>
          <w:sz w:val="22"/>
          <w:szCs w:val="22"/>
        </w:rPr>
        <w:t xml:space="preserve">Wen, D., Soltan, A., Trucco, E. and Matin, R.N. (2024) </w:t>
      </w:r>
      <w:r w:rsidR="00E862AF">
        <w:rPr>
          <w:rFonts w:ascii="Arial" w:hAnsi="Arial" w:cs="Arial"/>
          <w:sz w:val="22"/>
          <w:szCs w:val="22"/>
        </w:rPr>
        <w:t>‘</w:t>
      </w:r>
      <w:r w:rsidRPr="00AE3F40">
        <w:rPr>
          <w:rFonts w:ascii="Arial" w:hAnsi="Arial" w:cs="Arial"/>
          <w:sz w:val="22"/>
          <w:szCs w:val="22"/>
        </w:rPr>
        <w:t>From data to diagnosis: skin cancer image datasets for artificial intelligence</w:t>
      </w:r>
      <w:r w:rsidR="00E862AF">
        <w:rPr>
          <w:rFonts w:ascii="Arial" w:hAnsi="Arial" w:cs="Arial"/>
          <w:sz w:val="22"/>
          <w:szCs w:val="22"/>
        </w:rPr>
        <w:t>’,</w:t>
      </w:r>
      <w:r w:rsidRPr="00AE3F40">
        <w:rPr>
          <w:rFonts w:ascii="Arial" w:hAnsi="Arial" w:cs="Arial"/>
          <w:sz w:val="22"/>
          <w:szCs w:val="22"/>
        </w:rPr>
        <w:t xml:space="preserve"> </w:t>
      </w:r>
      <w:r w:rsidRPr="00E862AF">
        <w:rPr>
          <w:rFonts w:ascii="Arial" w:hAnsi="Arial" w:cs="Arial"/>
          <w:i/>
          <w:iCs/>
          <w:sz w:val="22"/>
          <w:szCs w:val="22"/>
        </w:rPr>
        <w:t>Clinical and Experimental Dermatology</w:t>
      </w:r>
      <w:r w:rsidRPr="00AE3F40">
        <w:rPr>
          <w:rFonts w:ascii="Arial" w:hAnsi="Arial" w:cs="Arial"/>
          <w:sz w:val="22"/>
          <w:szCs w:val="22"/>
        </w:rPr>
        <w:t xml:space="preserve">, 49(7), pp. 675–685. Available at: https://doi.org/10.1093/ced/llae112 </w:t>
      </w:r>
    </w:p>
    <w:sectPr w:rsidR="00AE3F40" w:rsidRPr="00AE3F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BoldMT">
    <w:altName w:val="Arial"/>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D84"/>
    <w:rsid w:val="00002519"/>
    <w:rsid w:val="00002E53"/>
    <w:rsid w:val="00067A12"/>
    <w:rsid w:val="00073267"/>
    <w:rsid w:val="000D40AE"/>
    <w:rsid w:val="00111759"/>
    <w:rsid w:val="001420DA"/>
    <w:rsid w:val="001513C6"/>
    <w:rsid w:val="0015249A"/>
    <w:rsid w:val="00190156"/>
    <w:rsid w:val="001946CF"/>
    <w:rsid w:val="00197E8B"/>
    <w:rsid w:val="001A0E3B"/>
    <w:rsid w:val="001B2B96"/>
    <w:rsid w:val="001B33DE"/>
    <w:rsid w:val="001E093E"/>
    <w:rsid w:val="002248F7"/>
    <w:rsid w:val="00235862"/>
    <w:rsid w:val="00240377"/>
    <w:rsid w:val="00244A57"/>
    <w:rsid w:val="00286DD8"/>
    <w:rsid w:val="0028735A"/>
    <w:rsid w:val="002A1AD9"/>
    <w:rsid w:val="002A4ACF"/>
    <w:rsid w:val="002A51BD"/>
    <w:rsid w:val="002B1EF1"/>
    <w:rsid w:val="002C103A"/>
    <w:rsid w:val="002D2B39"/>
    <w:rsid w:val="002D6504"/>
    <w:rsid w:val="0030749B"/>
    <w:rsid w:val="0031126E"/>
    <w:rsid w:val="0033306C"/>
    <w:rsid w:val="003572B0"/>
    <w:rsid w:val="00362148"/>
    <w:rsid w:val="00372149"/>
    <w:rsid w:val="003826A4"/>
    <w:rsid w:val="00394BD2"/>
    <w:rsid w:val="00396FAE"/>
    <w:rsid w:val="003B1D84"/>
    <w:rsid w:val="003B2800"/>
    <w:rsid w:val="003D7CA4"/>
    <w:rsid w:val="003F1C9E"/>
    <w:rsid w:val="00404B38"/>
    <w:rsid w:val="00443469"/>
    <w:rsid w:val="00456D88"/>
    <w:rsid w:val="004729DA"/>
    <w:rsid w:val="004A2683"/>
    <w:rsid w:val="004D2DBA"/>
    <w:rsid w:val="004D67EC"/>
    <w:rsid w:val="004E0150"/>
    <w:rsid w:val="004E1065"/>
    <w:rsid w:val="004E1994"/>
    <w:rsid w:val="004F72FD"/>
    <w:rsid w:val="005068AD"/>
    <w:rsid w:val="00507575"/>
    <w:rsid w:val="00507FC1"/>
    <w:rsid w:val="00515A44"/>
    <w:rsid w:val="00517215"/>
    <w:rsid w:val="00521272"/>
    <w:rsid w:val="00522819"/>
    <w:rsid w:val="00526784"/>
    <w:rsid w:val="0052786C"/>
    <w:rsid w:val="00567917"/>
    <w:rsid w:val="00574CCE"/>
    <w:rsid w:val="005A4767"/>
    <w:rsid w:val="005C7B66"/>
    <w:rsid w:val="005D0B64"/>
    <w:rsid w:val="005D5169"/>
    <w:rsid w:val="005E1170"/>
    <w:rsid w:val="0060293A"/>
    <w:rsid w:val="0063716B"/>
    <w:rsid w:val="00647046"/>
    <w:rsid w:val="00672694"/>
    <w:rsid w:val="00680850"/>
    <w:rsid w:val="006809AA"/>
    <w:rsid w:val="006812F3"/>
    <w:rsid w:val="00684459"/>
    <w:rsid w:val="0069725F"/>
    <w:rsid w:val="006A1CEB"/>
    <w:rsid w:val="006C35BB"/>
    <w:rsid w:val="006E44C6"/>
    <w:rsid w:val="00717668"/>
    <w:rsid w:val="00727985"/>
    <w:rsid w:val="00736E88"/>
    <w:rsid w:val="00755890"/>
    <w:rsid w:val="00771BCE"/>
    <w:rsid w:val="00784270"/>
    <w:rsid w:val="00790A1C"/>
    <w:rsid w:val="00802E8E"/>
    <w:rsid w:val="00826E27"/>
    <w:rsid w:val="00867924"/>
    <w:rsid w:val="00885E8D"/>
    <w:rsid w:val="008B1F8C"/>
    <w:rsid w:val="008B240B"/>
    <w:rsid w:val="008B247F"/>
    <w:rsid w:val="008D0901"/>
    <w:rsid w:val="008D42EA"/>
    <w:rsid w:val="008D6AA5"/>
    <w:rsid w:val="008F4068"/>
    <w:rsid w:val="00931E7B"/>
    <w:rsid w:val="00964E5B"/>
    <w:rsid w:val="009D00D5"/>
    <w:rsid w:val="009D368B"/>
    <w:rsid w:val="009D7AF3"/>
    <w:rsid w:val="009F408D"/>
    <w:rsid w:val="00A12411"/>
    <w:rsid w:val="00A158B1"/>
    <w:rsid w:val="00A26830"/>
    <w:rsid w:val="00A31D72"/>
    <w:rsid w:val="00A40CFA"/>
    <w:rsid w:val="00A45420"/>
    <w:rsid w:val="00A51ADC"/>
    <w:rsid w:val="00A821B8"/>
    <w:rsid w:val="00AB2BB2"/>
    <w:rsid w:val="00AB33DE"/>
    <w:rsid w:val="00AB6CEB"/>
    <w:rsid w:val="00AD731F"/>
    <w:rsid w:val="00AD765E"/>
    <w:rsid w:val="00AE3F40"/>
    <w:rsid w:val="00B041F2"/>
    <w:rsid w:val="00B062C8"/>
    <w:rsid w:val="00B5021C"/>
    <w:rsid w:val="00B52873"/>
    <w:rsid w:val="00B66A54"/>
    <w:rsid w:val="00B87596"/>
    <w:rsid w:val="00BB75B5"/>
    <w:rsid w:val="00BC7765"/>
    <w:rsid w:val="00BD48AD"/>
    <w:rsid w:val="00BF6247"/>
    <w:rsid w:val="00BF6FCD"/>
    <w:rsid w:val="00C03103"/>
    <w:rsid w:val="00C37A3F"/>
    <w:rsid w:val="00C82E5E"/>
    <w:rsid w:val="00C87EC8"/>
    <w:rsid w:val="00CA3EA8"/>
    <w:rsid w:val="00CB408D"/>
    <w:rsid w:val="00CF007D"/>
    <w:rsid w:val="00CF29B2"/>
    <w:rsid w:val="00CF7F98"/>
    <w:rsid w:val="00D06F84"/>
    <w:rsid w:val="00D33E46"/>
    <w:rsid w:val="00D3457D"/>
    <w:rsid w:val="00D41B24"/>
    <w:rsid w:val="00D609C1"/>
    <w:rsid w:val="00D64129"/>
    <w:rsid w:val="00DB32C6"/>
    <w:rsid w:val="00DB46A8"/>
    <w:rsid w:val="00DC1ABD"/>
    <w:rsid w:val="00DC6443"/>
    <w:rsid w:val="00DD57EB"/>
    <w:rsid w:val="00E22A18"/>
    <w:rsid w:val="00E63B30"/>
    <w:rsid w:val="00E862AF"/>
    <w:rsid w:val="00E90662"/>
    <w:rsid w:val="00EB24FC"/>
    <w:rsid w:val="00ED2E6C"/>
    <w:rsid w:val="00ED5699"/>
    <w:rsid w:val="00EE6D85"/>
    <w:rsid w:val="00F36996"/>
    <w:rsid w:val="00F43395"/>
    <w:rsid w:val="00F45589"/>
    <w:rsid w:val="00F51B8F"/>
    <w:rsid w:val="00F53A6A"/>
    <w:rsid w:val="00F73914"/>
    <w:rsid w:val="00F86FDF"/>
    <w:rsid w:val="00FB1823"/>
    <w:rsid w:val="00FB6642"/>
    <w:rsid w:val="00FD2456"/>
    <w:rsid w:val="00FF28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2F773"/>
  <w15:chartTrackingRefBased/>
  <w15:docId w15:val="{F2C8BBE6-D11F-694F-83C3-0EB2ED132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1D8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B1D8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3B1D8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B1D8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B1D8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B1D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1D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1D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1D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1D8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B1D8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B1D8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B1D8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B1D8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B1D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1D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1D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1D84"/>
    <w:rPr>
      <w:rFonts w:eastAsiaTheme="majorEastAsia" w:cstheme="majorBidi"/>
      <w:color w:val="272727" w:themeColor="text1" w:themeTint="D8"/>
    </w:rPr>
  </w:style>
  <w:style w:type="paragraph" w:styleId="Title">
    <w:name w:val="Title"/>
    <w:basedOn w:val="Normal"/>
    <w:next w:val="Normal"/>
    <w:link w:val="TitleChar"/>
    <w:uiPriority w:val="10"/>
    <w:qFormat/>
    <w:rsid w:val="003B1D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1D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1D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1D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1D84"/>
    <w:pPr>
      <w:spacing w:before="160"/>
      <w:jc w:val="center"/>
    </w:pPr>
    <w:rPr>
      <w:i/>
      <w:iCs/>
      <w:color w:val="404040" w:themeColor="text1" w:themeTint="BF"/>
    </w:rPr>
  </w:style>
  <w:style w:type="character" w:customStyle="1" w:styleId="QuoteChar">
    <w:name w:val="Quote Char"/>
    <w:basedOn w:val="DefaultParagraphFont"/>
    <w:link w:val="Quote"/>
    <w:uiPriority w:val="29"/>
    <w:rsid w:val="003B1D84"/>
    <w:rPr>
      <w:i/>
      <w:iCs/>
      <w:color w:val="404040" w:themeColor="text1" w:themeTint="BF"/>
    </w:rPr>
  </w:style>
  <w:style w:type="paragraph" w:styleId="ListParagraph">
    <w:name w:val="List Paragraph"/>
    <w:basedOn w:val="Normal"/>
    <w:uiPriority w:val="34"/>
    <w:qFormat/>
    <w:rsid w:val="003B1D84"/>
    <w:pPr>
      <w:ind w:left="720"/>
      <w:contextualSpacing/>
    </w:pPr>
  </w:style>
  <w:style w:type="character" w:styleId="IntenseEmphasis">
    <w:name w:val="Intense Emphasis"/>
    <w:basedOn w:val="DefaultParagraphFont"/>
    <w:uiPriority w:val="21"/>
    <w:qFormat/>
    <w:rsid w:val="003B1D84"/>
    <w:rPr>
      <w:i/>
      <w:iCs/>
      <w:color w:val="2F5496" w:themeColor="accent1" w:themeShade="BF"/>
    </w:rPr>
  </w:style>
  <w:style w:type="paragraph" w:styleId="IntenseQuote">
    <w:name w:val="Intense Quote"/>
    <w:basedOn w:val="Normal"/>
    <w:next w:val="Normal"/>
    <w:link w:val="IntenseQuoteChar"/>
    <w:uiPriority w:val="30"/>
    <w:qFormat/>
    <w:rsid w:val="003B1D8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B1D84"/>
    <w:rPr>
      <w:i/>
      <w:iCs/>
      <w:color w:val="2F5496" w:themeColor="accent1" w:themeShade="BF"/>
    </w:rPr>
  </w:style>
  <w:style w:type="character" w:styleId="IntenseReference">
    <w:name w:val="Intense Reference"/>
    <w:basedOn w:val="DefaultParagraphFont"/>
    <w:uiPriority w:val="32"/>
    <w:qFormat/>
    <w:rsid w:val="003B1D84"/>
    <w:rPr>
      <w:b/>
      <w:bCs/>
      <w:smallCaps/>
      <w:color w:val="2F5496" w:themeColor="accent1" w:themeShade="BF"/>
      <w:spacing w:val="5"/>
    </w:rPr>
  </w:style>
  <w:style w:type="paragraph" w:customStyle="1" w:styleId="p1">
    <w:name w:val="p1"/>
    <w:basedOn w:val="Normal"/>
    <w:rsid w:val="003B1D84"/>
    <w:pPr>
      <w:spacing w:after="0" w:line="240" w:lineRule="auto"/>
    </w:pPr>
    <w:rPr>
      <w:rFonts w:ascii="Arial" w:hAnsi="Arial" w:cs="Arial"/>
      <w:color w:val="000000"/>
      <w:kern w:val="0"/>
      <w:sz w:val="17"/>
      <w:szCs w:val="17"/>
      <w14:ligatures w14:val="none"/>
    </w:rPr>
  </w:style>
  <w:style w:type="character" w:customStyle="1" w:styleId="s1">
    <w:name w:val="s1"/>
    <w:basedOn w:val="DefaultParagraphFont"/>
    <w:rsid w:val="003B1D84"/>
    <w:rPr>
      <w:rFonts w:ascii="Arial-BoldMT" w:hAnsi="Arial-BoldMT" w:hint="default"/>
      <w:b/>
      <w:bCs/>
      <w:i w:val="0"/>
      <w:iCs w:val="0"/>
      <w:sz w:val="17"/>
      <w:szCs w:val="17"/>
    </w:rPr>
  </w:style>
  <w:style w:type="table" w:styleId="TableGrid">
    <w:name w:val="Table Grid"/>
    <w:basedOn w:val="TableNormal"/>
    <w:uiPriority w:val="39"/>
    <w:rsid w:val="004A26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3">
    <w:name w:val="p3"/>
    <w:basedOn w:val="Normal"/>
    <w:rsid w:val="00ED2E6C"/>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ED2E6C"/>
  </w:style>
  <w:style w:type="paragraph" w:customStyle="1" w:styleId="p4">
    <w:name w:val="p4"/>
    <w:basedOn w:val="Normal"/>
    <w:rsid w:val="00ED2E6C"/>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A5AEB59E106244B832A4D4041A0D21" ma:contentTypeVersion="11" ma:contentTypeDescription="Create a new document." ma:contentTypeScope="" ma:versionID="f23d17bbcad9439a1400134c96a0e6ac">
  <xsd:schema xmlns:xsd="http://www.w3.org/2001/XMLSchema" xmlns:xs="http://www.w3.org/2001/XMLSchema" xmlns:p="http://schemas.microsoft.com/office/2006/metadata/properties" xmlns:ns3="80ad0dd2-2cb0-44fb-bfff-af5123703117" targetNamespace="http://schemas.microsoft.com/office/2006/metadata/properties" ma:root="true" ma:fieldsID="fd6d5c8eedf3bebac723529493717c18" ns3:_="">
    <xsd:import namespace="80ad0dd2-2cb0-44fb-bfff-af512370311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Location"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ad0dd2-2cb0-44fb-bfff-af512370311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0ad0dd2-2cb0-44fb-bfff-af5123703117" xsi:nil="true"/>
  </documentManagement>
</p:properties>
</file>

<file path=customXml/itemProps1.xml><?xml version="1.0" encoding="utf-8"?>
<ds:datastoreItem xmlns:ds="http://schemas.openxmlformats.org/officeDocument/2006/customXml" ds:itemID="{EBB637C1-4891-4570-89D9-7F22348B3A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ad0dd2-2cb0-44fb-bfff-af51237031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F948204-387A-436B-B165-D49E2B79FB49}">
  <ds:schemaRefs>
    <ds:schemaRef ds:uri="http://schemas.microsoft.com/sharepoint/v3/contenttype/forms"/>
  </ds:schemaRefs>
</ds:datastoreItem>
</file>

<file path=customXml/itemProps3.xml><?xml version="1.0" encoding="utf-8"?>
<ds:datastoreItem xmlns:ds="http://schemas.openxmlformats.org/officeDocument/2006/customXml" ds:itemID="{874DB16E-8082-47FA-A09B-66E9ED567B9E}">
  <ds:schemaRefs>
    <ds:schemaRef ds:uri="http://schemas.microsoft.com/office/2006/metadata/properties"/>
    <ds:schemaRef ds:uri="http://schemas.microsoft.com/office/infopath/2007/PartnerControls"/>
    <ds:schemaRef ds:uri="80ad0dd2-2cb0-44fb-bfff-af512370311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3674</Words>
  <Characters>24072</Characters>
  <Application>Microsoft Office Word</Application>
  <DocSecurity>0</DocSecurity>
  <Lines>445</Lines>
  <Paragraphs>62</Paragraphs>
  <ScaleCrop>false</ScaleCrop>
  <Company/>
  <LinksUpToDate>false</LinksUpToDate>
  <CharactersWithSpaces>27684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Gaiu (2332587)</dc:creator>
  <cp:keywords/>
  <dc:description/>
  <cp:lastModifiedBy>Alexandru Gaiu (2332587)</cp:lastModifiedBy>
  <cp:revision>2</cp:revision>
  <dcterms:created xsi:type="dcterms:W3CDTF">2026-06-28T15:47:00Z</dcterms:created>
  <dcterms:modified xsi:type="dcterms:W3CDTF">2026-06-28T15:47:00Z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0x01010088A5AEB59E106244B832A4D4041A0D21</vt:lpwstr>
  </property>
</Properties>
</file>