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1C4D7E2" w:rsidP="6ED14DC3" w:rsidRDefault="61C4D7E2" w14:paraId="7988ABA7" w14:textId="1FF3655D">
      <w:pPr>
        <w:pStyle w:val="Normal"/>
        <w:spacing w:after="165" w:line="360" w:lineRule="auto"/>
      </w:pPr>
      <w:r w:rsidR="3A4F4BA0">
        <w:drawing>
          <wp:inline wp14:editId="1AD1CA63" wp14:anchorId="289413FD">
            <wp:extent cx="2210108" cy="743054"/>
            <wp:effectExtent l="0" t="0" r="0" b="0"/>
            <wp:docPr id="1585968274" name="drawing" title="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5968274" name="Picture 1585968274"/>
                    <pic:cNvPicPr/>
                  </pic:nvPicPr>
                  <pic:blipFill>
                    <a:blip xmlns:r="http://schemas.openxmlformats.org/officeDocument/2006/relationships" r:embed="rId1579358505">
                      <a:extLst>
                        <a:ext uri="{28A0092B-C50C-407E-A947-70E740481C1C}">
                          <a14:useLocalDpi xmlns:a14="http://schemas.microsoft.com/office/drawing/2010/main"/>
                        </a:ext>
                      </a:extLst>
                    </a:blip>
                    <a:stretch>
                      <a:fillRect/>
                    </a:stretch>
                  </pic:blipFill>
                  <pic:spPr>
                    <a:xfrm>
                      <a:off x="0" y="0"/>
                      <a:ext cx="2210108" cy="743054"/>
                    </a:xfrm>
                    <a:prstGeom prst="rect">
                      <a:avLst/>
                    </a:prstGeom>
                  </pic:spPr>
                </pic:pic>
              </a:graphicData>
            </a:graphic>
          </wp:inline>
        </w:drawing>
      </w:r>
    </w:p>
    <w:p w:rsidR="61C4D7E2" w:rsidP="0E57E107" w:rsidRDefault="61C4D7E2" w14:paraId="7FC1EBED" w14:textId="4322BA8A">
      <w:pPr>
        <w:spacing w:after="165" w:line="360" w:lineRule="auto"/>
        <w:jc w:val="center"/>
        <w:rPr>
          <w:rFonts w:ascii="Calibri" w:hAnsi="Calibri" w:eastAsia="Calibri" w:cs="Calibri"/>
          <w:noProof w:val="0"/>
          <w:color w:val="000000" w:themeColor="text1" w:themeTint="FF" w:themeShade="FF"/>
          <w:sz w:val="40"/>
          <w:szCs w:val="40"/>
          <w:lang w:val="en-US"/>
        </w:rPr>
      </w:pPr>
      <w:r w:rsidRPr="5EC73FA6" w:rsidR="61C4D7E2">
        <w:rPr>
          <w:rFonts w:ascii="Calibri" w:hAnsi="Calibri" w:eastAsia="Calibri" w:cs="Calibri"/>
          <w:color w:val="000000" w:themeColor="text1" w:themeTint="FF" w:themeShade="FF"/>
          <w:sz w:val="40"/>
          <w:szCs w:val="40"/>
        </w:rPr>
        <w:t>Applied Leadership and Management in the Workplace</w:t>
      </w:r>
      <w:r>
        <w:br/>
      </w:r>
      <w:r w:rsidRPr="5EC73FA6" w:rsidR="61C4D7E2">
        <w:rPr>
          <w:rFonts w:ascii="Calibri" w:hAnsi="Calibri" w:eastAsia="Calibri" w:cs="Calibri"/>
          <w:color w:val="000000" w:themeColor="text1" w:themeTint="FF" w:themeShade="FF"/>
          <w:sz w:val="40"/>
          <w:szCs w:val="40"/>
        </w:rPr>
        <w:t xml:space="preserve">Module Assignment Submission </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446"/>
        <w:gridCol w:w="6079"/>
      </w:tblGrid>
      <w:tr w:rsidR="10E69FA4" w:rsidTr="71162019" w14:paraId="6311D810">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6FE69847" w14:textId="627F35F1">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Student Name:</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E69FA4" w:rsidP="0E57E107" w:rsidRDefault="10E69FA4" w14:paraId="5699E9EE" w14:textId="6B3B7F44">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Scott Morgan</w:t>
            </w:r>
          </w:p>
        </w:tc>
      </w:tr>
      <w:tr w:rsidR="10E69FA4" w:rsidTr="71162019" w14:paraId="548194F9">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17A9FFAE" w14:textId="4464E6E9">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Student Number:</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E69FA4" w:rsidP="0E57E107" w:rsidRDefault="10E69FA4" w14:paraId="07BC0686" w14:textId="1C2A78AD">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2319551</w:t>
            </w:r>
          </w:p>
        </w:tc>
      </w:tr>
      <w:tr w:rsidR="10E69FA4" w:rsidTr="71162019" w14:paraId="697423DB">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4C3AFCD5" w14:textId="78401BC6">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Module No:</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E69FA4" w:rsidP="0E57E107" w:rsidRDefault="10E69FA4" w14:paraId="4DF672E3" w14:textId="324FF2A8">
            <w:pPr>
              <w:spacing w:before="120" w:after="120" w:line="360" w:lineRule="auto"/>
              <w:rPr>
                <w:rFonts w:ascii="Calibri" w:hAnsi="Calibri" w:eastAsia="Calibri" w:cs="Calibri"/>
                <w:sz w:val="32"/>
                <w:szCs w:val="32"/>
                <w:lang w:val="en-GB"/>
              </w:rPr>
            </w:pPr>
            <w:r w:rsidRPr="71162019" w:rsidR="0133F079">
              <w:rPr>
                <w:rFonts w:ascii="Calibri" w:hAnsi="Calibri" w:eastAsia="Calibri" w:cs="Calibri"/>
                <w:sz w:val="32"/>
                <w:szCs w:val="32"/>
              </w:rPr>
              <w:t>BMSK</w:t>
            </w:r>
            <w:r w:rsidRPr="71162019" w:rsidR="16F5923B">
              <w:rPr>
                <w:rFonts w:ascii="Calibri" w:hAnsi="Calibri" w:eastAsia="Calibri" w:cs="Calibri"/>
                <w:sz w:val="32"/>
                <w:szCs w:val="32"/>
              </w:rPr>
              <w:t>60</w:t>
            </w:r>
            <w:r w:rsidRPr="71162019" w:rsidR="17F725B6">
              <w:rPr>
                <w:rFonts w:ascii="Calibri" w:hAnsi="Calibri" w:eastAsia="Calibri" w:cs="Calibri"/>
                <w:sz w:val="32"/>
                <w:szCs w:val="32"/>
              </w:rPr>
              <w:t>1</w:t>
            </w:r>
            <w:r w:rsidRPr="71162019" w:rsidR="6854524D">
              <w:rPr>
                <w:rFonts w:ascii="Calibri" w:hAnsi="Calibri" w:eastAsia="Calibri" w:cs="Calibri"/>
                <w:sz w:val="32"/>
                <w:szCs w:val="32"/>
              </w:rPr>
              <w:t>1</w:t>
            </w:r>
          </w:p>
        </w:tc>
      </w:tr>
      <w:tr w:rsidR="10E69FA4" w:rsidTr="71162019" w14:paraId="32C9E53D">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442F8022" w14:textId="34BB677D">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Module Title:</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68D529C2" w:rsidP="5EF395E7" w:rsidRDefault="68D529C2" w14:paraId="46AEFBA7" w14:textId="2532EAC7">
            <w:pPr>
              <w:spacing w:before="120" w:after="120" w:line="360" w:lineRule="auto"/>
            </w:pPr>
            <w:r w:rsidRPr="71162019" w:rsidR="3FDEB073">
              <w:rPr>
                <w:rFonts w:ascii="Calibri" w:hAnsi="Calibri" w:eastAsia="Calibri" w:cs="Calibri"/>
                <w:sz w:val="32"/>
                <w:szCs w:val="32"/>
              </w:rPr>
              <w:t>Leading and Implementing Workplace Change</w:t>
            </w:r>
          </w:p>
        </w:tc>
      </w:tr>
    </w:tbl>
    <w:p w:rsidR="10E69FA4" w:rsidP="6ED14DC3" w:rsidRDefault="10E69FA4" w14:paraId="1B8D24EF" w14:textId="191D4EFE">
      <w:pPr>
        <w:keepNext w:val="1"/>
        <w:keepLines w:val="1"/>
        <w:bidi w:val="0"/>
        <w:spacing w:before="360" w:after="100"/>
        <w:rPr>
          <w:rFonts w:ascii="Calibri" w:hAnsi="Calibri" w:eastAsia="Calibri" w:cs="Calibri"/>
          <w:noProof w:val="0"/>
          <w:sz w:val="22"/>
          <w:szCs w:val="22"/>
          <w:lang w:val="en-GB"/>
        </w:rPr>
      </w:pPr>
      <w:r w:rsidRPr="6ED14DC3" w:rsidR="61C4D7E2">
        <w:rPr>
          <w:rFonts w:ascii="Calibri" w:hAnsi="Calibri" w:eastAsia="Calibri" w:cs="Calibri"/>
          <w:sz w:val="22"/>
          <w:szCs w:val="22"/>
        </w:rPr>
        <w:t xml:space="preserve"> </w:t>
      </w:r>
      <w:r w:rsidRPr="6ED14DC3" w:rsidR="4CF3E3B3">
        <w:rPr>
          <w:rFonts w:ascii="Calibri" w:hAnsi="Calibri" w:eastAsia="Calibri" w:cs="Calibri"/>
          <w:noProof w:val="0"/>
          <w:sz w:val="22"/>
          <w:szCs w:val="22"/>
          <w:lang w:val="en-GB"/>
        </w:rPr>
        <w:t xml:space="preserve">I confirm that I have not presented any AI generated text as my own work. I confirm that I have copies of my own drafts, </w:t>
      </w:r>
      <w:r w:rsidRPr="6ED14DC3" w:rsidR="4CF3E3B3">
        <w:rPr>
          <w:rFonts w:ascii="Calibri" w:hAnsi="Calibri" w:eastAsia="Calibri" w:cs="Calibri"/>
          <w:noProof w:val="0"/>
          <w:sz w:val="22"/>
          <w:szCs w:val="22"/>
          <w:lang w:val="en-GB"/>
        </w:rPr>
        <w:t>notes</w:t>
      </w:r>
      <w:r w:rsidRPr="6ED14DC3" w:rsidR="4CF3E3B3">
        <w:rPr>
          <w:rFonts w:ascii="Calibri" w:hAnsi="Calibri" w:eastAsia="Calibri" w:cs="Calibri"/>
          <w:noProof w:val="0"/>
          <w:sz w:val="22"/>
          <w:szCs w:val="22"/>
          <w:lang w:val="en-GB"/>
        </w:rPr>
        <w:t xml:space="preserve"> and other resources I have used before and after the use of AI tools, which I may be asked to produce in evidence.</w:t>
      </w:r>
    </w:p>
    <w:p w:rsidR="10E69FA4" w:rsidP="435914AF" w:rsidRDefault="10E69FA4" w14:paraId="27643307" w14:textId="6FAA172B">
      <w:pPr>
        <w:keepNext w:val="1"/>
        <w:keepLines w:val="1"/>
        <w:tabs>
          <w:tab w:val="right" w:leader="none" w:pos="9350"/>
        </w:tabs>
        <w:bidi w:val="0"/>
        <w:spacing w:before="360" w:after="100"/>
        <w:rPr>
          <w:rFonts w:ascii="Calibri" w:hAnsi="Calibri" w:eastAsia="Calibri" w:cs="Calibri"/>
          <w:noProof w:val="0"/>
          <w:sz w:val="22"/>
          <w:szCs w:val="22"/>
          <w:lang w:val="en-US"/>
        </w:rPr>
      </w:pPr>
    </w:p>
    <w:p w:rsidR="61C4D7E2" w:rsidP="47CFD568" w:rsidRDefault="61C4D7E2" w14:paraId="1F15C0C4" w14:textId="78E3A72E">
      <w:pPr>
        <w:pStyle w:val="NoSpacing"/>
        <w:keepNext w:val="1"/>
        <w:keepLines w:val="1"/>
        <w:tabs>
          <w:tab w:val="right" w:leader="none" w:pos="9350"/>
        </w:tabs>
      </w:pPr>
    </w:p>
    <w:p w:rsidR="61C4D7E2" w:rsidP="435914AF" w:rsidRDefault="61C4D7E2" w14:paraId="031BFB55" w14:textId="7FD32E6E">
      <w:pPr>
        <w:keepNext w:val="1"/>
        <w:keepLines w:val="1"/>
        <w:bidi w:val="0"/>
        <w:spacing w:before="360" w:after="80"/>
      </w:pPr>
      <w:r>
        <w:br w:type="page"/>
      </w:r>
    </w:p>
    <w:p w:rsidR="61C4D7E2" w:rsidP="0D68AD2A" w:rsidRDefault="61C4D7E2" w14:paraId="069D6A3A" w14:textId="199CEB9D">
      <w:pPr>
        <w:pStyle w:val="Heading1"/>
        <w:keepNext w:val="1"/>
        <w:keepLines w:val="1"/>
        <w:tabs>
          <w:tab w:val="right" w:leader="none" w:pos="9350"/>
        </w:tabs>
        <w:bidi w:val="0"/>
        <w:spacing w:before="360" w:after="80"/>
        <w:rPr>
          <w:rFonts w:ascii="Calibri" w:hAnsi="Calibri" w:eastAsia="Calibri" w:cs="Calibri"/>
          <w:noProof w:val="0"/>
          <w:color w:val="0F4761" w:themeColor="accent1" w:themeTint="FF" w:themeShade="BF"/>
          <w:sz w:val="32"/>
          <w:szCs w:val="32"/>
          <w:lang w:val="en-US"/>
        </w:rPr>
      </w:pPr>
      <w:bookmarkStart w:name="_Toc1740823607" w:id="1320206339"/>
      <w:r w:rsidRPr="0FB2F569" w:rsidR="0FB2F569">
        <w:rPr>
          <w:rFonts w:ascii="Calibri" w:hAnsi="Calibri" w:eastAsia="Calibri" w:cs="Calibri"/>
          <w:color w:val="0F4761" w:themeColor="accent1" w:themeTint="FF" w:themeShade="BF"/>
          <w:sz w:val="32"/>
          <w:szCs w:val="32"/>
        </w:rPr>
        <w:t>Table of Contents</w:t>
      </w:r>
      <w:bookmarkEnd w:id="1320206339"/>
    </w:p>
    <w:sdt>
      <w:sdtPr>
        <w:id w:val="111859528"/>
        <w:docPartObj>
          <w:docPartGallery w:val="Table of Contents"/>
          <w:docPartUnique/>
        </w:docPartObj>
      </w:sdtPr>
      <w:sdtContent>
        <w:p w:rsidR="596382DE" w:rsidP="0FB2F569" w:rsidRDefault="596382DE" w14:paraId="0550952A" w14:textId="41705F10">
          <w:pPr>
            <w:pStyle w:val="TOC1"/>
            <w:tabs>
              <w:tab w:val="right" w:leader="dot" w:pos="9360"/>
            </w:tabs>
          </w:pPr>
          <w:r>
            <w:fldChar w:fldCharType="begin"/>
          </w:r>
          <w:r>
            <w:instrText xml:space="preserve">TOC \o "1-9" \z \u \h</w:instrText>
          </w:r>
          <w:r>
            <w:fldChar w:fldCharType="separate"/>
          </w:r>
          <w:r>
            <w:fldChar w:fldCharType="begin"/>
          </w:r>
          <w:r>
            <w:instrText xml:space="preserve">HYPERLINK  \l  "_Toc1740823607" </w:instrText>
          </w:r>
          <w:r>
            <w:fldChar w:fldCharType="separate"/>
          </w:r>
          <w:r w:rsidR="0FB2F569">
            <w:rPr/>
            <w:t>Table of Contents</w:t>
          </w:r>
          <w:r>
            <w:tab/>
          </w:r>
          <w:r>
            <w:fldChar w:fldCharType="begin"/>
          </w:r>
          <w:r>
            <w:instrText xml:space="preserve">PAGEREF _Toc1740823607 \h</w:instrText>
          </w:r>
          <w:r>
            <w:fldChar w:fldCharType="separate"/>
          </w:r>
          <w:r w:rsidR="0FB2F569">
            <w:rPr/>
            <w:t>1</w:t>
          </w:r>
          <w:r>
            <w:fldChar w:fldCharType="end"/>
          </w:r>
          <w:r>
            <w:fldChar w:fldCharType="end"/>
          </w:r>
        </w:p>
        <w:p w:rsidR="596382DE" w:rsidP="0FB2F569" w:rsidRDefault="596382DE" w14:paraId="3878390F" w14:textId="5BC1A42D">
          <w:pPr>
            <w:pStyle w:val="TOC2"/>
            <w:tabs>
              <w:tab w:val="right" w:leader="dot" w:pos="9360"/>
            </w:tabs>
          </w:pPr>
          <w:r>
            <w:fldChar w:fldCharType="begin"/>
          </w:r>
          <w:r>
            <w:instrText xml:space="preserve">HYPERLINK  \l  "_Toc1796493439" </w:instrText>
          </w:r>
          <w:r>
            <w:fldChar w:fldCharType="separate"/>
          </w:r>
          <w:r w:rsidR="0FB2F569">
            <w:rPr/>
            <w:t>1.0 Introduction</w:t>
          </w:r>
          <w:r>
            <w:tab/>
          </w:r>
          <w:r>
            <w:fldChar w:fldCharType="begin"/>
          </w:r>
          <w:r>
            <w:instrText xml:space="preserve">PAGEREF _Toc1796493439 \h</w:instrText>
          </w:r>
          <w:r>
            <w:fldChar w:fldCharType="separate"/>
          </w:r>
          <w:r w:rsidR="0FB2F569">
            <w:rPr/>
            <w:t>2</w:t>
          </w:r>
          <w:r>
            <w:fldChar w:fldCharType="end"/>
          </w:r>
          <w:r>
            <w:fldChar w:fldCharType="end"/>
          </w:r>
        </w:p>
        <w:p w:rsidR="596382DE" w:rsidP="0FB2F569" w:rsidRDefault="596382DE" w14:paraId="36D4CBB0" w14:textId="44469A75">
          <w:pPr>
            <w:pStyle w:val="TOC2"/>
            <w:tabs>
              <w:tab w:val="right" w:leader="dot" w:pos="9360"/>
            </w:tabs>
          </w:pPr>
          <w:r>
            <w:fldChar w:fldCharType="begin"/>
          </w:r>
          <w:r>
            <w:instrText xml:space="preserve">HYPERLINK  \l  "_Toc1882756222" </w:instrText>
          </w:r>
          <w:r>
            <w:fldChar w:fldCharType="separate"/>
          </w:r>
          <w:r w:rsidR="0FB2F569">
            <w:rPr/>
            <w:t>2.0 Strategic Environmental Analysis</w:t>
          </w:r>
          <w:r>
            <w:tab/>
          </w:r>
          <w:r>
            <w:fldChar w:fldCharType="begin"/>
          </w:r>
          <w:r>
            <w:instrText xml:space="preserve">PAGEREF _Toc1882756222 \h</w:instrText>
          </w:r>
          <w:r>
            <w:fldChar w:fldCharType="separate"/>
          </w:r>
          <w:r w:rsidR="0FB2F569">
            <w:rPr/>
            <w:t>3</w:t>
          </w:r>
          <w:r>
            <w:fldChar w:fldCharType="end"/>
          </w:r>
          <w:r>
            <w:fldChar w:fldCharType="end"/>
          </w:r>
        </w:p>
        <w:p w:rsidR="596382DE" w:rsidP="0FB2F569" w:rsidRDefault="596382DE" w14:paraId="2BEA08C4" w14:textId="51D7492C">
          <w:pPr>
            <w:pStyle w:val="TOC3"/>
            <w:tabs>
              <w:tab w:val="right" w:leader="dot" w:pos="9360"/>
            </w:tabs>
          </w:pPr>
          <w:r>
            <w:fldChar w:fldCharType="begin"/>
          </w:r>
          <w:r>
            <w:instrText xml:space="preserve">HYPERLINK  \l  "_Toc40549863" </w:instrText>
          </w:r>
          <w:r>
            <w:fldChar w:fldCharType="separate"/>
          </w:r>
          <w:r w:rsidR="0FB2F569">
            <w:rPr/>
            <w:t>2.1 PESTEL and Legal Frameworks</w:t>
          </w:r>
          <w:r>
            <w:tab/>
          </w:r>
          <w:r>
            <w:fldChar w:fldCharType="begin"/>
          </w:r>
          <w:r>
            <w:instrText xml:space="preserve">PAGEREF _Toc40549863 \h</w:instrText>
          </w:r>
          <w:r>
            <w:fldChar w:fldCharType="separate"/>
          </w:r>
          <w:r w:rsidR="0FB2F569">
            <w:rPr/>
            <w:t>4</w:t>
          </w:r>
          <w:r>
            <w:fldChar w:fldCharType="end"/>
          </w:r>
          <w:r>
            <w:fldChar w:fldCharType="end"/>
          </w:r>
        </w:p>
        <w:p w:rsidR="596382DE" w:rsidP="0FB2F569" w:rsidRDefault="596382DE" w14:paraId="5D108D02" w14:textId="1B9226BE">
          <w:pPr>
            <w:pStyle w:val="TOC3"/>
            <w:tabs>
              <w:tab w:val="right" w:leader="dot" w:pos="9360"/>
            </w:tabs>
          </w:pPr>
          <w:r>
            <w:fldChar w:fldCharType="begin"/>
          </w:r>
          <w:r>
            <w:instrText xml:space="preserve">HYPERLINK  \l  "_Toc1906910842" </w:instrText>
          </w:r>
          <w:r>
            <w:fldChar w:fldCharType="separate"/>
          </w:r>
          <w:r w:rsidR="0FB2F569">
            <w:rPr/>
            <w:t>2.2 SWOT Analysis</w:t>
          </w:r>
          <w:r>
            <w:tab/>
          </w:r>
          <w:r>
            <w:fldChar w:fldCharType="begin"/>
          </w:r>
          <w:r>
            <w:instrText xml:space="preserve">PAGEREF _Toc1906910842 \h</w:instrText>
          </w:r>
          <w:r>
            <w:fldChar w:fldCharType="separate"/>
          </w:r>
          <w:r w:rsidR="0FB2F569">
            <w:rPr/>
            <w:t>6</w:t>
          </w:r>
          <w:r>
            <w:fldChar w:fldCharType="end"/>
          </w:r>
          <w:r>
            <w:fldChar w:fldCharType="end"/>
          </w:r>
        </w:p>
        <w:p w:rsidR="596382DE" w:rsidP="0FB2F569" w:rsidRDefault="596382DE" w14:paraId="28281E9C" w14:textId="273BE297">
          <w:pPr>
            <w:pStyle w:val="TOC3"/>
            <w:tabs>
              <w:tab w:val="right" w:leader="dot" w:pos="9360"/>
            </w:tabs>
          </w:pPr>
          <w:r>
            <w:fldChar w:fldCharType="begin"/>
          </w:r>
          <w:r>
            <w:instrText xml:space="preserve">HYPERLINK  \l  "_Toc1393622532" </w:instrText>
          </w:r>
          <w:r>
            <w:fldChar w:fldCharType="separate"/>
          </w:r>
          <w:r w:rsidR="0FB2F569">
            <w:rPr/>
            <w:t>2.3 Scale, Pace and Dynamics of Organisational Change</w:t>
          </w:r>
          <w:r>
            <w:tab/>
          </w:r>
          <w:r>
            <w:fldChar w:fldCharType="begin"/>
          </w:r>
          <w:r>
            <w:instrText xml:space="preserve">PAGEREF _Toc1393622532 \h</w:instrText>
          </w:r>
          <w:r>
            <w:fldChar w:fldCharType="separate"/>
          </w:r>
          <w:r w:rsidR="0FB2F569">
            <w:rPr/>
            <w:t>7</w:t>
          </w:r>
          <w:r>
            <w:fldChar w:fldCharType="end"/>
          </w:r>
          <w:r>
            <w:fldChar w:fldCharType="end"/>
          </w:r>
        </w:p>
        <w:p w:rsidR="596382DE" w:rsidP="0FB2F569" w:rsidRDefault="596382DE" w14:paraId="5A63B8B1" w14:textId="7FCDE63E">
          <w:pPr>
            <w:pStyle w:val="TOC2"/>
            <w:tabs>
              <w:tab w:val="right" w:leader="dot" w:pos="9360"/>
            </w:tabs>
          </w:pPr>
          <w:r>
            <w:fldChar w:fldCharType="begin"/>
          </w:r>
          <w:r>
            <w:instrText xml:space="preserve">HYPERLINK  \l  "_Toc572973718" </w:instrText>
          </w:r>
          <w:r>
            <w:fldChar w:fldCharType="separate"/>
          </w:r>
          <w:r w:rsidR="0FB2F569">
            <w:rPr/>
            <w:t>3.0 Workplace Culture: Comparative Analysis Using the Cultural Iceberg Model</w:t>
          </w:r>
          <w:r>
            <w:tab/>
          </w:r>
          <w:r>
            <w:fldChar w:fldCharType="begin"/>
          </w:r>
          <w:r>
            <w:instrText xml:space="preserve">PAGEREF _Toc572973718 \h</w:instrText>
          </w:r>
          <w:r>
            <w:fldChar w:fldCharType="separate"/>
          </w:r>
          <w:r w:rsidR="0FB2F569">
            <w:rPr/>
            <w:t>8</w:t>
          </w:r>
          <w:r>
            <w:fldChar w:fldCharType="end"/>
          </w:r>
          <w:r>
            <w:fldChar w:fldCharType="end"/>
          </w:r>
        </w:p>
        <w:p w:rsidR="576B1B72" w:rsidP="0FB2F569" w:rsidRDefault="576B1B72" w14:paraId="49671528" w14:textId="4AD04B49">
          <w:pPr>
            <w:pStyle w:val="TOC3"/>
            <w:tabs>
              <w:tab w:val="right" w:leader="dot" w:pos="9360"/>
            </w:tabs>
          </w:pPr>
          <w:r>
            <w:fldChar w:fldCharType="begin"/>
          </w:r>
          <w:r>
            <w:instrText xml:space="preserve">HYPERLINK  \l  "_Toc448296543" </w:instrText>
          </w:r>
          <w:r>
            <w:fldChar w:fldCharType="separate"/>
          </w:r>
          <w:r w:rsidR="0FB2F569">
            <w:rPr/>
            <w:t>3.1 Above the Waterline Culture</w:t>
          </w:r>
          <w:r>
            <w:tab/>
          </w:r>
          <w:r>
            <w:fldChar w:fldCharType="begin"/>
          </w:r>
          <w:r>
            <w:instrText xml:space="preserve">PAGEREF _Toc448296543 \h</w:instrText>
          </w:r>
          <w:r>
            <w:fldChar w:fldCharType="separate"/>
          </w:r>
          <w:r w:rsidR="0FB2F569">
            <w:rPr/>
            <w:t>9</w:t>
          </w:r>
          <w:r>
            <w:fldChar w:fldCharType="end"/>
          </w:r>
          <w:r>
            <w:fldChar w:fldCharType="end"/>
          </w:r>
        </w:p>
        <w:p w:rsidR="576B1B72" w:rsidP="0FB2F569" w:rsidRDefault="576B1B72" w14:paraId="4ABCE217" w14:textId="47E4C42C">
          <w:pPr>
            <w:pStyle w:val="TOC3"/>
            <w:tabs>
              <w:tab w:val="right" w:leader="dot" w:pos="9360"/>
            </w:tabs>
          </w:pPr>
          <w:r>
            <w:fldChar w:fldCharType="begin"/>
          </w:r>
          <w:r>
            <w:instrText xml:space="preserve">HYPERLINK  \l  "_Toc687759746" </w:instrText>
          </w:r>
          <w:r>
            <w:fldChar w:fldCharType="separate"/>
          </w:r>
          <w:r w:rsidR="0FB2F569">
            <w:rPr/>
            <w:t>3.2 Below the Waterline Culture</w:t>
          </w:r>
          <w:r>
            <w:tab/>
          </w:r>
          <w:r>
            <w:fldChar w:fldCharType="begin"/>
          </w:r>
          <w:r>
            <w:instrText xml:space="preserve">PAGEREF _Toc687759746 \h</w:instrText>
          </w:r>
          <w:r>
            <w:fldChar w:fldCharType="separate"/>
          </w:r>
          <w:r w:rsidR="0FB2F569">
            <w:rPr/>
            <w:t>10</w:t>
          </w:r>
          <w:r>
            <w:fldChar w:fldCharType="end"/>
          </w:r>
          <w:r>
            <w:fldChar w:fldCharType="end"/>
          </w:r>
        </w:p>
        <w:p w:rsidR="576B1B72" w:rsidP="0FB2F569" w:rsidRDefault="576B1B72" w14:paraId="3B800ED9" w14:textId="17CB1355">
          <w:pPr>
            <w:pStyle w:val="TOC3"/>
            <w:tabs>
              <w:tab w:val="right" w:leader="dot" w:pos="9360"/>
            </w:tabs>
          </w:pPr>
          <w:r>
            <w:fldChar w:fldCharType="begin"/>
          </w:r>
          <w:r>
            <w:instrText xml:space="preserve">HYPERLINK  \l  "_Toc29954278" </w:instrText>
          </w:r>
          <w:r>
            <w:fldChar w:fldCharType="separate"/>
          </w:r>
          <w:r w:rsidR="0FB2F569">
            <w:rPr/>
            <w:t>3.3 Synthesis and Leadership Models</w:t>
          </w:r>
          <w:r>
            <w:tab/>
          </w:r>
          <w:r>
            <w:fldChar w:fldCharType="begin"/>
          </w:r>
          <w:r>
            <w:instrText xml:space="preserve">PAGEREF _Toc29954278 \h</w:instrText>
          </w:r>
          <w:r>
            <w:fldChar w:fldCharType="separate"/>
          </w:r>
          <w:r w:rsidR="0FB2F569">
            <w:rPr/>
            <w:t>11</w:t>
          </w:r>
          <w:r>
            <w:fldChar w:fldCharType="end"/>
          </w:r>
          <w:r>
            <w:fldChar w:fldCharType="end"/>
          </w:r>
        </w:p>
        <w:p w:rsidR="576B1B72" w:rsidP="0FB2F569" w:rsidRDefault="576B1B72" w14:paraId="238320B3" w14:textId="75BFA8B9">
          <w:pPr>
            <w:pStyle w:val="TOC2"/>
            <w:tabs>
              <w:tab w:val="right" w:leader="dot" w:pos="9360"/>
            </w:tabs>
          </w:pPr>
          <w:r>
            <w:fldChar w:fldCharType="begin"/>
          </w:r>
          <w:r>
            <w:instrText xml:space="preserve">HYPERLINK  \l  "_Toc1635044255" </w:instrText>
          </w:r>
          <w:r>
            <w:fldChar w:fldCharType="separate"/>
          </w:r>
          <w:r w:rsidR="0FB2F569">
            <w:rPr/>
            <w:t>4.0 Operational Leadership, Safeguarding and Human Transitions</w:t>
          </w:r>
          <w:r>
            <w:tab/>
          </w:r>
          <w:r>
            <w:fldChar w:fldCharType="begin"/>
          </w:r>
          <w:r>
            <w:instrText xml:space="preserve">PAGEREF _Toc1635044255 \h</w:instrText>
          </w:r>
          <w:r>
            <w:fldChar w:fldCharType="separate"/>
          </w:r>
          <w:r w:rsidR="0FB2F569">
            <w:rPr/>
            <w:t>13</w:t>
          </w:r>
          <w:r>
            <w:fldChar w:fldCharType="end"/>
          </w:r>
          <w:r>
            <w:fldChar w:fldCharType="end"/>
          </w:r>
        </w:p>
        <w:p w:rsidR="576B1B72" w:rsidP="0FB2F569" w:rsidRDefault="576B1B72" w14:paraId="15860761" w14:textId="37557771">
          <w:pPr>
            <w:pStyle w:val="TOC3"/>
            <w:tabs>
              <w:tab w:val="right" w:leader="dot" w:pos="9360"/>
            </w:tabs>
          </w:pPr>
          <w:r>
            <w:fldChar w:fldCharType="begin"/>
          </w:r>
          <w:r>
            <w:instrText xml:space="preserve">HYPERLINK  \l  "_Toc1504475039" </w:instrText>
          </w:r>
          <w:r>
            <w:fldChar w:fldCharType="separate"/>
          </w:r>
          <w:r w:rsidR="0FB2F569">
            <w:rPr/>
            <w:t>4.1 Leading Frontline Teams and Managing Safeguarding Escalations</w:t>
          </w:r>
          <w:r>
            <w:tab/>
          </w:r>
          <w:r>
            <w:fldChar w:fldCharType="begin"/>
          </w:r>
          <w:r>
            <w:instrText xml:space="preserve">PAGEREF _Toc1504475039 \h</w:instrText>
          </w:r>
          <w:r>
            <w:fldChar w:fldCharType="separate"/>
          </w:r>
          <w:r w:rsidR="0FB2F569">
            <w:rPr/>
            <w:t>14</w:t>
          </w:r>
          <w:r>
            <w:fldChar w:fldCharType="end"/>
          </w:r>
          <w:r>
            <w:fldChar w:fldCharType="end"/>
          </w:r>
        </w:p>
        <w:p w:rsidR="576B1B72" w:rsidP="0FB2F569" w:rsidRDefault="576B1B72" w14:paraId="40625971" w14:textId="70A181CC">
          <w:pPr>
            <w:pStyle w:val="TOC3"/>
            <w:tabs>
              <w:tab w:val="right" w:leader="dot" w:pos="9360"/>
            </w:tabs>
          </w:pPr>
          <w:r>
            <w:fldChar w:fldCharType="begin"/>
          </w:r>
          <w:r>
            <w:instrText xml:space="preserve">HYPERLINK  \l  "_Toc660108830" </w:instrText>
          </w:r>
          <w:r>
            <w:fldChar w:fldCharType="separate"/>
          </w:r>
          <w:r w:rsidR="0FB2F569">
            <w:rPr/>
            <w:t>4.2 Managing Human Transitions and Organisational Change</w:t>
          </w:r>
          <w:r>
            <w:tab/>
          </w:r>
          <w:r>
            <w:fldChar w:fldCharType="begin"/>
          </w:r>
          <w:r>
            <w:instrText xml:space="preserve">PAGEREF _Toc660108830 \h</w:instrText>
          </w:r>
          <w:r>
            <w:fldChar w:fldCharType="separate"/>
          </w:r>
          <w:r w:rsidR="0FB2F569">
            <w:rPr/>
            <w:t>15</w:t>
          </w:r>
          <w:r>
            <w:fldChar w:fldCharType="end"/>
          </w:r>
          <w:r>
            <w:fldChar w:fldCharType="end"/>
          </w:r>
        </w:p>
        <w:p w:rsidR="576B1B72" w:rsidP="0FB2F569" w:rsidRDefault="576B1B72" w14:paraId="686ED145" w14:textId="475EF24F">
          <w:pPr>
            <w:pStyle w:val="TOC2"/>
            <w:tabs>
              <w:tab w:val="right" w:leader="dot" w:pos="9360"/>
            </w:tabs>
          </w:pPr>
          <w:r>
            <w:fldChar w:fldCharType="begin"/>
          </w:r>
          <w:r>
            <w:instrText xml:space="preserve">HYPERLINK  \l  "_Toc637768204" </w:instrText>
          </w:r>
          <w:r>
            <w:fldChar w:fldCharType="separate"/>
          </w:r>
          <w:r w:rsidR="0FB2F569">
            <w:rPr/>
            <w:t>5.0 Reflective Practice and Continuous Professional Development</w:t>
          </w:r>
          <w:r>
            <w:tab/>
          </w:r>
          <w:r>
            <w:fldChar w:fldCharType="begin"/>
          </w:r>
          <w:r>
            <w:instrText xml:space="preserve">PAGEREF _Toc637768204 \h</w:instrText>
          </w:r>
          <w:r>
            <w:fldChar w:fldCharType="separate"/>
          </w:r>
          <w:r w:rsidR="0FB2F569">
            <w:rPr/>
            <w:t>16</w:t>
          </w:r>
          <w:r>
            <w:fldChar w:fldCharType="end"/>
          </w:r>
          <w:r>
            <w:fldChar w:fldCharType="end"/>
          </w:r>
        </w:p>
        <w:p w:rsidR="576B1B72" w:rsidP="0FB2F569" w:rsidRDefault="576B1B72" w14:paraId="78586095" w14:textId="27BBF73C">
          <w:pPr>
            <w:pStyle w:val="TOC3"/>
            <w:tabs>
              <w:tab w:val="right" w:leader="dot" w:pos="9360"/>
            </w:tabs>
          </w:pPr>
          <w:r>
            <w:fldChar w:fldCharType="begin"/>
          </w:r>
          <w:r>
            <w:instrText xml:space="preserve">HYPERLINK  \l  "_Toc1412463078" </w:instrText>
          </w:r>
          <w:r>
            <w:fldChar w:fldCharType="separate"/>
          </w:r>
          <w:r w:rsidR="0FB2F569">
            <w:rPr/>
            <w:t>5.1 Reflective Error Management in Action</w:t>
          </w:r>
          <w:r>
            <w:tab/>
          </w:r>
          <w:r>
            <w:fldChar w:fldCharType="begin"/>
          </w:r>
          <w:r>
            <w:instrText xml:space="preserve">PAGEREF _Toc1412463078 \h</w:instrText>
          </w:r>
          <w:r>
            <w:fldChar w:fldCharType="separate"/>
          </w:r>
          <w:r w:rsidR="0FB2F569">
            <w:rPr/>
            <w:t>17</w:t>
          </w:r>
          <w:r>
            <w:fldChar w:fldCharType="end"/>
          </w:r>
          <w:r>
            <w:fldChar w:fldCharType="end"/>
          </w:r>
        </w:p>
        <w:p w:rsidR="576B1B72" w:rsidP="0FB2F569" w:rsidRDefault="576B1B72" w14:paraId="43DBD17B" w14:textId="12D64AC6">
          <w:pPr>
            <w:pStyle w:val="TOC3"/>
            <w:tabs>
              <w:tab w:val="right" w:leader="dot" w:pos="9360"/>
            </w:tabs>
          </w:pPr>
          <w:r>
            <w:fldChar w:fldCharType="begin"/>
          </w:r>
          <w:r>
            <w:instrText xml:space="preserve">HYPERLINK  \l  "_Toc1666228643" </w:instrText>
          </w:r>
          <w:r>
            <w:fldChar w:fldCharType="separate"/>
          </w:r>
          <w:r w:rsidR="0FB2F569">
            <w:rPr/>
            <w:t>5.2 Professional Development and Leadership Evolution</w:t>
          </w:r>
          <w:r>
            <w:tab/>
          </w:r>
          <w:r>
            <w:fldChar w:fldCharType="begin"/>
          </w:r>
          <w:r>
            <w:instrText xml:space="preserve">PAGEREF _Toc1666228643 \h</w:instrText>
          </w:r>
          <w:r>
            <w:fldChar w:fldCharType="separate"/>
          </w:r>
          <w:r w:rsidR="0FB2F569">
            <w:rPr/>
            <w:t>18</w:t>
          </w:r>
          <w:r>
            <w:fldChar w:fldCharType="end"/>
          </w:r>
          <w:r>
            <w:fldChar w:fldCharType="end"/>
          </w:r>
        </w:p>
        <w:p w:rsidR="61C4D7E2" w:rsidP="0FB2F569" w:rsidRDefault="61C4D7E2" w14:paraId="1D0720ED" w14:textId="5977B181">
          <w:pPr>
            <w:pStyle w:val="TOC2"/>
            <w:tabs>
              <w:tab w:val="right" w:leader="dot" w:pos="9360"/>
            </w:tabs>
          </w:pPr>
          <w:r>
            <w:fldChar w:fldCharType="begin"/>
          </w:r>
          <w:r>
            <w:instrText xml:space="preserve">HYPERLINK  \l  "_Toc1527955343" </w:instrText>
          </w:r>
          <w:r>
            <w:fldChar w:fldCharType="separate"/>
          </w:r>
          <w:r w:rsidR="0FB2F569">
            <w:rPr/>
            <w:t>6.0 Conclusion</w:t>
          </w:r>
          <w:r>
            <w:tab/>
          </w:r>
          <w:r>
            <w:fldChar w:fldCharType="begin"/>
          </w:r>
          <w:r>
            <w:instrText xml:space="preserve">PAGEREF _Toc1527955343 \h</w:instrText>
          </w:r>
          <w:r>
            <w:fldChar w:fldCharType="separate"/>
          </w:r>
          <w:r w:rsidR="0FB2F569">
            <w:rPr/>
            <w:t>19</w:t>
          </w:r>
          <w:r>
            <w:fldChar w:fldCharType="end"/>
          </w:r>
          <w:r>
            <w:fldChar w:fldCharType="end"/>
          </w:r>
        </w:p>
        <w:p w:rsidR="6ED14DC3" w:rsidP="0FB2F569" w:rsidRDefault="6ED14DC3" w14:paraId="004E81D6" w14:textId="1AC3F9FD">
          <w:pPr>
            <w:pStyle w:val="TOC2"/>
            <w:tabs>
              <w:tab w:val="right" w:leader="dot" w:pos="9360"/>
            </w:tabs>
          </w:pPr>
          <w:r>
            <w:fldChar w:fldCharType="begin"/>
          </w:r>
          <w:r>
            <w:instrText xml:space="preserve">HYPERLINK  \l  "_Toc1055081766" </w:instrText>
          </w:r>
          <w:r>
            <w:fldChar w:fldCharType="separate"/>
          </w:r>
          <w:r w:rsidR="0FB2F569">
            <w:rPr/>
            <w:t>7.0 Recommendations</w:t>
          </w:r>
          <w:r>
            <w:tab/>
          </w:r>
          <w:r>
            <w:fldChar w:fldCharType="begin"/>
          </w:r>
          <w:r>
            <w:instrText xml:space="preserve">PAGEREF _Toc1055081766 \h</w:instrText>
          </w:r>
          <w:r>
            <w:fldChar w:fldCharType="separate"/>
          </w:r>
          <w:r w:rsidR="0FB2F569">
            <w:rPr/>
            <w:t>20</w:t>
          </w:r>
          <w:r>
            <w:fldChar w:fldCharType="end"/>
          </w:r>
          <w:r>
            <w:fldChar w:fldCharType="end"/>
          </w:r>
        </w:p>
        <w:p w:rsidR="6ED14DC3" w:rsidP="0FB2F569" w:rsidRDefault="6ED14DC3" w14:paraId="0AC3B80E" w14:textId="3C827732">
          <w:pPr>
            <w:pStyle w:val="TOC2"/>
            <w:tabs>
              <w:tab w:val="right" w:leader="dot" w:pos="9360"/>
            </w:tabs>
          </w:pPr>
          <w:r>
            <w:fldChar w:fldCharType="begin"/>
          </w:r>
          <w:r>
            <w:instrText xml:space="preserve">HYPERLINK  \l  "_Toc966778107" </w:instrText>
          </w:r>
          <w:r>
            <w:fldChar w:fldCharType="separate"/>
          </w:r>
          <w:r w:rsidR="0FB2F569">
            <w:rPr/>
            <w:t>References</w:t>
          </w:r>
          <w:r>
            <w:tab/>
          </w:r>
          <w:r>
            <w:fldChar w:fldCharType="begin"/>
          </w:r>
          <w:r>
            <w:instrText xml:space="preserve">PAGEREF _Toc966778107 \h</w:instrText>
          </w:r>
          <w:r>
            <w:fldChar w:fldCharType="separate"/>
          </w:r>
          <w:r w:rsidR="0FB2F569">
            <w:rPr/>
            <w:t>21</w:t>
          </w:r>
          <w:r>
            <w:fldChar w:fldCharType="end"/>
          </w:r>
          <w:r>
            <w:fldChar w:fldCharType="end"/>
          </w:r>
        </w:p>
        <w:p w:rsidR="6ED14DC3" w:rsidP="0FB2F569" w:rsidRDefault="6ED14DC3" w14:paraId="6D436FAA" w14:textId="735155B0">
          <w:pPr>
            <w:pStyle w:val="TOC2"/>
            <w:tabs>
              <w:tab w:val="right" w:leader="dot" w:pos="9360"/>
            </w:tabs>
          </w:pPr>
          <w:r>
            <w:fldChar w:fldCharType="begin"/>
          </w:r>
          <w:r>
            <w:instrText xml:space="preserve">HYPERLINK  \l  "_Toc147933306" </w:instrText>
          </w:r>
          <w:r>
            <w:fldChar w:fldCharType="separate"/>
          </w:r>
          <w:r w:rsidR="0FB2F569">
            <w:rPr/>
            <w:t>Appendix</w:t>
          </w:r>
          <w:r>
            <w:tab/>
          </w:r>
          <w:r>
            <w:fldChar w:fldCharType="begin"/>
          </w:r>
          <w:r>
            <w:instrText xml:space="preserve">PAGEREF _Toc147933306 \h</w:instrText>
          </w:r>
          <w:r>
            <w:fldChar w:fldCharType="separate"/>
          </w:r>
          <w:r w:rsidR="0FB2F569">
            <w:rPr/>
            <w:t>27</w:t>
          </w:r>
          <w:r>
            <w:fldChar w:fldCharType="end"/>
          </w:r>
          <w:r>
            <w:fldChar w:fldCharType="end"/>
          </w:r>
        </w:p>
        <w:p w:rsidR="4754B81A" w:rsidP="0FB2F569" w:rsidRDefault="4754B81A" w14:paraId="47DEC5F3" w14:textId="21034BE0">
          <w:pPr>
            <w:pStyle w:val="TOC3"/>
            <w:tabs>
              <w:tab w:val="right" w:leader="dot" w:pos="9360"/>
            </w:tabs>
          </w:pPr>
          <w:r>
            <w:fldChar w:fldCharType="begin"/>
          </w:r>
          <w:r>
            <w:instrText xml:space="preserve">HYPERLINK  \l  "_Toc30088692" </w:instrText>
          </w:r>
          <w:r>
            <w:fldChar w:fldCharType="separate"/>
          </w:r>
          <w:r w:rsidR="0FB2F569">
            <w:rPr/>
            <w:t>A PESTEL Matrix (CTC vs Swanton)</w:t>
          </w:r>
          <w:r>
            <w:tab/>
          </w:r>
          <w:r>
            <w:fldChar w:fldCharType="begin"/>
          </w:r>
          <w:r>
            <w:instrText xml:space="preserve">PAGEREF _Toc30088692 \h</w:instrText>
          </w:r>
          <w:r>
            <w:fldChar w:fldCharType="separate"/>
          </w:r>
          <w:r w:rsidR="0FB2F569">
            <w:rPr/>
            <w:t>28</w:t>
          </w:r>
          <w:r>
            <w:fldChar w:fldCharType="end"/>
          </w:r>
          <w:r>
            <w:fldChar w:fldCharType="end"/>
          </w:r>
        </w:p>
        <w:p w:rsidR="4754B81A" w:rsidP="0FB2F569" w:rsidRDefault="4754B81A" w14:paraId="185CF4A9" w14:textId="7670B8F5">
          <w:pPr>
            <w:pStyle w:val="TOC3"/>
            <w:tabs>
              <w:tab w:val="right" w:leader="dot" w:pos="9360"/>
            </w:tabs>
          </w:pPr>
          <w:r>
            <w:fldChar w:fldCharType="begin"/>
          </w:r>
          <w:r>
            <w:instrText xml:space="preserve">HYPERLINK  \l  "_Toc1521153614" </w:instrText>
          </w:r>
          <w:r>
            <w:fldChar w:fldCharType="separate"/>
          </w:r>
          <w:r w:rsidR="0FB2F569">
            <w:rPr/>
            <w:t>B SWOT Matrix (Career Transition)</w:t>
          </w:r>
          <w:r>
            <w:tab/>
          </w:r>
          <w:r>
            <w:fldChar w:fldCharType="begin"/>
          </w:r>
          <w:r>
            <w:instrText xml:space="preserve">PAGEREF _Toc1521153614 \h</w:instrText>
          </w:r>
          <w:r>
            <w:fldChar w:fldCharType="separate"/>
          </w:r>
          <w:r w:rsidR="0FB2F569">
            <w:rPr/>
            <w:t>29</w:t>
          </w:r>
          <w:r>
            <w:fldChar w:fldCharType="end"/>
          </w:r>
          <w:r>
            <w:fldChar w:fldCharType="end"/>
          </w:r>
        </w:p>
        <w:p w:rsidR="47CFD568" w:rsidP="5EC73FA6" w:rsidRDefault="47CFD568" w14:paraId="6B22E0F5" w14:textId="69174EBC">
          <w:pPr>
            <w:pStyle w:val="TOC3"/>
            <w:tabs>
              <w:tab w:val="right" w:leader="dot" w:pos="9360"/>
            </w:tabs>
            <w:bidi w:val="0"/>
          </w:pPr>
          <w:r>
            <w:fldChar w:fldCharType="end"/>
          </w:r>
        </w:p>
      </w:sdtContent>
    </w:sdt>
    <w:p w:rsidR="61C4D7E2" w:rsidP="596382DE" w:rsidRDefault="61C4D7E2" w14:paraId="5A7844E1" w14:textId="02DA504E">
      <w:pPr>
        <w:bidi w:val="0"/>
        <w:spacing w:after="100"/>
      </w:pPr>
      <w:r>
        <w:br w:type="page"/>
      </w:r>
    </w:p>
    <w:p w:rsidR="61C4D7E2" w:rsidP="5EC73FA6" w:rsidRDefault="61C4D7E2" w14:paraId="5C9BDF77" w14:textId="23FED7A3">
      <w:pPr>
        <w:pStyle w:val="Heading2"/>
        <w:tabs>
          <w:tab w:val="right" w:leader="dot" w:pos="9360"/>
        </w:tabs>
        <w:bidi w:val="0"/>
        <w:ind w:left="0"/>
        <w:rPr>
          <w:rFonts w:ascii="Calibri" w:hAnsi="Calibri" w:eastAsia="Calibri" w:cs="Calibri"/>
          <w:noProof w:val="0"/>
          <w:lang w:val="en-GB"/>
        </w:rPr>
      </w:pPr>
      <w:bookmarkStart w:name="_Toc1796493439" w:id="458548293"/>
      <w:r w:rsidRPr="0FB2F569" w:rsidR="0FB2F569">
        <w:rPr>
          <w:rFonts w:ascii="Calibri" w:hAnsi="Calibri" w:eastAsia="Calibri" w:cs="Calibri"/>
          <w:noProof w:val="0"/>
          <w:lang w:val="en-GB"/>
        </w:rPr>
        <w:t xml:space="preserve">1.0 </w:t>
      </w:r>
      <w:r w:rsidRPr="0FB2F569" w:rsidR="0FB2F569">
        <w:rPr>
          <w:rFonts w:ascii="Calibri" w:hAnsi="Calibri" w:eastAsia="Calibri" w:cs="Calibri"/>
          <w:noProof w:val="0"/>
          <w:lang w:val="en-GB"/>
        </w:rPr>
        <w:t>Introduction</w:t>
      </w:r>
      <w:bookmarkEnd w:id="458548293"/>
    </w:p>
    <w:p w:rsidR="0FB2F569" w:rsidP="0FB2F569" w:rsidRDefault="0FB2F569" w14:paraId="4048A3E2" w14:textId="1CAD9009">
      <w:pPr>
        <w:pStyle w:val="Normal"/>
        <w:tabs>
          <w:tab w:val="right" w:leader="dot" w:pos="9360"/>
        </w:tabs>
        <w:bidi w:val="0"/>
        <w:spacing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 xml:space="preserve">This report evaluates the cross-sector transition from a hospitality Training Officer (TO) at Cambrian Training Company (CTC) to a frontline Support Worker (SW) at Swanton Care. Moving from the rigid, target-driven and highly micromanaged environment of Further Education apprenticeship training into adult social care requires adapting to a flat organisational structure centred on physical and psychological safety, open-door </w:t>
      </w:r>
      <w:r w:rsidRPr="0FB2F569" w:rsidR="0FB2F569">
        <w:rPr>
          <w:rFonts w:ascii="Calibri" w:hAnsi="Calibri" w:eastAsia="Calibri" w:cs="Calibri"/>
          <w:noProof w:val="0"/>
          <w:color w:val="000000" w:themeColor="text1" w:themeTint="FF" w:themeShade="FF"/>
          <w:sz w:val="24"/>
          <w:szCs w:val="24"/>
          <w:lang w:val="en-GB"/>
        </w:rPr>
        <w:t>leadership</w:t>
      </w:r>
      <w:r w:rsidRPr="0FB2F569" w:rsidR="0FB2F569">
        <w:rPr>
          <w:rFonts w:ascii="Calibri" w:hAnsi="Calibri" w:eastAsia="Calibri" w:cs="Calibri"/>
          <w:noProof w:val="0"/>
          <w:color w:val="000000" w:themeColor="text1" w:themeTint="FF" w:themeShade="FF"/>
          <w:sz w:val="24"/>
          <w:szCs w:val="24"/>
          <w:lang w:val="en-GB"/>
        </w:rPr>
        <w:t xml:space="preserve"> and reflective error management. By replacing administrative software platforms like YETI, </w:t>
      </w:r>
      <w:r w:rsidRPr="0FB2F569" w:rsidR="0FB2F569">
        <w:rPr>
          <w:rFonts w:ascii="Calibri" w:hAnsi="Calibri" w:eastAsia="Calibri" w:cs="Calibri"/>
          <w:noProof w:val="0"/>
          <w:color w:val="000000" w:themeColor="text1" w:themeTint="FF" w:themeShade="FF"/>
          <w:sz w:val="24"/>
          <w:szCs w:val="24"/>
          <w:lang w:val="en-GB"/>
        </w:rPr>
        <w:t>iPEGs</w:t>
      </w:r>
      <w:r w:rsidRPr="0FB2F569" w:rsidR="0FB2F569">
        <w:rPr>
          <w:rFonts w:ascii="Calibri" w:hAnsi="Calibri" w:eastAsia="Calibri" w:cs="Calibri"/>
          <w:noProof w:val="0"/>
          <w:color w:val="000000" w:themeColor="text1" w:themeTint="FF" w:themeShade="FF"/>
          <w:sz w:val="24"/>
          <w:szCs w:val="24"/>
          <w:lang w:val="en-GB"/>
        </w:rPr>
        <w:t xml:space="preserve"> and Learning Assistant with streamlined handheld work phones running the Access Care Planning app for daily care checklists, routine logging and ad-hoc activities, Swanton Care enables SWs to focus directly on person-centred care, resident well-being and environmental safety. </w:t>
      </w:r>
    </w:p>
    <w:p w:rsidR="0FB2F569" w:rsidP="0FB2F569" w:rsidRDefault="0FB2F569" w14:paraId="0F195117" w14:textId="723BBD26">
      <w:pPr>
        <w:pStyle w:val="Normal"/>
        <w:tabs>
          <w:tab w:val="right" w:leader="dot" w:pos="9360"/>
        </w:tabs>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r w:rsidRPr="0FB2F569" w:rsidR="0FB2F569">
        <w:rPr>
          <w:rFonts w:ascii="Calibri" w:hAnsi="Calibri" w:eastAsia="Calibri" w:cs="Calibri"/>
          <w:noProof w:val="0"/>
          <w:color w:val="000000" w:themeColor="text1" w:themeTint="FF" w:themeShade="FF"/>
          <w:sz w:val="24"/>
          <w:szCs w:val="24"/>
          <w:lang w:val="en-GB"/>
        </w:rPr>
        <w:t xml:space="preserve">To analyse this developmental trajectory, key organisational, psychological and change management theorists are systematically integrated across the main sections. Macro and micro-environmental change dynamics are evaluated through Katz and Kahn's Open Systems Theory, Pfeffer and </w:t>
      </w:r>
      <w:r w:rsidRPr="0FB2F569" w:rsidR="0FB2F569">
        <w:rPr>
          <w:rFonts w:ascii="Calibri" w:hAnsi="Calibri" w:eastAsia="Calibri" w:cs="Calibri"/>
          <w:noProof w:val="0"/>
          <w:color w:val="000000" w:themeColor="text1" w:themeTint="FF" w:themeShade="FF"/>
          <w:sz w:val="24"/>
          <w:szCs w:val="24"/>
          <w:lang w:val="en-GB"/>
        </w:rPr>
        <w:t>Salancik's</w:t>
      </w:r>
      <w:r w:rsidRPr="0FB2F569" w:rsidR="0FB2F569">
        <w:rPr>
          <w:rFonts w:ascii="Calibri" w:hAnsi="Calibri" w:eastAsia="Calibri" w:cs="Calibri"/>
          <w:noProof w:val="0"/>
          <w:color w:val="000000" w:themeColor="text1" w:themeTint="FF" w:themeShade="FF"/>
          <w:sz w:val="24"/>
          <w:szCs w:val="24"/>
          <w:lang w:val="en-GB"/>
        </w:rPr>
        <w:t xml:space="preserve"> Resource Dependence Theory, Johnson, </w:t>
      </w:r>
      <w:r w:rsidRPr="0FB2F569" w:rsidR="0FB2F569">
        <w:rPr>
          <w:rFonts w:ascii="Calibri" w:hAnsi="Calibri" w:eastAsia="Calibri" w:cs="Calibri"/>
          <w:noProof w:val="0"/>
          <w:color w:val="000000" w:themeColor="text1" w:themeTint="FF" w:themeShade="FF"/>
          <w:sz w:val="24"/>
          <w:szCs w:val="24"/>
          <w:lang w:val="en-GB"/>
        </w:rPr>
        <w:t>Scholes</w:t>
      </w:r>
      <w:r w:rsidRPr="0FB2F569" w:rsidR="0FB2F569">
        <w:rPr>
          <w:rFonts w:ascii="Calibri" w:hAnsi="Calibri" w:eastAsia="Calibri" w:cs="Calibri"/>
          <w:noProof w:val="0"/>
          <w:color w:val="000000" w:themeColor="text1" w:themeTint="FF" w:themeShade="FF"/>
          <w:sz w:val="24"/>
          <w:szCs w:val="24"/>
          <w:lang w:val="en-GB"/>
        </w:rPr>
        <w:t xml:space="preserve"> and Whittington's PESTEL Analysis and Barney's Resource-Based View. Strategic change processes and operational scale are examined using Kurt Lewin's Force Field Analysis and 3-Stage Change Model, John Kotter's 8-Step Change Model, William Bridges' Transition Model and the Burke and Litwin Organisational Change Model. Cultural paradigms and workplace safety are analysed through Edward T. Hall's Cultural Iceberg Model, Edgar Schein's Organisational Culture Framework, Amy Edmondson's Psychological Safety Framework and Douglas McGregor's Theory X and Theory Y. Finally, stakeholder engagement, human transitions and resistance management are guided by Rick Maurer's 3 Levels of Resistance, Phillip Hodson and Adams et al.'s Transitional Curve, Andrea Shapiro's 7 Levers of Change and Tipping Point Theory and David Kolb and Donald Schön's Reflective Learning models.</w:t>
      </w:r>
    </w:p>
    <w:p w:rsidR="61C4D7E2" w:rsidP="5EC73FA6" w:rsidRDefault="61C4D7E2" w14:paraId="1F9A7336" w14:textId="2E8DEAE6">
      <w:pPr>
        <w:bidi w:val="0"/>
        <w:spacing w:after="100"/>
        <w:rPr>
          <w:rFonts w:ascii="Calibri" w:hAnsi="Calibri" w:eastAsia="Calibri" w:cs="Calibri"/>
          <w:noProof w:val="0"/>
          <w:lang w:val="en-GB"/>
        </w:rPr>
      </w:pPr>
      <w:r w:rsidRPr="7FF7241A">
        <w:rPr>
          <w:rFonts w:ascii="Calibri" w:hAnsi="Calibri" w:eastAsia="Calibri" w:cs="Calibri"/>
          <w:noProof w:val="0"/>
          <w:lang w:val="en-GB"/>
        </w:rPr>
        <w:br w:type="page"/>
      </w:r>
    </w:p>
    <w:p w:rsidR="61C4D7E2" w:rsidP="4AF55075" w:rsidRDefault="61C4D7E2" w14:paraId="3B27645D" w14:textId="0BD9F23E">
      <w:pPr>
        <w:pStyle w:val="Heading2"/>
        <w:tabs>
          <w:tab w:val="right" w:leader="dot" w:pos="9360"/>
        </w:tabs>
        <w:bidi w:val="0"/>
        <w:spacing w:after="0" w:afterAutospacing="off"/>
        <w:ind w:left="0"/>
        <w:rPr>
          <w:rFonts w:ascii="Calibri" w:hAnsi="Calibri" w:eastAsia="Calibri" w:cs="Calibri"/>
          <w:noProof w:val="0"/>
          <w:lang w:val="en-GB"/>
        </w:rPr>
      </w:pPr>
      <w:bookmarkStart w:name="_Toc1882756222" w:id="848624271"/>
      <w:r w:rsidRPr="0FB2F569" w:rsidR="0FB2F569">
        <w:rPr>
          <w:rFonts w:ascii="Calibri" w:hAnsi="Calibri" w:eastAsia="Calibri" w:cs="Calibri"/>
          <w:noProof w:val="0"/>
          <w:lang w:val="en-GB"/>
        </w:rPr>
        <w:t>2.0</w:t>
      </w:r>
      <w:r w:rsidRPr="0FB2F569" w:rsidR="0FB2F569">
        <w:rPr>
          <w:rFonts w:ascii="Calibri" w:hAnsi="Calibri" w:eastAsia="Calibri" w:cs="Calibri"/>
          <w:noProof w:val="0"/>
          <w:lang w:val="en-GB"/>
        </w:rPr>
        <w:t xml:space="preserve"> </w:t>
      </w:r>
      <w:r w:rsidRPr="0FB2F569" w:rsidR="0FB2F569">
        <w:rPr>
          <w:rFonts w:ascii="Calibri" w:hAnsi="Calibri" w:eastAsia="Calibri" w:cs="Calibri"/>
          <w:noProof w:val="0"/>
          <w:lang w:val="en-GB"/>
        </w:rPr>
        <w:t>Strategic Environmental Analysis</w:t>
      </w:r>
      <w:bookmarkEnd w:id="848624271"/>
    </w:p>
    <w:p w:rsidR="61C4D7E2" w:rsidP="5EC73FA6" w:rsidRDefault="61C4D7E2" w14:paraId="0463237B" w14:textId="4AC96162">
      <w:pPr>
        <w:pStyle w:val="Heading3"/>
        <w:tabs>
          <w:tab w:val="right" w:leader="dot" w:pos="9360"/>
        </w:tabs>
        <w:spacing w:before="0" w:beforeAutospacing="off" w:after="0" w:afterAutospacing="off"/>
        <w:rPr>
          <w:rFonts w:ascii="Calibri" w:hAnsi="Calibri" w:eastAsia="Calibri" w:cs="Calibri"/>
          <w:noProof w:val="0"/>
          <w:lang w:val="en-GB"/>
        </w:rPr>
      </w:pPr>
      <w:bookmarkStart w:name="_Toc40549863" w:id="139459264"/>
      <w:r w:rsidRPr="0FB2F569" w:rsidR="0FB2F569">
        <w:rPr>
          <w:rFonts w:ascii="Calibri" w:hAnsi="Calibri" w:eastAsia="Calibri" w:cs="Calibri"/>
          <w:noProof w:val="0"/>
          <w:lang w:val="en-GB"/>
        </w:rPr>
        <w:t>2.1</w:t>
      </w:r>
      <w:r w:rsidRPr="0FB2F569" w:rsidR="0FB2F569">
        <w:rPr>
          <w:rFonts w:ascii="Calibri" w:hAnsi="Calibri" w:eastAsia="Calibri" w:cs="Calibri"/>
          <w:noProof w:val="0"/>
          <w:lang w:val="en-GB"/>
        </w:rPr>
        <w:t xml:space="preserve"> </w:t>
      </w:r>
      <w:r w:rsidRPr="0FB2F569" w:rsidR="0FB2F569">
        <w:rPr>
          <w:rFonts w:ascii="Calibri" w:hAnsi="Calibri" w:eastAsia="Calibri" w:cs="Calibri"/>
          <w:noProof w:val="0"/>
          <w:lang w:val="en-GB"/>
        </w:rPr>
        <w:t>PESTEL and Legal Frameworks</w:t>
      </w:r>
      <w:bookmarkEnd w:id="139459264"/>
    </w:p>
    <w:p w:rsidR="0FB2F569" w:rsidP="0FB2F569" w:rsidRDefault="0FB2F569" w14:paraId="4138CFB9" w14:textId="071CFC16">
      <w:pPr>
        <w:pStyle w:val="Normal"/>
        <w:tabs>
          <w:tab w:val="right" w:leader="dot" w:pos="9360"/>
        </w:tabs>
        <w:spacing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Evaluating the external macro-environment governing adult social care in Wales through Katz &amp; Khan Open Systems theory (1978), social organisations function as open systems that are “continually dependent on inputs from the environment, which are processed or transferred into outputs” (appendix A). CTC functions as an open system highly vulnerable to commercial market inputs, shifting regional skill allocations and fluctuating government funding. Operating within a commercial open system creates intense job insecurity, as regional contract changes or reductions in hospitality apprenticeship funding directly threaten post stability and force assessors to accelerate learner completions to meet corporate funding targets.</w:t>
      </w:r>
    </w:p>
    <w:p w:rsidR="0FB2F569" w:rsidP="0FB2F569" w:rsidRDefault="0FB2F569" w14:paraId="33C29567" w14:textId="77B132DC">
      <w:pPr>
        <w:pStyle w:val="Normal"/>
        <w:tabs>
          <w:tab w:val="right" w:leader="dot" w:pos="9360"/>
        </w:tabs>
        <w:spacing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 xml:space="preserve">Swanton Care </w:t>
      </w:r>
      <w:r w:rsidRPr="0FB2F569" w:rsidR="0FB2F569">
        <w:rPr>
          <w:rFonts w:ascii="Calibri" w:hAnsi="Calibri" w:eastAsia="Calibri" w:cs="Calibri"/>
          <w:noProof w:val="0"/>
          <w:color w:val="000000" w:themeColor="text1" w:themeTint="FF" w:themeShade="FF"/>
          <w:sz w:val="24"/>
          <w:szCs w:val="24"/>
          <w:lang w:val="en-GB"/>
        </w:rPr>
        <w:t>operates</w:t>
      </w:r>
      <w:r w:rsidRPr="0FB2F569" w:rsidR="0FB2F569">
        <w:rPr>
          <w:rFonts w:ascii="Calibri" w:hAnsi="Calibri" w:eastAsia="Calibri" w:cs="Calibri"/>
          <w:noProof w:val="0"/>
          <w:color w:val="000000" w:themeColor="text1" w:themeTint="FF" w:themeShade="FF"/>
          <w:sz w:val="24"/>
          <w:szCs w:val="24"/>
          <w:lang w:val="en-GB"/>
        </w:rPr>
        <w:t xml:space="preserve"> as a stabilised socio-technical open system supported by state local authority commissioning budgets and statutory welfare demands. Grounded in Musgrave’s Public Economics Framework (1959), public sector social care provision addresses market failures by securing social goods that pure commercial markets under-provide. For the SW, this state-backed economic stability provides a secure working environment, consistent shift </w:t>
      </w:r>
      <w:r w:rsidRPr="0FB2F569" w:rsidR="0FB2F569">
        <w:rPr>
          <w:rFonts w:ascii="Calibri" w:hAnsi="Calibri" w:eastAsia="Calibri" w:cs="Calibri"/>
          <w:noProof w:val="0"/>
          <w:color w:val="000000" w:themeColor="text1" w:themeTint="FF" w:themeShade="FF"/>
          <w:sz w:val="24"/>
          <w:szCs w:val="24"/>
          <w:lang w:val="en-GB"/>
        </w:rPr>
        <w:t>allocations</w:t>
      </w:r>
      <w:r w:rsidRPr="0FB2F569" w:rsidR="0FB2F569">
        <w:rPr>
          <w:rFonts w:ascii="Calibri" w:hAnsi="Calibri" w:eastAsia="Calibri" w:cs="Calibri"/>
          <w:noProof w:val="0"/>
          <w:color w:val="000000" w:themeColor="text1" w:themeTint="FF" w:themeShade="FF"/>
          <w:sz w:val="24"/>
          <w:szCs w:val="24"/>
          <w:lang w:val="en-GB"/>
        </w:rPr>
        <w:t xml:space="preserve"> and reliable access to funded professional qualification pathways, directly reducing career anxiety and fostering long-term organisational commitment.</w:t>
      </w:r>
    </w:p>
    <w:p w:rsidR="0FB2F569" w:rsidP="0FB2F569" w:rsidRDefault="0FB2F569" w14:paraId="73E813FF" w14:textId="7FDB4BFF">
      <w:pPr>
        <w:pStyle w:val="Normal"/>
        <w:tabs>
          <w:tab w:val="right" w:leader="dot" w:pos="9360"/>
        </w:tabs>
        <w:bidi w:val="0"/>
        <w:spacing w:before="0" w:beforeAutospacing="off" w:after="0" w:afterAutospacing="off" w:line="360" w:lineRule="auto"/>
        <w:ind w:left="0" w:right="0" w:firstLine="720"/>
        <w:jc w:val="both"/>
      </w:pPr>
      <w:r w:rsidRPr="0FB2F569" w:rsidR="0FB2F569">
        <w:rPr>
          <w:rFonts w:ascii="Calibri" w:hAnsi="Calibri" w:eastAsia="Calibri" w:cs="Calibri"/>
          <w:noProof w:val="0"/>
          <w:color w:val="000000" w:themeColor="text1" w:themeTint="FF" w:themeShade="FF"/>
          <w:sz w:val="24"/>
          <w:szCs w:val="24"/>
          <w:lang w:val="en-GB"/>
        </w:rPr>
        <w:t>Research from Pfeffer and Salancik’s Resource Dependence Theory, suggests that "the key to organisational survival is the ability to acquire and maintain resources" (1978) from dynamic external environments. For example, when client venues face busy service periods, employers frequently pull apprentices away from planned assessment sessions. This forces the Training Officer to repeatedly reschedule visits, absorb unproductive travel time and work outside contract hours to upload portfolio evidence across triangulated, non-integrated software platforms including YETI, iPEGs and Learning Assistant.</w:t>
      </w:r>
    </w:p>
    <w:p w:rsidR="0FB2F569" w:rsidP="0FB2F569" w:rsidRDefault="0FB2F569" w14:paraId="03ECA064" w14:textId="7994789D">
      <w:pPr>
        <w:pStyle w:val="Normal"/>
        <w:tabs>
          <w:tab w:val="right" w:leader="dot" w:pos="9360"/>
        </w:tabs>
        <w:spacing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In contrast, Swanton Care controls its internal care delivery environment within fixed residential services. Supported by streamlined handheld work phones running the Access Care Planning app, the frontline SW relies on internal digital resources that facilitate real-time logging of tailored routines and ad-hoc activities. This eliminates external client scheduling dependencies, drastically reduces administrative friction and ensures the SW can devote uninterrupted focus to resident care.</w:t>
      </w:r>
    </w:p>
    <w:p w:rsidR="0FB2F569" w:rsidP="0FB2F569" w:rsidRDefault="0FB2F569" w14:paraId="3AD4B306" w14:textId="0D1D0716">
      <w:pPr>
        <w:pStyle w:val="Normal"/>
        <w:tabs>
          <w:tab w:val="right" w:leader="dot" w:pos="9360"/>
        </w:tabs>
        <w:spacing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Legally, adherence to the Social Services and Well-being (Wales) Act 2014, the Mental Capacity Act 2005, Deprivation of Liberty Safeguards (DoLS), and Care Inspectorate Wales standards create a rigorous Statutory Duty of Care Framework (Donoghue v Stevenson, 1932). In evaluating regulatory governance, Lippens notes that responsive regulation relies on "structures that escalate to punitive responses only when dialogue fails"(2002). While regulatory compliance at CTC centred on educational funding audits and awarding body verification, legal compliance at Swanton Care protects physical liberty, personhood and integrity through a supportive statutory framework. For the SW, this elevates the ethical weight of daily duties, demanding constant vigilance and accurate digital recording on Access Care Planning to ensure resident safety and maintain statutory compliance.</w:t>
      </w:r>
    </w:p>
    <w:p w:rsidR="0FB2F569" w:rsidP="0FB2F569" w:rsidRDefault="0FB2F569" w14:paraId="7BBED841" w14:textId="2051A774">
      <w:pPr>
        <w:pStyle w:val="Normal"/>
        <w:tabs>
          <w:tab w:val="right" w:leader="dot" w:pos="9360"/>
        </w:tabs>
        <w:spacing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 xml:space="preserve">Environmentally, assessing for CTC involved continuous long-distance commuting across Wales, introducing severe travel fatigue and cognitive burnout. Evaluating this through </w:t>
      </w:r>
      <w:r w:rsidRPr="0FB2F569" w:rsidR="0FB2F569">
        <w:rPr>
          <w:rFonts w:ascii="Calibri" w:hAnsi="Calibri" w:eastAsia="Calibri" w:cs="Calibri"/>
          <w:noProof w:val="0"/>
          <w:color w:val="000000" w:themeColor="text1" w:themeTint="FF" w:themeShade="FF"/>
          <w:sz w:val="24"/>
          <w:szCs w:val="24"/>
          <w:lang w:val="en-GB"/>
        </w:rPr>
        <w:t>Akerstedt’s</w:t>
      </w:r>
      <w:r w:rsidRPr="0FB2F569" w:rsidR="0FB2F569">
        <w:rPr>
          <w:rFonts w:ascii="Calibri" w:hAnsi="Calibri" w:eastAsia="Calibri" w:cs="Calibri"/>
          <w:noProof w:val="0"/>
          <w:color w:val="000000" w:themeColor="text1" w:themeTint="FF" w:themeShade="FF"/>
          <w:sz w:val="24"/>
          <w:szCs w:val="24"/>
          <w:lang w:val="en-GB"/>
        </w:rPr>
        <w:t xml:space="preserve"> Occupational Fatigue Theory (2009) and </w:t>
      </w:r>
      <w:r w:rsidRPr="0FB2F569" w:rsidR="0FB2F569">
        <w:rPr>
          <w:rFonts w:ascii="Calibri" w:hAnsi="Calibri" w:eastAsia="Calibri" w:cs="Calibri"/>
          <w:noProof w:val="0"/>
          <w:color w:val="000000" w:themeColor="text1" w:themeTint="FF" w:themeShade="FF"/>
          <w:sz w:val="24"/>
          <w:szCs w:val="24"/>
          <w:lang w:val="en-GB"/>
        </w:rPr>
        <w:t>Sweller’s</w:t>
      </w:r>
      <w:r w:rsidRPr="0FB2F569" w:rsidR="0FB2F569">
        <w:rPr>
          <w:rFonts w:ascii="Calibri" w:hAnsi="Calibri" w:eastAsia="Calibri" w:cs="Calibri"/>
          <w:noProof w:val="0"/>
          <w:color w:val="000000" w:themeColor="text1" w:themeTint="FF" w:themeShade="FF"/>
          <w:sz w:val="24"/>
          <w:szCs w:val="24"/>
          <w:lang w:val="en-GB"/>
        </w:rPr>
        <w:t xml:space="preserve"> Cognitive Load Theory (1988), which </w:t>
      </w:r>
      <w:r w:rsidRPr="0FB2F569" w:rsidR="0FB2F569">
        <w:rPr>
          <w:rFonts w:ascii="Calibri" w:hAnsi="Calibri" w:eastAsia="Calibri" w:cs="Calibri"/>
          <w:noProof w:val="0"/>
          <w:color w:val="000000" w:themeColor="text1" w:themeTint="FF" w:themeShade="FF"/>
          <w:sz w:val="24"/>
          <w:szCs w:val="24"/>
          <w:lang w:val="en-GB"/>
        </w:rPr>
        <w:t>demonstrates</w:t>
      </w:r>
      <w:r w:rsidRPr="0FB2F569" w:rsidR="0FB2F569">
        <w:rPr>
          <w:rFonts w:ascii="Calibri" w:hAnsi="Calibri" w:eastAsia="Calibri" w:cs="Calibri"/>
          <w:noProof w:val="0"/>
          <w:color w:val="000000" w:themeColor="text1" w:themeTint="FF" w:themeShade="FF"/>
          <w:sz w:val="24"/>
          <w:szCs w:val="24"/>
          <w:lang w:val="en-GB"/>
        </w:rPr>
        <w:t xml:space="preserve"> how excessive working memory load degrades cognitive processing efficiency, constant long-distance driving and unpredictable scheduling inflict severe physical exhaustion and mental depletion on the TO. This directly degrades their attention to detail during learner assessments and elevates emotional burnout.</w:t>
      </w:r>
    </w:p>
    <w:p w:rsidR="0FB2F569" w:rsidP="0FB2F569" w:rsidRDefault="0FB2F569" w14:paraId="437501DC" w14:textId="1BF8117F">
      <w:pPr>
        <w:pStyle w:val="Normal"/>
        <w:tabs>
          <w:tab w:val="right" w:leader="dot" w:pos="9360"/>
        </w:tabs>
        <w:spacing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Swanton Care eliminates multi-site regional travel by operating fixed residential services and localised community care hubs. This structural shift advances Thatcher et al’s Sustainable Workplace Model (2019) and Grandjean’s Environmental Ergonomics Framework (1980), which emphasise that physical work environments must be designed to optimise human well-being, posture and physiological capacity. Eliminating road travel obligations conserves the SWs physical and cognitive energy, allowing them to remain mentally sharp, emotionally present and attentive to subtle changes in resident well-being throughout their shift.</w:t>
      </w:r>
    </w:p>
    <w:p w:rsidR="79FEF22E" w:rsidP="5EC73FA6" w:rsidRDefault="79FEF22E" w14:paraId="6BEDABD8" w14:textId="443D387D">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1906910842" w:id="149428069"/>
      <w:r w:rsidRPr="0FB2F569" w:rsidR="0FB2F569">
        <w:rPr>
          <w:rFonts w:ascii="Calibri" w:hAnsi="Calibri" w:eastAsia="Calibri" w:cs="Calibri"/>
          <w:noProof w:val="0"/>
          <w:lang w:val="en-GB"/>
        </w:rPr>
        <w:t>2.2</w:t>
      </w:r>
      <w:r w:rsidRPr="0FB2F569" w:rsidR="0FB2F569">
        <w:rPr>
          <w:rFonts w:ascii="Calibri" w:hAnsi="Calibri" w:eastAsia="Calibri" w:cs="Calibri"/>
          <w:noProof w:val="0"/>
          <w:lang w:val="en-GB"/>
        </w:rPr>
        <w:t xml:space="preserve"> </w:t>
      </w:r>
      <w:r w:rsidRPr="0FB2F569" w:rsidR="0FB2F569">
        <w:rPr>
          <w:rFonts w:ascii="Calibri" w:hAnsi="Calibri" w:eastAsia="Calibri" w:cs="Calibri"/>
          <w:noProof w:val="0"/>
          <w:lang w:val="en-GB"/>
        </w:rPr>
        <w:t>SWOT Analysis</w:t>
      </w:r>
      <w:bookmarkEnd w:id="149428069"/>
    </w:p>
    <w:p w:rsidR="0FB2F569" w:rsidP="0FB2F569" w:rsidRDefault="0FB2F569" w14:paraId="6F6A677D" w14:textId="11622D64">
      <w:pPr>
        <w:pStyle w:val="Normal"/>
        <w:tabs>
          <w:tab w:val="right" w:leader="dot" w:pos="9360"/>
        </w:tabs>
        <w:spacing w:before="0" w:beforeAutospacing="off" w:after="0" w:afterAutospacing="off" w:line="360" w:lineRule="auto"/>
        <w:ind w:left="0" w:right="0" w:firstLine="720"/>
        <w:jc w:val="both"/>
      </w:pPr>
      <w:r w:rsidRPr="0FB2F569" w:rsidR="0FB2F569">
        <w:rPr>
          <w:rFonts w:ascii="Calibri" w:hAnsi="Calibri" w:eastAsia="Calibri" w:cs="Calibri"/>
          <w:noProof w:val="0"/>
          <w:color w:val="000000" w:themeColor="text1" w:themeTint="FF" w:themeShade="FF"/>
          <w:sz w:val="24"/>
          <w:szCs w:val="24"/>
          <w:lang w:val="en-GB"/>
        </w:rPr>
        <w:t>Research through Barney’s Resource-Based View, claims that internal capabilities have sustainable advantage when they are "valuable, rare, imperfectly imitable and non-substitutable" (1991), the transferable skills acquired as a TO like goal setting, observational assessments, HACCAP understanding and oversight and quality compliance, provides a robust foundation for social care management (Appendix B). Executing Thorndike’s (1901) Pedagogical Transfer Model (1901), which explains how cognitive skills learned in one domain facilitate performance in another when identical elements exist, these educational competencies enable a transitioning SW to follow person-centred care plans accurately, contribute effectively to shift handovers and build the foundational skills necessary to progress into future team leadership.</w:t>
      </w:r>
    </w:p>
    <w:p w:rsidR="0FB2F569" w:rsidP="0FB2F569" w:rsidRDefault="0FB2F569" w14:paraId="209330B1" w14:textId="1FB0A067">
      <w:pPr>
        <w:pStyle w:val="Normal"/>
        <w:tabs>
          <w:tab w:val="right" w:leader="dot" w:pos="9360"/>
        </w:tabs>
        <w:bidi w:val="0"/>
        <w:spacing w:before="0" w:beforeAutospacing="off" w:after="0" w:afterAutospacing="off" w:line="360" w:lineRule="auto"/>
        <w:ind w:left="0" w:right="0" w:firstLine="720"/>
        <w:jc w:val="both"/>
      </w:pPr>
      <w:r w:rsidRPr="0FB2F569" w:rsidR="0FB2F569">
        <w:rPr>
          <w:rFonts w:ascii="Calibri" w:hAnsi="Calibri" w:eastAsia="Calibri" w:cs="Calibri"/>
          <w:noProof w:val="0"/>
          <w:color w:val="000000" w:themeColor="text1" w:themeTint="FF" w:themeShade="FF"/>
          <w:sz w:val="24"/>
          <w:szCs w:val="24"/>
          <w:lang w:val="en-GB"/>
        </w:rPr>
        <w:t xml:space="preserve">However, initial operational hurdles inevitably arise during the transition phase, as analysed through Nicholson’s Work Role Transition Theory (1984). Nicholson defines work role transitions as processes requiring either personal development (adapting one's identity) or role development (re-shaping the job role). For the TO stepping into frontline social care, mastering complex medical terminology, adapting to specialised psychological </w:t>
      </w:r>
      <w:r w:rsidRPr="0FB2F569" w:rsidR="0FB2F569">
        <w:rPr>
          <w:rFonts w:ascii="Calibri" w:hAnsi="Calibri" w:eastAsia="Calibri" w:cs="Calibri"/>
          <w:noProof w:val="0"/>
          <w:color w:val="000000" w:themeColor="text1" w:themeTint="FF" w:themeShade="FF"/>
          <w:sz w:val="24"/>
          <w:szCs w:val="24"/>
          <w:lang w:val="en-GB"/>
        </w:rPr>
        <w:t>interventions</w:t>
      </w:r>
      <w:r w:rsidRPr="0FB2F569" w:rsidR="0FB2F569">
        <w:rPr>
          <w:rFonts w:ascii="Calibri" w:hAnsi="Calibri" w:eastAsia="Calibri" w:cs="Calibri"/>
          <w:noProof w:val="0"/>
          <w:color w:val="000000" w:themeColor="text1" w:themeTint="FF" w:themeShade="FF"/>
          <w:sz w:val="24"/>
          <w:szCs w:val="24"/>
          <w:lang w:val="en-GB"/>
        </w:rPr>
        <w:t xml:space="preserve"> and adjusting to non-verbal resident communication introduces significant emotional and cognitive strain. If unmanaged, this </w:t>
      </w:r>
      <w:r w:rsidRPr="0FB2F569" w:rsidR="0FB2F569">
        <w:rPr>
          <w:rFonts w:ascii="Calibri" w:hAnsi="Calibri" w:eastAsia="Calibri" w:cs="Calibri"/>
          <w:noProof w:val="0"/>
          <w:color w:val="000000" w:themeColor="text1" w:themeTint="FF" w:themeShade="FF"/>
          <w:sz w:val="24"/>
          <w:szCs w:val="24"/>
          <w:lang w:val="en-GB"/>
        </w:rPr>
        <w:t>initial</w:t>
      </w:r>
      <w:r w:rsidRPr="0FB2F569" w:rsidR="0FB2F569">
        <w:rPr>
          <w:rFonts w:ascii="Calibri" w:hAnsi="Calibri" w:eastAsia="Calibri" w:cs="Calibri"/>
          <w:noProof w:val="0"/>
          <w:color w:val="000000" w:themeColor="text1" w:themeTint="FF" w:themeShade="FF"/>
          <w:sz w:val="24"/>
          <w:szCs w:val="24"/>
          <w:lang w:val="en-GB"/>
        </w:rPr>
        <w:t xml:space="preserve"> role ambiguity can temporarily diminish practitioner confidence during daily care.</w:t>
      </w:r>
    </w:p>
    <w:p w:rsidR="0FB2F569" w:rsidP="0FB2F569" w:rsidRDefault="0FB2F569" w14:paraId="67B98A5A" w14:textId="27F141B0">
      <w:pPr>
        <w:pStyle w:val="Normal"/>
        <w:tabs>
          <w:tab w:val="right" w:leader="dot" w:pos="9360"/>
        </w:tabs>
        <w:bidi w:val="0"/>
        <w:spacing w:before="0" w:beforeAutospacing="off" w:after="0" w:afterAutospacing="off" w:line="360" w:lineRule="auto"/>
        <w:ind w:left="0" w:right="0" w:firstLine="720"/>
        <w:jc w:val="both"/>
      </w:pPr>
      <w:r w:rsidRPr="0FB2F569" w:rsidR="0FB2F569">
        <w:rPr>
          <w:rFonts w:ascii="Calibri" w:hAnsi="Calibri" w:eastAsia="Calibri" w:cs="Calibri"/>
          <w:noProof w:val="0"/>
          <w:color w:val="000000" w:themeColor="text1" w:themeTint="FF" w:themeShade="FF"/>
          <w:sz w:val="24"/>
          <w:szCs w:val="24"/>
          <w:lang w:val="en-GB"/>
        </w:rPr>
        <w:t>To mitigate these internal challenges, Swanton Care offers structured internal advancement pathways extending from frontline SW to Team Leader, Operational Manager or specialist Learning and Development roles. This progression operationalises Super’s Career Lattice Framework (1957), which conceptualises career growth as a flexible, multi-directional progression, and Knowles’ Andragogy Theory (1984) of adult learning, which emphasises self-directed, experience-based skill acquisition. Providing fully funded access to Level 3 and Level 5 Diplomas in Health and Social Care empowers the SW to build clinical authority while earning formal registration with Social Care Wales.</w:t>
      </w:r>
    </w:p>
    <w:p w:rsidR="0FB2F569" w:rsidP="0FB2F569" w:rsidRDefault="0FB2F569" w14:paraId="28F0952E" w14:textId="4A7491FA">
      <w:pPr>
        <w:pStyle w:val="Normal"/>
        <w:tabs>
          <w:tab w:val="right" w:leader="dot" w:pos="9360"/>
        </w:tabs>
        <w:bidi w:val="0"/>
        <w:spacing w:before="0" w:beforeAutospacing="off" w:after="0" w:afterAutospacing="off" w:line="360" w:lineRule="auto"/>
        <w:ind w:left="0" w:right="0" w:firstLine="720"/>
        <w:jc w:val="both"/>
      </w:pPr>
      <w:r w:rsidRPr="0FB2F569" w:rsidR="0FB2F569">
        <w:rPr>
          <w:rFonts w:ascii="Calibri" w:hAnsi="Calibri" w:eastAsia="Calibri" w:cs="Calibri"/>
          <w:noProof w:val="0"/>
          <w:color w:val="000000" w:themeColor="text1" w:themeTint="FF" w:themeShade="FF"/>
          <w:sz w:val="24"/>
          <w:szCs w:val="24"/>
          <w:lang w:val="en-GB"/>
        </w:rPr>
        <w:t>Externally, systemic social care challenges such as national care staffing shortages and high turnover rates place heavy pressure on residential shift rosters. This dynamic is analysed through Erenreich’s (2001) Labour Market Crisis Theory, which describes how structural labour shortages create severe operational strain and mandatory overtime on SWs such as staffing deficits leading to physical fatigue and overtime demands. Swanton Care mitigates these external threats by cultivating open communication, fair shift distribution, psychological safety and structured peer support, establishing an environment that promotes Luthans’ Organisational Workplace Resilience Theory, (2002), defining workplace resilience as the "measurable capacity to rebound or bounce back from adversity, conflict, failure or even positive change, progress and increased responsibility" (Luthans, 2002).</w:t>
      </w:r>
    </w:p>
    <w:p w:rsidR="542D089A" w:rsidP="7C4DA529" w:rsidRDefault="542D089A" w14:paraId="60E466BB" w14:textId="6088B450">
      <w:pPr>
        <w:pStyle w:val="Heading3"/>
        <w:tabs>
          <w:tab w:val="right" w:leader="dot" w:pos="9360"/>
        </w:tabs>
        <w:bidi w:val="0"/>
        <w:spacing w:before="0" w:beforeAutospacing="off" w:after="0" w:afterAutospacing="off" w:line="360" w:lineRule="auto"/>
        <w:ind/>
        <w:rPr>
          <w:rFonts w:ascii="Calibri" w:hAnsi="Calibri" w:eastAsia="Calibri" w:cs="Calibri"/>
          <w:noProof w:val="0"/>
          <w:lang w:val="en-GB"/>
        </w:rPr>
      </w:pPr>
      <w:bookmarkStart w:name="_Toc1393622532" w:id="2001643387"/>
      <w:r w:rsidRPr="0FB2F569" w:rsidR="0FB2F569">
        <w:rPr>
          <w:rFonts w:ascii="Calibri" w:hAnsi="Calibri" w:eastAsia="Calibri" w:cs="Calibri"/>
          <w:noProof w:val="0"/>
          <w:lang w:val="en-GB"/>
        </w:rPr>
        <w:t>2.3</w:t>
      </w:r>
      <w:r w:rsidRPr="0FB2F569" w:rsidR="0FB2F569">
        <w:rPr>
          <w:rFonts w:ascii="Calibri" w:hAnsi="Calibri" w:eastAsia="Calibri" w:cs="Calibri"/>
          <w:noProof w:val="0"/>
          <w:lang w:val="en-GB"/>
        </w:rPr>
        <w:t xml:space="preserve"> </w:t>
      </w:r>
      <w:r w:rsidRPr="0FB2F569" w:rsidR="0FB2F569">
        <w:rPr>
          <w:rFonts w:ascii="Calibri" w:hAnsi="Calibri" w:eastAsia="Calibri" w:cs="Calibri"/>
          <w:noProof w:val="0"/>
          <w:lang w:val="en-GB"/>
        </w:rPr>
        <w:t>Scale, Pace and Dynamics of Organisational Change</w:t>
      </w:r>
      <w:bookmarkEnd w:id="2001643387"/>
    </w:p>
    <w:p w:rsidR="0FB2F569" w:rsidP="0FB2F569" w:rsidRDefault="0FB2F569" w14:paraId="75349535" w14:textId="123107BE">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To understand how overarching sector shifts impact SWs, organisational change must be evaluated using the Burke-Litwin Organisational Change Model (1992), Senior and Swailes’ Scale of Change Model (2010) and DiMaggio and Powell’s Institutional Isomorphism Theory (1983). The Burke-Litwin model demonstrates how macro-level transformational drivers, like Welsh Government care legislation and Care Inspectorate Wales governance, flow downward through organisational culture, management practices and daily shift systems, ultimately driving individual performance and motivation. DiMaggio and Powell (1983) explain that organisations within a sector undergo coercive and normative isomorphism, forcing them to adopt standardised operational structures to maintain institutional legitimacy.</w:t>
      </w:r>
    </w:p>
    <w:p w:rsidR="0FB2F569" w:rsidP="0FB2F569" w:rsidRDefault="0FB2F569" w14:paraId="1F688320" w14:textId="00654AB1">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Change can be categorised by both its scale and pace across operational environments, as defined by Burnes’ Operational Change Theory (2017) and Quinn’s Logical Incrementalism Theory (1980), which conceptualises organisational transformation as a step-by-step, evolutionary learning process. Micro-level operational change refers to localised adjustments in daily tasks, schedules and digital documentation interfaces. At Swanton Care, introducing handheld work phones running the Access Care Planning app to log tailored routines and ad-hoc activities represents operational change.</w:t>
      </w:r>
    </w:p>
    <w:p w:rsidR="0FB2F569" w:rsidP="0FB2F569" w:rsidRDefault="0FB2F569" w14:paraId="018A0EE4" w14:textId="0EBE65FC">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For the SWs, this operational shift initially generates mild Level 1 cognitive resistance under Maurer’s (1996) 3 Levels of Resistance Model, which categorises resistance into Level 1 (I don't get it), Level 2 (I don't like it), and Level 3 (I don't like you) as staff adapt to new digital interfaces. However, because the app streamlines documentation into a single handheld device, it ultimately reduces cognitive load, eliminates repetitive paperwork and gives Support Workers more quality time to engage directly with residents.</w:t>
      </w:r>
    </w:p>
    <w:p w:rsidR="0FB2F569" w:rsidP="0FB2F569" w:rsidRDefault="0FB2F569" w14:paraId="047379E6" w14:textId="75AA5D0C">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In contrast, strategic or systemic-level change impacts an organisation's core structure, mission and operating philosophy, as founded through Nadler and Tushman's Congruence Model (1980). Nadler and Tushman assert that organisational effectiveness depends on the agreement and harmony between work, people, structure and culture. Transitioning across professional boundaries from CTCs hospitality apprenticeship model to Swanton Care’s residential social care model constitutes systemic, transformational change. Moving from a target-driven, micromanaged environment governed by Theory X assumptions to a values-based, person-centred environment grounded in Theory Y requires a profound psychological adaptation. It means executing Schein’s Cultural Transformation Theory (2010), which requires dismantling deeply embedded implicit assumptions to embrace a new organisational climate.</w:t>
      </w:r>
    </w:p>
    <w:p w:rsidR="0FB2F569" w:rsidP="0FB2F569" w:rsidRDefault="0FB2F569" w14:paraId="7A5233C4" w14:textId="37D847CB">
      <w:pPr>
        <w:pStyle w:val="Normal"/>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Comparing operational variables between the two settings illustrates the direct human impact of this transformation. At CTC, the operational environment required high-mileage regional travel, compliance auditing across separate software platforms (Yeti, iPEGs, Learning Assistant) and strict adherence to 61-day progression metrics under Estyn oversight. For the TO, this operational structure fostered audit anxiety, physical fatigue and professional isolation.</w:t>
      </w:r>
    </w:p>
    <w:p w:rsidR="0FB2F569" w:rsidP="0FB2F569" w:rsidRDefault="0FB2F569" w14:paraId="1F4D6655" w14:textId="240C2030">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Whereas Swanton Care centres its mission on person-centred care and resident quality of life within a fixed residential setting. Supported by a single mobile software application, Access Care Planning and guided by Care Inspectorate Wales oversight, operations focus on resident safety, individual choice and holistic well-being. For the SW this integrated and localised operational environment fosters strong team cohesion, clear daily expectations and a profound sense of personal and professional fulfilment.</w:t>
      </w:r>
    </w:p>
    <w:p w:rsidR="1555D24F" w:rsidP="1555D24F" w:rsidRDefault="1555D24F" w14:paraId="3D37A32F" w14:textId="5D1E3C13">
      <w:pPr>
        <w:pStyle w:val="Normal"/>
        <w:tabs>
          <w:tab w:val="right" w:leader="dot" w:pos="9360"/>
        </w:tabs>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p>
    <w:p w:rsidR="155392B7" w:rsidP="5EC73FA6" w:rsidRDefault="155392B7" w14:paraId="62475D95" w14:textId="5D9095A5">
      <w:pPr>
        <w:spacing w:before="0" w:beforeAutospacing="off" w:after="0" w:afterAutospacing="off"/>
        <w:ind/>
        <w:rPr>
          <w:rFonts w:ascii="Calibri" w:hAnsi="Calibri" w:eastAsia="Calibri" w:cs="Calibri"/>
          <w:noProof w:val="0"/>
          <w:lang w:val="en-GB"/>
        </w:rPr>
      </w:pPr>
      <w:r w:rsidRPr="7FF7241A">
        <w:rPr>
          <w:rFonts w:ascii="Calibri" w:hAnsi="Calibri" w:eastAsia="Calibri" w:cs="Calibri"/>
          <w:noProof w:val="0"/>
          <w:lang w:val="en-GB"/>
        </w:rPr>
        <w:br w:type="page"/>
      </w:r>
    </w:p>
    <w:p w:rsidR="155392B7" w:rsidP="5EC73FA6" w:rsidRDefault="155392B7" w14:paraId="5E6DF0DA" w14:textId="1A33D3FE">
      <w:pPr>
        <w:pStyle w:val="Heading2"/>
        <w:spacing w:before="0" w:beforeAutospacing="off" w:after="0" w:afterAutospacing="off"/>
        <w:ind/>
        <w:rPr>
          <w:rFonts w:ascii="Calibri" w:hAnsi="Calibri" w:eastAsia="Calibri" w:cs="Calibri"/>
          <w:noProof w:val="0"/>
          <w:lang w:val="en-GB"/>
        </w:rPr>
      </w:pPr>
      <w:bookmarkStart w:name="_Toc572973718" w:id="1749234876"/>
      <w:r w:rsidRPr="0FB2F569" w:rsidR="0FB2F569">
        <w:rPr>
          <w:rFonts w:ascii="Calibri" w:hAnsi="Calibri" w:eastAsia="Calibri" w:cs="Calibri"/>
          <w:noProof w:val="0"/>
          <w:lang w:val="en-GB"/>
        </w:rPr>
        <w:t>3.0</w:t>
      </w:r>
      <w:r w:rsidRPr="0FB2F569" w:rsidR="0FB2F569">
        <w:rPr>
          <w:rFonts w:ascii="Calibri" w:hAnsi="Calibri" w:eastAsia="Calibri" w:cs="Calibri"/>
          <w:noProof w:val="0"/>
          <w:lang w:val="en-GB"/>
        </w:rPr>
        <w:t xml:space="preserve"> </w:t>
      </w:r>
      <w:r w:rsidRPr="0FB2F569" w:rsidR="0FB2F569">
        <w:rPr>
          <w:rFonts w:ascii="Calibri" w:hAnsi="Calibri" w:eastAsia="Calibri" w:cs="Calibri"/>
          <w:noProof w:val="0"/>
          <w:lang w:val="en-GB"/>
        </w:rPr>
        <w:t>Workplace Culture: Comparative Analysis Using the Cultural Iceberg Model</w:t>
      </w:r>
      <w:bookmarkEnd w:id="1749234876"/>
    </w:p>
    <w:p w:rsidR="0DFC4774" w:rsidP="5EC73FA6" w:rsidRDefault="0DFC4774" w14:paraId="654A493A" w14:textId="368AF7D5">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448296543" w:id="293576671"/>
      <w:r w:rsidRPr="0FB2F569" w:rsidR="0FB2F569">
        <w:rPr>
          <w:rFonts w:ascii="Calibri" w:hAnsi="Calibri" w:eastAsia="Calibri" w:cs="Calibri"/>
          <w:noProof w:val="0"/>
          <w:lang w:val="en-GB"/>
        </w:rPr>
        <w:t>3.</w:t>
      </w:r>
      <w:r w:rsidRPr="0FB2F569" w:rsidR="0FB2F569">
        <w:rPr>
          <w:rFonts w:ascii="Calibri" w:hAnsi="Calibri" w:eastAsia="Calibri" w:cs="Calibri"/>
          <w:noProof w:val="0"/>
          <w:lang w:val="en-GB"/>
        </w:rPr>
        <w:t>1</w:t>
      </w:r>
      <w:r w:rsidRPr="0FB2F569" w:rsidR="0FB2F569">
        <w:rPr>
          <w:rFonts w:ascii="Calibri" w:hAnsi="Calibri" w:eastAsia="Calibri" w:cs="Calibri"/>
          <w:noProof w:val="0"/>
          <w:lang w:val="en-GB"/>
        </w:rPr>
        <w:t xml:space="preserve"> </w:t>
      </w:r>
      <w:r w:rsidRPr="0FB2F569" w:rsidR="0FB2F569">
        <w:rPr>
          <w:rFonts w:ascii="Calibri" w:hAnsi="Calibri" w:eastAsia="Calibri" w:cs="Calibri"/>
          <w:noProof w:val="0"/>
          <w:lang w:val="en-GB"/>
        </w:rPr>
        <w:t>Above the Waterline Culture</w:t>
      </w:r>
      <w:bookmarkEnd w:id="293576671"/>
    </w:p>
    <w:p w:rsidR="0FB2F569" w:rsidP="0FB2F569" w:rsidRDefault="0FB2F569" w14:paraId="384B9150" w14:textId="07C441AD">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Surface culture encompasses observable behaviours, management interactions, communication channels, administrative execution and explicit organisational structures that are immediately visible to employees, adhering to Edward T. Hall's Cultural Iceberg Model (1976). At CTC, visible behaviour was characterised by intense micromanagement, strict reporting protocols and structural rigidity, deeply rooted in Taylor’s Scientific Management principles (1911), emphasising task standardisation, strict division of labour and close operational supervision. Management maintained continuous oversight of process mechanics, e-portfolio uploads, travel logs and progression metrics across YETI, iPEGs and Learning Assistant, creating a pervasive Surveillance Framework (Foucault, 1975). Foucault (1975) conceptualises social surveillance as an instrument of discipline where continuous observation forces individuals into self-monitoring compliance.</w:t>
      </w:r>
    </w:p>
    <w:p w:rsidR="0FB2F569" w:rsidP="0FB2F569" w:rsidRDefault="0FB2F569" w14:paraId="3C2396AD" w14:textId="65E38FC9">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Rigid adherence to administrative structure was consistently favoured over operational flexibility, leaving TOs with minimal discretion to adapt their schedules or methods, representing a classic archetype of Merton’s Bureaucratic Inertia Model (1940). Merton suggests that bureaucratic systems over-emphasise strict rule compliance, turning administrative rules into absolute ends rather than means to achieve quality outcomes. Communication followed a strict top-down model with unapproachable hierarchies, fitting Weber’s Rigid Hierarchy Model (1947), which dictates that organisational authority flows strictly through fixed chains of command. Error handling was distinctly punitive, guided by Skinner’s Punitive Discipline Model (1953), where behaviour is shaped through negative reinforcement and explicit sanctions. Mistakes in documentation or delayed learner signoffs were treated as individual performance failures requiring corrective escalation, generating significant anxiety around compliance auditing and illustrating Power’s Audit Anxiety Framework (1997). Power defines this phenomenon as a culture where workers become preoccupied with satisfying external audit trails rather than delivering genuine service quality.</w:t>
      </w:r>
    </w:p>
    <w:p w:rsidR="0FB2F569" w:rsidP="0FB2F569" w:rsidRDefault="0FB2F569" w14:paraId="18C0954F" w14:textId="4994C7A3">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At Swanton Care, visible behaviour presents a striking contrast through approachable, open-door leadership, embodying Greenleaf’s Servant Leadership Theory (2017). Greenleaf states that servant leadership "begins with the natural feeling that one wants to serve, to serve first," ensuring that "other people's highest priority needs are being served" (2017). Swanton Care managers work actively alongside support staff on residential floors, maintaining open communication channels where staff feel comfortable seeking guidance, voicing concerns and discussing challenges, operating under Mayo’s Human Relations Theory (1933). Mayo’s work demonstrates that social interaction, managerial empathy and employee recognition drive workplace morale and performance far more effectively than rigid structural controls.</w:t>
      </w:r>
    </w:p>
    <w:p w:rsidR="0FB2F569" w:rsidP="0FB2F569" w:rsidRDefault="0FB2F569" w14:paraId="0235B14C" w14:textId="0F8B3F61">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Error management at Swanton Care is reflective and developmental rather than punitive, operationalising Kolb’s Experiential Learning Cycle (2015) and Schön’s Reflective Practitioner Framework (1983). Schön defines reflective practice as the capacity to engage in "reflection-in-action" during live events and "reflection-on-action" post-event to reconstruct practice. When a process oversight or shift error occurs, managers engage employees with two constructive questions: what went wrong in the execution of the process and what can be learned from the experience to enhance practice moving forward.</w:t>
      </w:r>
    </w:p>
    <w:p w:rsidR="0FB2F569" w:rsidP="0FB2F569" w:rsidRDefault="0FB2F569" w14:paraId="1E4F482E" w14:textId="74A8A12E">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Technology usage at Swanton Care is similarly streamlined, staff use dedicated company work phones hosting Access Care Planning to manage individualised support routines and log ad-hoc activities, fulfilling Davis’s Technology Acceptance Model (1989). Davis states that system adoption is dictated by perceived usefulness and perceived ease of use. This ease reduces strain and allows staff to spend significantly more time engaging directly with residents.</w:t>
      </w:r>
    </w:p>
    <w:p w:rsidR="03BA40D7" w:rsidP="2974C4AC" w:rsidRDefault="03BA40D7" w14:paraId="5C7A7C5F" w14:textId="000CC8BD">
      <w:pPr>
        <w:pStyle w:val="Heading3"/>
        <w:suppressLineNumbers w:val="0"/>
        <w:bidi w:val="0"/>
        <w:spacing w:before="0" w:beforeAutospacing="off" w:after="0" w:afterAutospacing="off" w:line="360" w:lineRule="auto"/>
        <w:ind w:left="0" w:right="0" w:firstLine="0"/>
        <w:jc w:val="both"/>
        <w:rPr>
          <w:rFonts w:ascii="Calibri" w:hAnsi="Calibri" w:eastAsia="Calibri" w:cs="Calibri"/>
          <w:noProof w:val="0"/>
          <w:lang w:val="en-GB"/>
        </w:rPr>
      </w:pPr>
      <w:bookmarkStart w:name="_Toc687759746" w:id="1785853268"/>
      <w:r w:rsidRPr="0FB2F569" w:rsidR="0FB2F569">
        <w:rPr>
          <w:rFonts w:ascii="Calibri" w:hAnsi="Calibri" w:eastAsia="Calibri" w:cs="Calibri"/>
          <w:noProof w:val="0"/>
          <w:lang w:val="en-GB"/>
        </w:rPr>
        <w:t>3.2</w:t>
      </w:r>
      <w:r w:rsidRPr="0FB2F569" w:rsidR="0FB2F569">
        <w:rPr>
          <w:rFonts w:ascii="Calibri" w:hAnsi="Calibri" w:eastAsia="Calibri" w:cs="Calibri"/>
          <w:noProof w:val="0"/>
          <w:lang w:val="en-GB"/>
        </w:rPr>
        <w:t xml:space="preserve"> </w:t>
      </w:r>
      <w:r w:rsidRPr="0FB2F569" w:rsidR="0FB2F569">
        <w:rPr>
          <w:rFonts w:ascii="Calibri" w:hAnsi="Calibri" w:eastAsia="Calibri" w:cs="Calibri"/>
          <w:noProof w:val="0"/>
          <w:lang w:val="en-GB"/>
        </w:rPr>
        <w:t>Below the Waterline Culture</w:t>
      </w:r>
      <w:bookmarkEnd w:id="1785853268"/>
    </w:p>
    <w:p w:rsidR="0FB2F569" w:rsidP="0FB2F569" w:rsidRDefault="0FB2F569" w14:paraId="276F6D78" w14:textId="610FD020">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Below the waterline lie the invisible, subconscious drivers of organisational behaviour: core values, assumptions regarding human motivation, implicit social norms and foundational leadership philosophies, as defined by Hall’s Deep Culture Theory (1976) and Schein’s Organisational Culture Framework (2010). Schein conceptualises culture as a pattern of shared basic assumptions learned by a group that has worked well enough to be considered valid and taught to new members as the correct way to perceive and feel.</w:t>
      </w:r>
    </w:p>
    <w:p w:rsidR="0FB2F569" w:rsidP="0FB2F569" w:rsidRDefault="0FB2F569" w14:paraId="276016BB" w14:textId="3876C10B">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At CTC, deep culture was anchored in McGregor’s X Y Theory (1960), which assumes the average human being "has an inherent dislike of work and will avoid it if he can" (McGregor, 1960). This mindset creates an environment requiring continuous surveillance, targets and strict controls to achieve organisational objectives. The underlying value system prioritised corporate contract compliance, financial security and target delivery over employee well-being or job satisfaction, aligning with Hofstede’s Cultural Dimensions Theory (1980). Specifically high masculinity and high uncertainty avoidance dimensions where performance metrics and task completion outweigh relational well-being. This created an environment where employees felt valued primarily for their numerical outputs rather than their professional expertise or dedication.</w:t>
      </w:r>
    </w:p>
    <w:p w:rsidR="0FB2F569" w:rsidP="0FB2F569" w:rsidRDefault="0FB2F569" w14:paraId="0ABF3C28" w14:textId="56322CBA">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In contrast, Swanton Care’s deep culture is built on McGregor’s Theory Y, which assumes that employees "will exercise self-direction and self-control in the service of objectives to which he is committed" (1960). In defining the organisational climate necessary for open communication, Edmondson (1999) conceptualises team psychological safety as noted by Edmonson, a "shared belief held by members of a team that the team is safe for interpersonal risk taking" (1999). Within Swanton Care, establishing this environment enables SWs to log daily routines, report errors and record near-misses on Access Care Planning without fearing punitive retribution.</w:t>
      </w:r>
    </w:p>
    <w:p w:rsidR="0FB2F569" w:rsidP="0FB2F569" w:rsidRDefault="0FB2F569" w14:paraId="7F3D2D2F" w14:textId="3DD6E070">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 xml:space="preserve">The core values centre on human dignity, psychological safety, individual empowerment, mutual </w:t>
      </w:r>
      <w:r w:rsidRPr="0FB2F569" w:rsidR="0FB2F569">
        <w:rPr>
          <w:rFonts w:ascii="Calibri" w:hAnsi="Calibri" w:eastAsia="Calibri" w:cs="Calibri"/>
          <w:noProof w:val="0"/>
          <w:color w:val="000000" w:themeColor="text1" w:themeTint="FF" w:themeShade="FF"/>
          <w:sz w:val="24"/>
          <w:szCs w:val="24"/>
          <w:lang w:val="en-GB"/>
        </w:rPr>
        <w:t>respect</w:t>
      </w:r>
      <w:r w:rsidRPr="0FB2F569" w:rsidR="0FB2F569">
        <w:rPr>
          <w:rFonts w:ascii="Calibri" w:hAnsi="Calibri" w:eastAsia="Calibri" w:cs="Calibri"/>
          <w:noProof w:val="0"/>
          <w:color w:val="000000" w:themeColor="text1" w:themeTint="FF" w:themeShade="FF"/>
          <w:sz w:val="24"/>
          <w:szCs w:val="24"/>
          <w:lang w:val="en-GB"/>
        </w:rPr>
        <w:t xml:space="preserve"> and continuous learning. Leadership is viewed as a supportive, enabling function designed to empower frontline workers rather than a policing mechanism. This embodies Bass’s (1985) Transformational Leadership Theory. Bass asserts that transformational leaders inspire followers by appealing to higher moral ideals and values, fostering intellectual stimulation and individual consideration. Below the waterline, Swanton Care </w:t>
      </w:r>
      <w:r w:rsidRPr="0FB2F569" w:rsidR="0FB2F569">
        <w:rPr>
          <w:rFonts w:ascii="Calibri" w:hAnsi="Calibri" w:eastAsia="Calibri" w:cs="Calibri"/>
          <w:noProof w:val="0"/>
          <w:color w:val="000000" w:themeColor="text1" w:themeTint="FF" w:themeShade="FF"/>
          <w:sz w:val="24"/>
          <w:szCs w:val="24"/>
          <w:lang w:val="en-GB"/>
        </w:rPr>
        <w:t>operates</w:t>
      </w:r>
      <w:r w:rsidRPr="0FB2F569" w:rsidR="0FB2F569">
        <w:rPr>
          <w:rFonts w:ascii="Calibri" w:hAnsi="Calibri" w:eastAsia="Calibri" w:cs="Calibri"/>
          <w:noProof w:val="0"/>
          <w:color w:val="000000" w:themeColor="text1" w:themeTint="FF" w:themeShade="FF"/>
          <w:sz w:val="24"/>
          <w:szCs w:val="24"/>
          <w:lang w:val="en-GB"/>
        </w:rPr>
        <w:t xml:space="preserve"> on the foundational assumption that excellence, service quality, and regulatory compliance are natural outcomes of a well-supported, psychologically safe and valued care team.</w:t>
      </w:r>
    </w:p>
    <w:p w:rsidR="4F69EEF0" w:rsidP="5EC73FA6" w:rsidRDefault="4F69EEF0" w14:paraId="1F457B62" w14:textId="632197FF">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29954278" w:id="1908770312"/>
      <w:r w:rsidRPr="0FB2F569" w:rsidR="0FB2F569">
        <w:rPr>
          <w:rFonts w:ascii="Calibri" w:hAnsi="Calibri" w:eastAsia="Calibri" w:cs="Calibri"/>
          <w:noProof w:val="0"/>
          <w:lang w:val="en-GB"/>
        </w:rPr>
        <w:t>3.3</w:t>
      </w:r>
      <w:r w:rsidRPr="0FB2F569" w:rsidR="0FB2F569">
        <w:rPr>
          <w:rFonts w:ascii="Calibri" w:hAnsi="Calibri" w:eastAsia="Calibri" w:cs="Calibri"/>
          <w:noProof w:val="0"/>
          <w:lang w:val="en-GB"/>
        </w:rPr>
        <w:t xml:space="preserve"> </w:t>
      </w:r>
      <w:r w:rsidRPr="0FB2F569" w:rsidR="0FB2F569">
        <w:rPr>
          <w:rFonts w:ascii="Calibri" w:hAnsi="Calibri" w:eastAsia="Calibri" w:cs="Calibri"/>
          <w:noProof w:val="0"/>
          <w:lang w:val="en-GB"/>
        </w:rPr>
        <w:t>Synthesis and Leadership Models</w:t>
      </w:r>
      <w:bookmarkEnd w:id="1908770312"/>
    </w:p>
    <w:p w:rsidR="0FB2F569" w:rsidP="0FB2F569" w:rsidRDefault="0FB2F569" w14:paraId="2B394B5D" w14:textId="127A636A">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Synthesising these cultural dimensions reinforces how the shift from CTC to Swanton Care represents a complete realignment of management paradigm, operational psychology and team engagement. Surface management transitions from micromanagement and rigid hierarchy to open-door servant leadership. Error handling moves from punitive, fault-finding escalation to reflective inquiry and developmental coaching (Schön, 1983; Kolb, 2015). Psychological safety rises from a climate of audit anxiety and silence to an open dialogue where failure is treated as a learning opportunity (Edmondson, 1999; Power, 1997). Motivation assumptions evolve from Theory X external compliance to Theory Y intrinsic care and empowerment. Change adoption moves from top-down structural mandates to multi-lever engagement at the tipping point (Shapiro, 2010; Gladwell, 2001). Resistance management expands from authority enforcement targeting basic understanding to addressing deeper emotional and relational resistance (Maurer, 1996). Finally, emotional transition management transitions from compliance tracking to actively guiding staff through emotional adaptation stages (Adams, Hayes &amp; Hopson, 1976).</w:t>
      </w:r>
    </w:p>
    <w:p w:rsidR="0FB2F569" w:rsidP="0FB2F569" w:rsidRDefault="0FB2F569" w14:paraId="25445D93" w14:textId="683CCFBB">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By implementing Shapiro’s (2010) 7 Levers of Change and Gladwell's Tipping Point Theory, which demonstrates how small, targeted interventions across key opinion leaders trigger rapid, self-sustaining cultural shifts. Leaders at Swanton Care mobilise key opinion leaders across residential homes, utilising informal networks to accelerate the adoption of new care practices and digital workflows. When team members experience anxiety during operational shifts or career transitions, managers apply Adams, Hayes and Hopson's (1976) Transitional Curve to navigate individuals through emotional adaptation stages, from shock and denial to integration, toward full acceptance.</w:t>
      </w:r>
    </w:p>
    <w:p w:rsidR="0FB2F569" w:rsidP="0FB2F569" w:rsidRDefault="0FB2F569" w14:paraId="4A052841" w14:textId="1D710DC4">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Furthermore, when encountering resistance to process changes, leaders diagnose issues using Maurer’s (1996) 3 Levels of Resistance, distinguishing between Level 1, Level 2 and Level 3 to tailor communication, build trust and maintain team cohesion. Through the structured application of Kotter’s (1996) 8-Step Change Model, establishing urgency, forming coalitions and anchoring change in culture and Lewin’s (1951) 3-Stage Unfreeze–Move–Refreeze Model, the former hospitality educator transitions into an Operational Manager at Swanton Care who is uniquely capable of balancing rigorous regulatory compliance with compassionate, person-centred frontline leadership.</w:t>
      </w:r>
    </w:p>
    <w:p w:rsidR="61C4D7E2" w:rsidP="5EC73FA6" w:rsidRDefault="61C4D7E2" w14:paraId="7ED4B8DA" w14:textId="53AA62FA">
      <w:pPr>
        <w:bidi w:val="0"/>
        <w:spacing w:after="100"/>
        <w:rPr>
          <w:rFonts w:ascii="Calibri" w:hAnsi="Calibri" w:eastAsia="Calibri" w:cs="Calibri"/>
          <w:noProof w:val="0"/>
          <w:lang w:val="en-GB"/>
        </w:rPr>
      </w:pPr>
      <w:r w:rsidRPr="7C4DA529">
        <w:rPr>
          <w:rFonts w:ascii="Calibri" w:hAnsi="Calibri" w:eastAsia="Calibri" w:cs="Calibri"/>
          <w:noProof w:val="0"/>
          <w:lang w:val="en-GB"/>
        </w:rPr>
        <w:br w:type="page"/>
      </w:r>
    </w:p>
    <w:p w:rsidR="61C4D7E2" w:rsidP="6C87C940" w:rsidRDefault="61C4D7E2" w14:paraId="600C1671" w14:textId="451CF161">
      <w:pPr>
        <w:pStyle w:val="Heading2"/>
        <w:tabs>
          <w:tab w:val="right" w:leader="dot" w:pos="9360"/>
        </w:tabs>
        <w:bidi w:val="0"/>
        <w:spacing w:before="0" w:beforeAutospacing="off" w:after="0" w:afterAutospacing="off"/>
        <w:ind w:left="0"/>
        <w:rPr>
          <w:rFonts w:ascii="Calibri" w:hAnsi="Calibri" w:eastAsia="Calibri" w:cs="Calibri"/>
          <w:noProof w:val="0"/>
          <w:lang w:val="en-GB"/>
        </w:rPr>
      </w:pPr>
      <w:bookmarkStart w:name="_Toc1635044255" w:id="1803714183"/>
      <w:r w:rsidRPr="0FB2F569" w:rsidR="0FB2F569">
        <w:rPr>
          <w:rFonts w:ascii="Calibri" w:hAnsi="Calibri" w:eastAsia="Calibri" w:cs="Calibri"/>
          <w:noProof w:val="0"/>
          <w:lang w:val="en-GB"/>
        </w:rPr>
        <w:t>4.0</w:t>
      </w:r>
      <w:r w:rsidRPr="0FB2F569" w:rsidR="0FB2F569">
        <w:rPr>
          <w:rFonts w:ascii="Calibri" w:hAnsi="Calibri" w:eastAsia="Calibri" w:cs="Calibri"/>
          <w:noProof w:val="0"/>
          <w:lang w:val="en-GB"/>
        </w:rPr>
        <w:t xml:space="preserve"> </w:t>
      </w:r>
      <w:r w:rsidRPr="0FB2F569" w:rsidR="0FB2F569">
        <w:rPr>
          <w:rFonts w:ascii="Calibri" w:hAnsi="Calibri" w:eastAsia="Calibri" w:cs="Calibri"/>
          <w:noProof w:val="0"/>
          <w:lang w:val="en-GB"/>
        </w:rPr>
        <w:t>Operational Leadership, Safeguarding and Human Transitions</w:t>
      </w:r>
      <w:bookmarkEnd w:id="1803714183"/>
    </w:p>
    <w:p w:rsidR="54C04192" w:rsidP="5EC73FA6" w:rsidRDefault="54C04192" w14:paraId="20737FD7" w14:textId="0E6AEFDE">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1504475039" w:id="820357478"/>
      <w:r w:rsidRPr="0FB2F569" w:rsidR="0FB2F569">
        <w:rPr>
          <w:rFonts w:ascii="Calibri" w:hAnsi="Calibri" w:eastAsia="Calibri" w:cs="Calibri"/>
          <w:noProof w:val="0"/>
          <w:lang w:val="en-GB"/>
        </w:rPr>
        <w:t>4.1</w:t>
      </w:r>
      <w:r w:rsidRPr="0FB2F569" w:rsidR="0FB2F569">
        <w:rPr>
          <w:rFonts w:ascii="Calibri" w:hAnsi="Calibri" w:eastAsia="Calibri" w:cs="Calibri"/>
          <w:noProof w:val="0"/>
          <w:lang w:val="en-GB"/>
        </w:rPr>
        <w:t xml:space="preserve"> </w:t>
      </w:r>
      <w:r w:rsidRPr="0FB2F569" w:rsidR="0FB2F569">
        <w:rPr>
          <w:rFonts w:ascii="Calibri" w:hAnsi="Calibri" w:eastAsia="Calibri" w:cs="Calibri"/>
          <w:noProof w:val="0"/>
          <w:lang w:val="en-GB"/>
        </w:rPr>
        <w:t>Leading Frontline Teams and Managing Safeguarding Escalations</w:t>
      </w:r>
      <w:bookmarkEnd w:id="820357478"/>
    </w:p>
    <w:p w:rsidR="0FB2F569" w:rsidP="0FB2F569" w:rsidRDefault="0FB2F569" w14:paraId="7C96CD8B" w14:textId="329791E4">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Transitioning into operational management at Swanton Care demands a synthesis of leadership theory, legal literacy and active emotional intelligence. Social Care operates under conditions of inherent vulnerability, complex behavioural needs and high administrative compliance. Grounding practice in Bass’s Transformational Leadership Model (1985), an operational manager inspires teams by aligning daily duties with individual human dignity, empowerment and rights-based practice. Rather than enforcing compliance through transactional reward-and-punishment mechanisms, transformational leadership fosters intellectual stimulation and individualised consideration. This ensures support workers understand not only what task to complete on Access Care Planning via their handheld devices, but why recording tailored routines and ad-hoc activities protects resident safety and promotes personhood.</w:t>
      </w:r>
    </w:p>
    <w:p w:rsidR="0FB2F569" w:rsidP="0FB2F569" w:rsidRDefault="0FB2F569" w14:paraId="2BE8A5EB" w14:textId="6D060809">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Operational leadership during critical incidents can be examined through a safeguarding escalation and DoLS review within a Swanton Care residential service. One example is during a weekend shift transition; a SW is dealing with a non-verbal resident with complex autism exhibits subtle behavioural distress and minor physical bruising. Under a traditional management such as the operational environment experienced at CTC, a TO might hesitate to report ambiguous indicators for fear of administrative reprisal, delayed paperwork processing or personal blame, reflecting Power's Audit Anxiety Framework (1997). However, under Swanton Care’s open-door leadership model built on Edmondson’s Psychological Safety Framework (1999), the SW immediately alerts the Operational Manager without hesitation.</w:t>
      </w:r>
    </w:p>
    <w:p w:rsidR="0FB2F569" w:rsidP="0FB2F569" w:rsidRDefault="0FB2F569" w14:paraId="5CA366F7" w14:textId="060F301C">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The manager initiates an immediate, structured safeguarding protocol mandated by the Social Services and Well-being (Wales) Act 2014 and Care Inspectorate Wales governance standards. Operational leadership during this critical window requires balancing immediate physical safety with team stabilisation, drawing upon Weick and Sutcliffe’s High-Reliability Organisation Framework (2015). The manager secures the immediate safety of the resident, arranges an urgent medical evaluation and logs the incident digitally via Access Care Planning. Simultaneously, the manager files a formal safeguarding notification to the Local Authority Duty Safeguarding Team and Care Inspectorate Wales, immediately applying Donoghue &amp; Stevenson’s Statutory Duty of Care Framework (1932). Concurrently, evaluating the resident's care plan under the Mental Capacity Act 2005 reveals that recent environmental modifications intended to prevent falls, inadvertently restricted freedom of movement without authorisation. The manager immediately convenes a multi-agency review involving social workers, Independent Mental Capacity Advocates and family representatives to submit an urgent DoLS application.</w:t>
      </w:r>
    </w:p>
    <w:p w:rsidR="0FB2F569" w:rsidP="0FB2F569" w:rsidRDefault="0FB2F569" w14:paraId="0A39F159" w14:textId="36A0970A">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In the aftermath of the crisis, the manager leads a debriefing session with the team, utilising Schön’s Reflective Practitioner Framework (1983) and Kolb’s Experiential Learning Cycle (1984). Rather than assigning individual fault, the manager explores what factors allowed the restriction to occur without sign-off and what learning improvements can be embedded into Access Care Planning routines to prevent recurrence. By transforming a high-stress incident into a collaborative learning experience, the manager reinforces psychological safety and solidifies a Theory Y operational culture.</w:t>
      </w:r>
    </w:p>
    <w:p w:rsidR="47D6DE40" w:rsidP="5EC73FA6" w:rsidRDefault="47D6DE40" w14:paraId="10FF18CE" w14:textId="725FDDCC">
      <w:pPr>
        <w:pStyle w:val="Heading3"/>
        <w:tabs>
          <w:tab w:val="right" w:leader="dot" w:pos="9360"/>
        </w:tabs>
        <w:bidi w:val="0"/>
        <w:spacing w:before="0" w:beforeAutospacing="off" w:after="0" w:afterAutospacing="off" w:line="360" w:lineRule="auto"/>
        <w:ind/>
        <w:rPr>
          <w:rFonts w:ascii="Calibri" w:hAnsi="Calibri" w:eastAsia="Calibri" w:cs="Calibri"/>
          <w:noProof w:val="0"/>
          <w:lang w:val="en-GB"/>
        </w:rPr>
      </w:pPr>
      <w:bookmarkStart w:name="_Toc660108830" w:id="1139764813"/>
      <w:r w:rsidRPr="0FB2F569" w:rsidR="0FB2F569">
        <w:rPr>
          <w:rFonts w:ascii="Calibri" w:hAnsi="Calibri" w:eastAsia="Calibri" w:cs="Calibri"/>
          <w:noProof w:val="0"/>
          <w:lang w:val="en-GB"/>
        </w:rPr>
        <w:t>4.2</w:t>
      </w:r>
      <w:r w:rsidRPr="0FB2F569" w:rsidR="0FB2F569">
        <w:rPr>
          <w:rFonts w:ascii="Calibri" w:hAnsi="Calibri" w:eastAsia="Calibri" w:cs="Calibri"/>
          <w:noProof w:val="0"/>
          <w:lang w:val="en-GB"/>
        </w:rPr>
        <w:t xml:space="preserve"> </w:t>
      </w:r>
      <w:r w:rsidRPr="0FB2F569" w:rsidR="0FB2F569">
        <w:rPr>
          <w:rFonts w:ascii="Calibri" w:hAnsi="Calibri" w:eastAsia="Calibri" w:cs="Calibri"/>
          <w:noProof w:val="0"/>
          <w:lang w:val="en-GB"/>
        </w:rPr>
        <w:t>Managing Human Transitions and Organisational Change</w:t>
      </w:r>
      <w:bookmarkEnd w:id="1139764813"/>
    </w:p>
    <w:p w:rsidR="0FB2F569" w:rsidP="0FB2F569" w:rsidRDefault="0FB2F569" w14:paraId="26403D89" w14:textId="1ADDBEC5">
      <w:pPr>
        <w:pStyle w:val="Normal"/>
        <w:bidi w:val="0"/>
        <w:spacing w:before="0" w:beforeAutospacing="off" w:after="0" w:afterAutospacing="off" w:line="360" w:lineRule="auto"/>
        <w:ind w:firstLine="720"/>
        <w:jc w:val="both"/>
        <w:rPr>
          <w:rFonts w:ascii="Calibri" w:hAnsi="Calibri" w:eastAsia="Calibri" w:cs="Calibri"/>
          <w:b w:val="0"/>
          <w:bCs w:val="0"/>
          <w:noProof w:val="0"/>
          <w:color w:val="000000" w:themeColor="text1" w:themeTint="FF" w:themeShade="FF"/>
          <w:sz w:val="24"/>
          <w:szCs w:val="24"/>
          <w:lang w:val="en-GB"/>
        </w:rPr>
      </w:pPr>
      <w:r w:rsidRPr="0FB2F569" w:rsidR="0FB2F569">
        <w:rPr>
          <w:rFonts w:ascii="Calibri" w:hAnsi="Calibri" w:eastAsia="Calibri" w:cs="Calibri"/>
          <w:b w:val="0"/>
          <w:bCs w:val="0"/>
          <w:noProof w:val="0"/>
          <w:color w:val="000000" w:themeColor="text1" w:themeTint="FF" w:themeShade="FF"/>
          <w:sz w:val="24"/>
          <w:szCs w:val="24"/>
          <w:lang w:val="en-GB"/>
        </w:rPr>
        <w:t xml:space="preserve">Executing organisational change within social care requires managing technical mechanics and psychological transitions. When Swanton Care introduced handheld digital mobile devices to replace paper care logs, the change represented an operational shift designed to enhance compliance and track ad-hoc activities. However, even beneficial organisational changes trigger resistance if employees feel their routines are threatened. To evaluate how leadership navigates this operational transition, </w:t>
      </w:r>
      <w:r w:rsidRPr="0FB2F569" w:rsidR="0FB2F569">
        <w:rPr>
          <w:rFonts w:ascii="Calibri" w:hAnsi="Calibri" w:eastAsia="Calibri" w:cs="Calibri"/>
          <w:b w:val="0"/>
          <w:bCs w:val="0"/>
          <w:noProof w:val="0"/>
          <w:color w:val="000000" w:themeColor="text1" w:themeTint="FF" w:themeShade="FF"/>
          <w:sz w:val="24"/>
          <w:szCs w:val="24"/>
          <w:lang w:val="en-GB"/>
        </w:rPr>
        <w:t>Kurt Lewin’s (1947, 1951) 3-Stage Model (Unfreeze–Move–Refreeze)</w:t>
      </w:r>
      <w:r w:rsidRPr="0FB2F569" w:rsidR="0FB2F569">
        <w:rPr>
          <w:rFonts w:ascii="Calibri" w:hAnsi="Calibri" w:eastAsia="Calibri" w:cs="Calibri"/>
          <w:b w:val="0"/>
          <w:bCs w:val="0"/>
          <w:noProof w:val="0"/>
          <w:color w:val="000000" w:themeColor="text1" w:themeTint="FF" w:themeShade="FF"/>
          <w:sz w:val="24"/>
          <w:szCs w:val="24"/>
          <w:lang w:val="en-GB"/>
        </w:rPr>
        <w:t xml:space="preserve"> and </w:t>
      </w:r>
      <w:r w:rsidRPr="0FB2F569" w:rsidR="0FB2F569">
        <w:rPr>
          <w:rFonts w:ascii="Calibri" w:hAnsi="Calibri" w:eastAsia="Calibri" w:cs="Calibri"/>
          <w:b w:val="0"/>
          <w:bCs w:val="0"/>
          <w:noProof w:val="0"/>
          <w:color w:val="000000" w:themeColor="text1" w:themeTint="FF" w:themeShade="FF"/>
          <w:sz w:val="24"/>
          <w:szCs w:val="24"/>
          <w:lang w:val="en-GB"/>
        </w:rPr>
        <w:t>John Kotter’s (1996) 8-Step Change Model</w:t>
      </w:r>
      <w:r w:rsidRPr="0FB2F569" w:rsidR="0FB2F569">
        <w:rPr>
          <w:rFonts w:ascii="Calibri" w:hAnsi="Calibri" w:eastAsia="Calibri" w:cs="Calibri"/>
          <w:b w:val="0"/>
          <w:bCs w:val="0"/>
          <w:noProof w:val="0"/>
          <w:color w:val="000000" w:themeColor="text1" w:themeTint="FF" w:themeShade="FF"/>
          <w:sz w:val="24"/>
          <w:szCs w:val="24"/>
          <w:lang w:val="en-GB"/>
        </w:rPr>
        <w:t xml:space="preserve"> are directly applied to the implementation of the Access Care Planning app.</w:t>
      </w:r>
    </w:p>
    <w:p w:rsidR="0FB2F569" w:rsidP="0FB2F569" w:rsidRDefault="0FB2F569" w14:paraId="147FE828" w14:textId="56230B62">
      <w:pPr>
        <w:pStyle w:val="Normal"/>
        <w:bidi w:val="0"/>
        <w:spacing w:before="0" w:beforeAutospacing="off" w:after="0" w:afterAutospacing="off" w:line="360" w:lineRule="auto"/>
        <w:ind w:firstLine="720"/>
        <w:jc w:val="both"/>
        <w:rPr>
          <w:rFonts w:ascii="Calibri" w:hAnsi="Calibri" w:eastAsia="Calibri" w:cs="Calibri"/>
          <w:b w:val="0"/>
          <w:bCs w:val="0"/>
          <w:i w:val="0"/>
          <w:iCs w:val="0"/>
          <w:noProof w:val="0"/>
          <w:color w:val="000000" w:themeColor="text1" w:themeTint="FF" w:themeShade="FF"/>
          <w:sz w:val="24"/>
          <w:szCs w:val="24"/>
          <w:lang w:val="en-GB"/>
        </w:rPr>
      </w:pPr>
      <w:r w:rsidRPr="0FB2F569" w:rsidR="0FB2F569">
        <w:rPr>
          <w:rFonts w:ascii="Calibri" w:hAnsi="Calibri" w:eastAsia="Calibri" w:cs="Calibri"/>
          <w:b w:val="0"/>
          <w:bCs w:val="0"/>
          <w:i w:val="0"/>
          <w:iCs w:val="0"/>
          <w:noProof w:val="0"/>
          <w:color w:val="000000" w:themeColor="text1" w:themeTint="FF" w:themeShade="FF"/>
          <w:sz w:val="24"/>
          <w:szCs w:val="24"/>
          <w:lang w:val="en-GB"/>
        </w:rPr>
        <w:t>In the first stage (</w:t>
      </w:r>
      <w:r w:rsidRPr="0FB2F569" w:rsidR="0FB2F569">
        <w:rPr>
          <w:rFonts w:ascii="Calibri" w:hAnsi="Calibri" w:eastAsia="Calibri" w:cs="Calibri"/>
          <w:b w:val="0"/>
          <w:bCs w:val="0"/>
          <w:i w:val="0"/>
          <w:iCs w:val="0"/>
          <w:noProof w:val="0"/>
          <w:color w:val="000000" w:themeColor="text1" w:themeTint="FF" w:themeShade="FF"/>
          <w:sz w:val="24"/>
          <w:szCs w:val="24"/>
          <w:lang w:val="en-GB"/>
        </w:rPr>
        <w:t>Unfreeze</w:t>
      </w:r>
      <w:r w:rsidRPr="0FB2F569" w:rsidR="0FB2F569">
        <w:rPr>
          <w:rFonts w:ascii="Calibri" w:hAnsi="Calibri" w:eastAsia="Calibri" w:cs="Calibri"/>
          <w:b w:val="0"/>
          <w:bCs w:val="0"/>
          <w:i w:val="0"/>
          <w:iCs w:val="0"/>
          <w:noProof w:val="0"/>
          <w:color w:val="000000" w:themeColor="text1" w:themeTint="FF" w:themeShade="FF"/>
          <w:sz w:val="24"/>
          <w:szCs w:val="24"/>
          <w:lang w:val="en-GB"/>
        </w:rPr>
        <w:t xml:space="preserve">), managers dismantle old habits by establishing urgency around the inefficiencies of paper documentation, addressing the psychological discomfort identified by </w:t>
      </w:r>
      <w:r w:rsidRPr="0FB2F569" w:rsidR="0FB2F569">
        <w:rPr>
          <w:rFonts w:ascii="Calibri" w:hAnsi="Calibri" w:eastAsia="Calibri" w:cs="Calibri"/>
          <w:b w:val="0"/>
          <w:bCs w:val="0"/>
          <w:i w:val="0"/>
          <w:iCs w:val="0"/>
          <w:noProof w:val="0"/>
          <w:color w:val="000000" w:themeColor="text1" w:themeTint="FF" w:themeShade="FF"/>
          <w:sz w:val="24"/>
          <w:szCs w:val="24"/>
          <w:lang w:val="en-GB"/>
        </w:rPr>
        <w:t>William Bridges (1991)</w:t>
      </w:r>
      <w:r w:rsidRPr="0FB2F569" w:rsidR="0FB2F569">
        <w:rPr>
          <w:rFonts w:ascii="Calibri" w:hAnsi="Calibri" w:eastAsia="Calibri" w:cs="Calibri"/>
          <w:b w:val="0"/>
          <w:bCs w:val="0"/>
          <w:i w:val="0"/>
          <w:iCs w:val="0"/>
          <w:noProof w:val="0"/>
          <w:color w:val="000000" w:themeColor="text1" w:themeTint="FF" w:themeShade="FF"/>
          <w:sz w:val="24"/>
          <w:szCs w:val="24"/>
          <w:lang w:val="en-GB"/>
        </w:rPr>
        <w:t xml:space="preserve"> where </w:t>
      </w:r>
      <w:r w:rsidRPr="0FB2F569" w:rsidR="0FB2F569">
        <w:rPr>
          <w:rFonts w:ascii="Calibri" w:hAnsi="Calibri" w:eastAsia="Calibri" w:cs="Calibri"/>
          <w:b w:val="0"/>
          <w:bCs w:val="0"/>
          <w:i w:val="0"/>
          <w:iCs w:val="0"/>
          <w:noProof w:val="0"/>
          <w:color w:val="000000" w:themeColor="text1" w:themeTint="FF" w:themeShade="FF"/>
          <w:sz w:val="24"/>
          <w:szCs w:val="24"/>
          <w:lang w:val="en-GB"/>
        </w:rPr>
        <w:t>"change is situational... transition is the psychological process"</w:t>
      </w:r>
      <w:r w:rsidRPr="0FB2F569" w:rsidR="0FB2F569">
        <w:rPr>
          <w:rFonts w:ascii="Calibri" w:hAnsi="Calibri" w:eastAsia="Calibri" w:cs="Calibri"/>
          <w:b w:val="0"/>
          <w:bCs w:val="0"/>
          <w:i w:val="0"/>
          <w:iCs w:val="0"/>
          <w:noProof w:val="0"/>
          <w:color w:val="000000" w:themeColor="text1" w:themeTint="FF" w:themeShade="FF"/>
          <w:sz w:val="24"/>
          <w:szCs w:val="24"/>
          <w:lang w:val="en-GB"/>
        </w:rPr>
        <w:t xml:space="preserve">. Moving into the </w:t>
      </w:r>
      <w:r w:rsidRPr="0FB2F569" w:rsidR="0FB2F569">
        <w:rPr>
          <w:rFonts w:ascii="Calibri" w:hAnsi="Calibri" w:eastAsia="Calibri" w:cs="Calibri"/>
          <w:b w:val="0"/>
          <w:bCs w:val="0"/>
          <w:i w:val="0"/>
          <w:iCs w:val="0"/>
          <w:noProof w:val="0"/>
          <w:color w:val="000000" w:themeColor="text1" w:themeTint="FF" w:themeShade="FF"/>
          <w:sz w:val="24"/>
          <w:szCs w:val="24"/>
          <w:lang w:val="en-GB"/>
        </w:rPr>
        <w:t>Move</w:t>
      </w:r>
      <w:r w:rsidRPr="0FB2F569" w:rsidR="0FB2F569">
        <w:rPr>
          <w:rFonts w:ascii="Calibri" w:hAnsi="Calibri" w:eastAsia="Calibri" w:cs="Calibri"/>
          <w:b w:val="0"/>
          <w:bCs w:val="0"/>
          <w:i w:val="0"/>
          <w:iCs w:val="0"/>
          <w:noProof w:val="0"/>
          <w:color w:val="000000" w:themeColor="text1" w:themeTint="FF" w:themeShade="FF"/>
          <w:sz w:val="24"/>
          <w:szCs w:val="24"/>
          <w:lang w:val="en-GB"/>
        </w:rPr>
        <w:t xml:space="preserve"> stage, leadership implements </w:t>
      </w:r>
      <w:r w:rsidRPr="0FB2F569" w:rsidR="0FB2F569">
        <w:rPr>
          <w:rFonts w:ascii="Calibri" w:hAnsi="Calibri" w:eastAsia="Calibri" w:cs="Calibri"/>
          <w:b w:val="0"/>
          <w:bCs w:val="0"/>
          <w:i w:val="0"/>
          <w:iCs w:val="0"/>
          <w:noProof w:val="0"/>
          <w:color w:val="000000" w:themeColor="text1" w:themeTint="FF" w:themeShade="FF"/>
          <w:sz w:val="24"/>
          <w:szCs w:val="24"/>
          <w:lang w:val="en-GB"/>
        </w:rPr>
        <w:t>Kotter’s (1996)</w:t>
      </w:r>
      <w:r w:rsidRPr="0FB2F569" w:rsidR="0FB2F569">
        <w:rPr>
          <w:rFonts w:ascii="Calibri" w:hAnsi="Calibri" w:eastAsia="Calibri" w:cs="Calibri"/>
          <w:b w:val="0"/>
          <w:bCs w:val="0"/>
          <w:i w:val="0"/>
          <w:iCs w:val="0"/>
          <w:noProof w:val="0"/>
          <w:color w:val="000000" w:themeColor="text1" w:themeTint="FF" w:themeShade="FF"/>
          <w:sz w:val="24"/>
          <w:szCs w:val="24"/>
          <w:lang w:val="en-GB"/>
        </w:rPr>
        <w:t xml:space="preserve"> steps by forming a coalition of experienced digital change champions—utilising </w:t>
      </w:r>
      <w:r w:rsidRPr="0FB2F569" w:rsidR="0FB2F569">
        <w:rPr>
          <w:rFonts w:ascii="Calibri" w:hAnsi="Calibri" w:eastAsia="Calibri" w:cs="Calibri"/>
          <w:b w:val="0"/>
          <w:bCs w:val="0"/>
          <w:i w:val="0"/>
          <w:iCs w:val="0"/>
          <w:noProof w:val="0"/>
          <w:color w:val="000000" w:themeColor="text1" w:themeTint="FF" w:themeShade="FF"/>
          <w:sz w:val="24"/>
          <w:szCs w:val="24"/>
          <w:lang w:val="en-GB"/>
        </w:rPr>
        <w:t>Shapiro’s (2010)</w:t>
      </w:r>
      <w:r w:rsidRPr="0FB2F569" w:rsidR="0FB2F569">
        <w:rPr>
          <w:rFonts w:ascii="Calibri" w:hAnsi="Calibri" w:eastAsia="Calibri" w:cs="Calibri"/>
          <w:b w:val="0"/>
          <w:bCs w:val="0"/>
          <w:i w:val="0"/>
          <w:iCs w:val="0"/>
          <w:noProof w:val="0"/>
          <w:color w:val="000000" w:themeColor="text1" w:themeTint="FF" w:themeShade="FF"/>
          <w:sz w:val="24"/>
          <w:szCs w:val="24"/>
          <w:lang w:val="en-GB"/>
        </w:rPr>
        <w:t xml:space="preserve"> 7 Levers and </w:t>
      </w:r>
      <w:r w:rsidRPr="0FB2F569" w:rsidR="0FB2F569">
        <w:rPr>
          <w:rFonts w:ascii="Calibri" w:hAnsi="Calibri" w:eastAsia="Calibri" w:cs="Calibri"/>
          <w:b w:val="0"/>
          <w:bCs w:val="0"/>
          <w:i w:val="0"/>
          <w:iCs w:val="0"/>
          <w:noProof w:val="0"/>
          <w:color w:val="000000" w:themeColor="text1" w:themeTint="FF" w:themeShade="FF"/>
          <w:sz w:val="24"/>
          <w:szCs w:val="24"/>
          <w:lang w:val="en-GB"/>
        </w:rPr>
        <w:t>Gladwell’s</w:t>
      </w:r>
      <w:r w:rsidRPr="0FB2F569" w:rsidR="0FB2F569">
        <w:rPr>
          <w:rFonts w:ascii="Calibri" w:hAnsi="Calibri" w:eastAsia="Calibri" w:cs="Calibri"/>
          <w:b w:val="0"/>
          <w:bCs w:val="0"/>
          <w:i w:val="0"/>
          <w:iCs w:val="0"/>
          <w:noProof w:val="0"/>
          <w:color w:val="000000" w:themeColor="text1" w:themeTint="FF" w:themeShade="FF"/>
          <w:sz w:val="24"/>
          <w:szCs w:val="24"/>
          <w:lang w:val="en-GB"/>
        </w:rPr>
        <w:t xml:space="preserve"> Tipping Point Theory—to guide staff through the Neutral Zone. Finally, during the </w:t>
      </w:r>
      <w:r w:rsidRPr="0FB2F569" w:rsidR="0FB2F569">
        <w:rPr>
          <w:rFonts w:ascii="Calibri" w:hAnsi="Calibri" w:eastAsia="Calibri" w:cs="Calibri"/>
          <w:b w:val="0"/>
          <w:bCs w:val="0"/>
          <w:i w:val="0"/>
          <w:iCs w:val="0"/>
          <w:noProof w:val="0"/>
          <w:color w:val="000000" w:themeColor="text1" w:themeTint="FF" w:themeShade="FF"/>
          <w:sz w:val="24"/>
          <w:szCs w:val="24"/>
          <w:lang w:val="en-GB"/>
        </w:rPr>
        <w:t>Refreeze</w:t>
      </w:r>
      <w:r w:rsidRPr="0FB2F569" w:rsidR="0FB2F569">
        <w:rPr>
          <w:rFonts w:ascii="Calibri" w:hAnsi="Calibri" w:eastAsia="Calibri" w:cs="Calibri"/>
          <w:b w:val="0"/>
          <w:bCs w:val="0"/>
          <w:i w:val="0"/>
          <w:iCs w:val="0"/>
          <w:noProof w:val="0"/>
          <w:color w:val="000000" w:themeColor="text1" w:themeTint="FF" w:themeShade="FF"/>
          <w:sz w:val="24"/>
          <w:szCs w:val="24"/>
          <w:lang w:val="en-GB"/>
        </w:rPr>
        <w:t xml:space="preserve"> stage, digital workflows are standardized into daily habits.</w:t>
      </w:r>
    </w:p>
    <w:p w:rsidR="0FB2F569" w:rsidP="0FB2F569" w:rsidRDefault="0FB2F569" w14:paraId="423F2059" w14:textId="14B3C1E3">
      <w:pPr>
        <w:pStyle w:val="Normal"/>
        <w:bidi w:val="0"/>
        <w:spacing w:before="0" w:beforeAutospacing="off" w:after="0" w:afterAutospacing="off" w:line="360" w:lineRule="auto"/>
        <w:ind w:firstLine="720"/>
        <w:jc w:val="both"/>
        <w:rPr>
          <w:rFonts w:ascii="Calibri" w:hAnsi="Calibri" w:eastAsia="Calibri" w:cs="Calibri"/>
          <w:b w:val="0"/>
          <w:bCs w:val="0"/>
          <w:noProof w:val="0"/>
          <w:color w:val="000000" w:themeColor="text1" w:themeTint="FF" w:themeShade="FF"/>
          <w:sz w:val="24"/>
          <w:szCs w:val="24"/>
          <w:lang w:val="en-GB"/>
        </w:rPr>
      </w:pPr>
      <w:r w:rsidRPr="0FB2F569" w:rsidR="0FB2F569">
        <w:rPr>
          <w:rFonts w:ascii="Calibri" w:hAnsi="Calibri" w:eastAsia="Calibri" w:cs="Calibri"/>
          <w:b w:val="0"/>
          <w:bCs w:val="0"/>
          <w:noProof w:val="0"/>
          <w:color w:val="000000" w:themeColor="text1" w:themeTint="FF" w:themeShade="FF"/>
          <w:sz w:val="24"/>
          <w:szCs w:val="24"/>
          <w:lang w:val="en-GB"/>
        </w:rPr>
        <w:t>Concurrently, leaders manage individual resistance using Maurer’s (1996) 3 Levels of Resistance Model: Level 1 cognitive resistance (I don't get it) is resolved through practical demonstrations; Level 2 emotional resistance (I don't like it) is managed through psychological safety; and Level 3 relational resistance (I don't like you), stemming from historical surveillance fears at CTC, is overcome through open-door leadership and absolute transparency.</w:t>
      </w:r>
    </w:p>
    <w:p w:rsidR="1555D24F" w:rsidP="7C4DA529" w:rsidRDefault="1555D24F" w14:paraId="3EE0F741" w14:textId="7A9979B4">
      <w:pPr>
        <w:pStyle w:val="Normal"/>
        <w:tabs>
          <w:tab w:val="right" w:leader="dot" w:pos="9360"/>
        </w:tabs>
        <w:bidi w:val="0"/>
        <w:rPr>
          <w:rFonts w:ascii="Calibri" w:hAnsi="Calibri" w:eastAsia="Calibri" w:cs="Calibri"/>
          <w:noProof w:val="0"/>
          <w:lang w:val="en-GB"/>
        </w:rPr>
      </w:pPr>
    </w:p>
    <w:p w:rsidR="5EF395E7" w:rsidP="5EF395E7" w:rsidRDefault="5EF395E7" w14:paraId="5D4707B6" w14:textId="315D2AA6">
      <w:pPr>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p>
    <w:p w:rsidR="61C4D7E2" w:rsidP="5EC73FA6" w:rsidRDefault="61C4D7E2" w14:paraId="0A8F340A" w14:textId="0F17DB4E">
      <w:pPr>
        <w:bidi w:val="0"/>
        <w:spacing w:after="100"/>
        <w:rPr>
          <w:rFonts w:ascii="Calibri" w:hAnsi="Calibri" w:eastAsia="Calibri" w:cs="Calibri"/>
          <w:noProof w:val="0"/>
          <w:lang w:val="en-GB"/>
        </w:rPr>
      </w:pPr>
      <w:r w:rsidRPr="7C4DA529">
        <w:rPr>
          <w:rFonts w:ascii="Calibri" w:hAnsi="Calibri" w:eastAsia="Calibri" w:cs="Calibri"/>
          <w:noProof w:val="0"/>
          <w:lang w:val="en-GB"/>
        </w:rPr>
        <w:br w:type="page"/>
      </w:r>
    </w:p>
    <w:p w:rsidR="66520AC0" w:rsidP="5588AF13" w:rsidRDefault="66520AC0" w14:paraId="2F815CDD" w14:textId="67E65A6C">
      <w:pPr>
        <w:pStyle w:val="Heading2"/>
        <w:tabs>
          <w:tab w:val="right" w:leader="dot" w:pos="9360"/>
        </w:tabs>
        <w:bidi w:val="0"/>
        <w:spacing w:before="0" w:beforeAutospacing="off" w:after="0" w:afterAutospacing="off"/>
        <w:ind w:left="0"/>
        <w:rPr>
          <w:rFonts w:ascii="Calibri" w:hAnsi="Calibri" w:eastAsia="Calibri" w:cs="Calibri"/>
          <w:noProof w:val="0"/>
          <w:lang w:val="en-GB"/>
        </w:rPr>
      </w:pPr>
      <w:bookmarkStart w:name="_Toc637768204" w:id="2141466402"/>
      <w:r w:rsidRPr="0FB2F569" w:rsidR="0FB2F569">
        <w:rPr>
          <w:rFonts w:ascii="Calibri" w:hAnsi="Calibri" w:eastAsia="Calibri" w:cs="Calibri"/>
          <w:noProof w:val="0"/>
          <w:lang w:val="en-GB"/>
        </w:rPr>
        <w:t>5.0</w:t>
      </w:r>
      <w:r w:rsidRPr="0FB2F569" w:rsidR="0FB2F569">
        <w:rPr>
          <w:rFonts w:ascii="Calibri" w:hAnsi="Calibri" w:eastAsia="Calibri" w:cs="Calibri"/>
          <w:noProof w:val="0"/>
          <w:lang w:val="en-GB"/>
        </w:rPr>
        <w:t xml:space="preserve"> </w:t>
      </w:r>
      <w:r w:rsidRPr="0FB2F569" w:rsidR="0FB2F569">
        <w:rPr>
          <w:rFonts w:ascii="Calibri" w:hAnsi="Calibri" w:eastAsia="Calibri" w:cs="Calibri"/>
          <w:noProof w:val="0"/>
          <w:lang w:val="en-GB"/>
        </w:rPr>
        <w:t>Reflective Practice and Continuous Professional Development</w:t>
      </w:r>
      <w:bookmarkEnd w:id="2141466402"/>
    </w:p>
    <w:p w:rsidR="32545A93" w:rsidP="5588AF13" w:rsidRDefault="32545A93" w14:paraId="291EB2DA" w14:textId="79AC46A1">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1412463078" w:id="1124198385"/>
      <w:r w:rsidRPr="0FB2F569" w:rsidR="0FB2F569">
        <w:rPr>
          <w:rFonts w:ascii="Calibri" w:hAnsi="Calibri" w:eastAsia="Calibri" w:cs="Calibri"/>
          <w:noProof w:val="0"/>
          <w:lang w:val="en-GB"/>
        </w:rPr>
        <w:t>5</w:t>
      </w:r>
      <w:r w:rsidRPr="0FB2F569" w:rsidR="0FB2F569">
        <w:rPr>
          <w:rFonts w:ascii="Calibri" w:hAnsi="Calibri" w:eastAsia="Calibri" w:cs="Calibri"/>
          <w:noProof w:val="0"/>
          <w:lang w:val="en-GB"/>
        </w:rPr>
        <w:t>.1</w:t>
      </w:r>
      <w:r w:rsidRPr="0FB2F569" w:rsidR="0FB2F569">
        <w:rPr>
          <w:rFonts w:ascii="Calibri" w:hAnsi="Calibri" w:eastAsia="Calibri" w:cs="Calibri"/>
          <w:noProof w:val="0"/>
          <w:lang w:val="en-GB"/>
        </w:rPr>
        <w:t xml:space="preserve"> </w:t>
      </w:r>
      <w:r w:rsidRPr="0FB2F569" w:rsidR="0FB2F569">
        <w:rPr>
          <w:rFonts w:ascii="Calibri" w:hAnsi="Calibri" w:eastAsia="Calibri" w:cs="Calibri"/>
          <w:noProof w:val="0"/>
          <w:lang w:val="en-GB"/>
        </w:rPr>
        <w:t>Reflective Error Management in Action</w:t>
      </w:r>
      <w:bookmarkEnd w:id="1124198385"/>
    </w:p>
    <w:p w:rsidR="0FB2F569" w:rsidP="0FB2F569" w:rsidRDefault="0FB2F569" w14:paraId="15CBDB4C" w14:textId="070D75D4">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Reflective practice serves as the operational engine driving continuous quality improvement, resilience and clinical safety within adult social care. Unlike transactional corporate training environments where mistakes are frequently met with penalties or performance management escalations, Swanton Care embeds reflective error management into daily operations. In analysing professional development and debriefing, Schön explains that reflection-in-action involves "thinking on our feet and reshaping what we are doing while we are doing it", whereas reflection-on-action requires practitioners to "think back on a project, exploring what happened, what we saw, and how we responded" (1983).</w:t>
      </w:r>
    </w:p>
    <w:p w:rsidR="0FB2F569" w:rsidP="0FB2F569" w:rsidRDefault="0FB2F569" w14:paraId="393E3A58" w14:textId="7817FE85">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To illustrate reflective error management in practice, consider an organisational scenario within Swanton Care involving a medication administration recording error. During an evening shift handover, a Team Leader discovers that an SW failed to sign the electronic Medication Administration Record (MAR) sheet on the Access Care Planning app after administering a routine prescribed supplement to a resident. Under a Theory X, punitive management regime, this oversight would trigger an immediate disciplinary investigation, causing the worker to hide future mistakes and generating widespread audit anxiety.</w:t>
      </w:r>
    </w:p>
    <w:p w:rsidR="0FB2F569" w:rsidP="0FB2F569" w:rsidRDefault="0FB2F569" w14:paraId="2B80EA3F" w14:textId="2539D660">
      <w:pPr>
        <w:pStyle w:val="Normal"/>
        <w:spacing w:before="0" w:beforeAutospacing="off" w:after="0" w:afterAutospacing="off" w:line="360" w:lineRule="auto"/>
        <w:ind w:left="0" w:right="0" w:firstLine="720"/>
        <w:jc w:val="both"/>
      </w:pPr>
      <w:r w:rsidRPr="0FB2F569" w:rsidR="0FB2F569">
        <w:rPr>
          <w:rFonts w:ascii="Calibri" w:hAnsi="Calibri" w:eastAsia="Calibri" w:cs="Calibri"/>
          <w:noProof w:val="0"/>
          <w:color w:val="000000" w:themeColor="text1" w:themeTint="FF" w:themeShade="FF"/>
          <w:sz w:val="24"/>
          <w:szCs w:val="24"/>
          <w:lang w:val="en-GB"/>
        </w:rPr>
        <w:t>At Swanton Care, the Operational Manager applies Schön’s model alongside Kolb’s Experiential Learning Cycle to execute a constructive, learning-focused intervention. The manager initiates an immediate Reflection-on-Action session with the SW in a private, non-threatening setting. Guided by Kolb’s four stages, the manager facilitates a structured debrief that moves through concrete experience, reflective observation, abstract conceptualisation and active experimentation. First, in the Concrete experience stage, the SW identifies the exact moment the logging error occurred during a busy shift. Moving to Reflective Observation, the worker analyses contributing factors, noting that multiple simultaneous alarms created cognitive overload and distraction. During Abstract Conceptualisation, the manager and worker connect the error to wider operational principles, recognising how environmental noise disrupts digital logging routines. Finally, in Active Experimentation, the worker proposes a modified handover routine, with an alarm to go off for when medication has started and finished, to eliminate distractions while recording on the handheld device.</w:t>
      </w:r>
    </w:p>
    <w:p w:rsidR="0FB2F569" w:rsidP="0FB2F569" w:rsidRDefault="0FB2F569" w14:paraId="1A1DB9DC" w14:textId="181529FF">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By converting a potential compliance failure into a collaborative process improvement, the manager utilises Edmondson’s (1999) Psychological Safety Framework. SWs learn that transparency is protected, reporting errors is praised as a safety-critical behaviour and operational leadership exists to assist frontline practice rather than police it.</w:t>
      </w:r>
    </w:p>
    <w:p w:rsidR="3083C925" w:rsidP="5588AF13" w:rsidRDefault="3083C925" w14:paraId="317B588D" w14:textId="08097D82">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1666228643" w:id="460336453"/>
      <w:r w:rsidRPr="0FB2F569" w:rsidR="0FB2F569">
        <w:rPr>
          <w:rFonts w:ascii="Calibri" w:hAnsi="Calibri" w:eastAsia="Calibri" w:cs="Calibri"/>
          <w:noProof w:val="0"/>
          <w:lang w:val="en-GB"/>
        </w:rPr>
        <w:t>5</w:t>
      </w:r>
      <w:r w:rsidRPr="0FB2F569" w:rsidR="0FB2F569">
        <w:rPr>
          <w:rFonts w:ascii="Calibri" w:hAnsi="Calibri" w:eastAsia="Calibri" w:cs="Calibri"/>
          <w:noProof w:val="0"/>
          <w:lang w:val="en-GB"/>
        </w:rPr>
        <w:t>.2</w:t>
      </w:r>
      <w:r w:rsidRPr="0FB2F569" w:rsidR="0FB2F569">
        <w:rPr>
          <w:rFonts w:ascii="Calibri" w:hAnsi="Calibri" w:eastAsia="Calibri" w:cs="Calibri"/>
          <w:noProof w:val="0"/>
          <w:lang w:val="en-GB"/>
        </w:rPr>
        <w:t xml:space="preserve"> </w:t>
      </w:r>
      <w:r w:rsidRPr="0FB2F569" w:rsidR="0FB2F569">
        <w:rPr>
          <w:rFonts w:ascii="Calibri" w:hAnsi="Calibri" w:eastAsia="Calibri" w:cs="Calibri"/>
          <w:noProof w:val="0"/>
          <w:lang w:val="en-GB"/>
        </w:rPr>
        <w:t>Professional Development and Leadership Evolution</w:t>
      </w:r>
      <w:bookmarkEnd w:id="460336453"/>
    </w:p>
    <w:p w:rsidR="0FB2F569" w:rsidP="0FB2F569" w:rsidRDefault="0FB2F569" w14:paraId="53C4D522" w14:textId="1109D73D">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Career progression from TO to a SW requires a deliberate, structured personal development strategy. Moving across professional boundaries from hospitality apprenticeship delivery at CTC into social care at Swanton Care demands continuous re-skilling, formal qualification acquisition and adaptive identity reconstruction, reflecting Nicholson’s Work Role Transition Theory (1984).</w:t>
      </w:r>
    </w:p>
    <w:p w:rsidR="0FB2F569" w:rsidP="0FB2F569" w:rsidRDefault="0FB2F569" w14:paraId="01C03964" w14:textId="25367656">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To sustain operational excellence and maintain compliance under Social Care Wales standards, the Operational Manager executes a multi-stage professional growth plan focused on three core developmental domains. The first domain involves completing formal regulatory and leadership qualifications, specifically the Level 3 Diploma in Health and Social Care. This formal qualification solidifies strategic competence in financial management, safeguarding governance, human resource law and quality assurance auditing under Care Inspectorate Wales frameworks.</w:t>
      </w:r>
    </w:p>
    <w:p w:rsidR="0FB2F569" w:rsidP="0FB2F569" w:rsidRDefault="0FB2F569" w14:paraId="4DA23105" w14:textId="1F6A0AAB">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The second domain focuses on building advanced clinical and safeguarding expertise by engaging in continuous specialist training covering complex dementia care, positive behavioural support (PBS), trauma-informed care, and advanced DoLS legal application. Acquiring deep clinical knowledge ensures the manager delivers credible, expert guidance to frontline teams during complex resident escalations.</w:t>
      </w:r>
    </w:p>
    <w:p w:rsidR="0FB2F569" w:rsidP="0FB2F569" w:rsidRDefault="0FB2F569" w14:paraId="085C557E" w14:textId="336DC0A9">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The third domain is strategic and change leadership mastery, expanding control over organisational change models, conflict resolution techniques and cross-agency collaborative frameworks. By studying Kotter’s (1996) 8-Step Change Model and Lewin’s (1951) Force Field Analysis, the manager enhances their ability to lead service expansions, integrate new care technologies and navigate broader policy shifts across Welsh adult social care. Through continuous self-reflection, formal education and authentic, values-based leadership, the manager successfully bridges the gap between vocational instruction and compassionate, high-performing social care management.</w:t>
      </w:r>
    </w:p>
    <w:p w:rsidR="5EF395E7" w:rsidP="5EF395E7" w:rsidRDefault="5EF395E7" w14:paraId="6FE50FCD" w14:textId="690E512A">
      <w:pPr>
        <w:pStyle w:val="Normal"/>
        <w:tabs>
          <w:tab w:val="right" w:leader="dot" w:pos="9360"/>
        </w:tabs>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p>
    <w:p w:rsidR="61C4D7E2" w:rsidP="7FF7241A" w:rsidRDefault="61C4D7E2" w14:paraId="4B3E618F" w14:textId="31EF5D5F">
      <w:pPr>
        <w:bidi w:val="0"/>
        <w:spacing w:before="0" w:beforeAutospacing="off" w:after="0" w:afterAutospacing="off"/>
        <w:rPr>
          <w:rFonts w:ascii="Calibri" w:hAnsi="Calibri" w:eastAsia="Calibri" w:cs="Calibri"/>
        </w:rPr>
      </w:pPr>
      <w:r w:rsidRPr="7C4DA529">
        <w:rPr>
          <w:rFonts w:ascii="Calibri" w:hAnsi="Calibri" w:eastAsia="Calibri" w:cs="Calibri"/>
        </w:rPr>
        <w:br w:type="page"/>
      </w:r>
    </w:p>
    <w:p w:rsidR="61C4D7E2" w:rsidP="5EC73FA6" w:rsidRDefault="61C4D7E2" w14:paraId="2EB78747" w14:textId="1A58C85C">
      <w:pPr>
        <w:pStyle w:val="Heading2"/>
        <w:tabs>
          <w:tab w:val="right" w:leader="dot" w:pos="9360"/>
        </w:tabs>
        <w:bidi w:val="0"/>
        <w:spacing w:before="0" w:beforeAutospacing="off" w:after="0" w:afterAutospacing="off"/>
        <w:rPr>
          <w:rFonts w:ascii="Calibri" w:hAnsi="Calibri" w:eastAsia="Calibri" w:cs="Calibri"/>
          <w:noProof w:val="0"/>
          <w:lang w:val="en-GB"/>
        </w:rPr>
      </w:pPr>
      <w:bookmarkStart w:name="_Toc1527955343" w:id="1371626735"/>
      <w:r w:rsidRPr="0FB2F569" w:rsidR="0FB2F569">
        <w:rPr>
          <w:rFonts w:ascii="Calibri" w:hAnsi="Calibri" w:eastAsia="Calibri" w:cs="Calibri"/>
          <w:noProof w:val="0"/>
          <w:lang w:val="en-GB"/>
        </w:rPr>
        <w:t>6</w:t>
      </w:r>
      <w:r w:rsidRPr="0FB2F569" w:rsidR="0FB2F569">
        <w:rPr>
          <w:rFonts w:ascii="Calibri" w:hAnsi="Calibri" w:eastAsia="Calibri" w:cs="Calibri"/>
          <w:noProof w:val="0"/>
          <w:lang w:val="en-GB"/>
        </w:rPr>
        <w:t>.</w:t>
      </w:r>
      <w:r w:rsidRPr="0FB2F569" w:rsidR="0FB2F569">
        <w:rPr>
          <w:rFonts w:ascii="Calibri" w:hAnsi="Calibri" w:eastAsia="Calibri" w:cs="Calibri"/>
          <w:noProof w:val="0"/>
          <w:lang w:val="en-GB"/>
        </w:rPr>
        <w:t xml:space="preserve">0 </w:t>
      </w:r>
      <w:r w:rsidRPr="0FB2F569" w:rsidR="0FB2F569">
        <w:rPr>
          <w:rFonts w:ascii="Calibri" w:hAnsi="Calibri" w:eastAsia="Calibri" w:cs="Calibri"/>
          <w:noProof w:val="0"/>
          <w:lang w:val="en-GB"/>
        </w:rPr>
        <w:t>Conclusion</w:t>
      </w:r>
      <w:bookmarkEnd w:id="1371626735"/>
    </w:p>
    <w:p w:rsidR="0FB2F569" w:rsidP="0FB2F569" w:rsidRDefault="0FB2F569" w14:paraId="45DDF5E7" w14:textId="5531A762">
      <w:pPr>
        <w:pStyle w:val="Normal"/>
        <w:bidi w:val="0"/>
        <w:spacing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This report has evaluated the cross-sector transition from a Training Officer to a frontline Support Worker. Moving from a micromanaged Further Education environment governed by Theory X to a values-based social care setting requires significant personal development. Swanton Care operates as a socio-technical system centred on human dignity and psychological safety. By replacing fragmented tracking software with handheld Access Care Planning apps, the organisation reduces cognitive load, enabling frontline staff to focus on person-centred care. Ultimately, transferable competencies from vocational training serve as vital assets enabling high-quality regulated care and establishing a clear foundation for future leadership.</w:t>
      </w:r>
    </w:p>
    <w:p w:rsidR="0FB2F569" w:rsidP="0FB2F569" w:rsidRDefault="0FB2F569" w14:paraId="4244A23E" w14:textId="0A69FC59">
      <w:pPr>
        <w:pStyle w:val="Normal"/>
        <w:bidi w:val="0"/>
        <w:spacing w:after="0" w:afterAutospacing="off" w:line="360" w:lineRule="auto"/>
        <w:ind w:firstLine="720"/>
        <w:jc w:val="both"/>
        <w:rPr>
          <w:rFonts w:ascii="Calibri" w:hAnsi="Calibri" w:eastAsia="Calibri" w:cs="Calibri"/>
          <w:noProof w:val="0"/>
          <w:color w:val="000000" w:themeColor="text1" w:themeTint="FF" w:themeShade="FF"/>
          <w:sz w:val="24"/>
          <w:szCs w:val="24"/>
          <w:lang w:val="en-GB"/>
        </w:rPr>
      </w:pPr>
    </w:p>
    <w:p w:rsidR="2974C4AC" w:rsidP="7FF7241A" w:rsidRDefault="2974C4AC" w14:paraId="1099C06C" w14:textId="241518A8">
      <w:pPr>
        <w:rPr>
          <w:rFonts w:ascii="Calibri" w:hAnsi="Calibri" w:eastAsia="Calibri" w:cs="Calibri"/>
        </w:rPr>
      </w:pPr>
      <w:r w:rsidRPr="7FF7241A">
        <w:rPr>
          <w:rFonts w:ascii="Calibri" w:hAnsi="Calibri" w:eastAsia="Calibri" w:cs="Calibri"/>
        </w:rPr>
        <w:br w:type="page"/>
      </w:r>
    </w:p>
    <w:p w:rsidR="0FB2F569" w:rsidP="0FB2F569" w:rsidRDefault="0FB2F569" w14:paraId="47D55A06" w14:textId="7523D18D">
      <w:pPr>
        <w:pStyle w:val="Heading2"/>
        <w:tabs>
          <w:tab w:val="right" w:leader="dot" w:pos="9360"/>
        </w:tabs>
        <w:rPr>
          <w:rFonts w:ascii="Calibri" w:hAnsi="Calibri" w:eastAsia="Calibri" w:cs="Calibri"/>
          <w:noProof w:val="0"/>
          <w:lang w:val="en-GB"/>
        </w:rPr>
      </w:pPr>
      <w:bookmarkStart w:name="_Toc1055081766" w:id="1958588199"/>
      <w:r w:rsidRPr="0FB2F569" w:rsidR="0FB2F569">
        <w:rPr>
          <w:rFonts w:ascii="Calibri" w:hAnsi="Calibri" w:eastAsia="Calibri" w:cs="Calibri"/>
          <w:noProof w:val="0"/>
          <w:lang w:val="en-GB"/>
        </w:rPr>
        <w:t>7</w:t>
      </w:r>
      <w:r w:rsidRPr="0FB2F569" w:rsidR="0FB2F569">
        <w:rPr>
          <w:rFonts w:ascii="Calibri" w:hAnsi="Calibri" w:eastAsia="Calibri" w:cs="Calibri"/>
          <w:noProof w:val="0"/>
          <w:lang w:val="en-GB"/>
        </w:rPr>
        <w:t>.0 Recommendations</w:t>
      </w:r>
      <w:bookmarkEnd w:id="1958588199"/>
    </w:p>
    <w:p w:rsidR="0FB2F569" w:rsidP="0FB2F569" w:rsidRDefault="0FB2F569" w14:paraId="385C1D03" w14:textId="28213157">
      <w:pPr>
        <w:pStyle w:val="Normal"/>
        <w:bidi w:val="0"/>
        <w:spacing w:before="0" w:beforeAutospacing="off" w:after="0" w:afterAutospacing="off" w:line="360" w:lineRule="auto"/>
        <w:ind w:firstLine="720"/>
        <w:jc w:val="both"/>
      </w:pPr>
      <w:r w:rsidRPr="0FB2F569" w:rsidR="0FB2F569">
        <w:rPr>
          <w:rFonts w:ascii="Calibri" w:hAnsi="Calibri" w:eastAsia="Calibri" w:cs="Calibri"/>
          <w:noProof w:val="0"/>
          <w:color w:val="000000" w:themeColor="text1" w:themeTint="FF" w:themeShade="FF"/>
          <w:sz w:val="24"/>
          <w:szCs w:val="24"/>
          <w:lang w:val="en-GB"/>
        </w:rPr>
        <w:t>To optimise operational performance and staff well-being across Swanton Care, four initiatives are recommended. First, formalise a peer-led 'Digital Care Champion' network within residential facilities, applying Shapiro’s 7 Levers and Gladwell’s Tipping Point Theory to accelerate Access Care Planning adoption. Second, embed ten-minute reflective debriefs into shift handovers, applying Schön and Kolb to uphold Edmondson’s Psychological Safety Framework and transform oversights into process improvements. Third, establish fast-track career lattice frameworks grounded in Super’s Career Lattice Model and Knowles’ Andragogy Theory, mapping transferable non-care skills onto funded Level 3 and Level 5 Diplomas. Finally, implement quarterly multi-agency simulation workshops bringing together SWs, managers and advocates to analyse complex safeguarding and DoLS scenarios, bridging statutory legislation under the Social Services and Well-being (Wales) Act 2014 and Mental Capacity Act 2005 with frontline practice.</w:t>
      </w:r>
    </w:p>
    <w:p w:rsidR="61C4D7E2" w:rsidP="5EC73FA6" w:rsidRDefault="61C4D7E2" w14:paraId="198543B2" w14:textId="796AEF20">
      <w:pPr>
        <w:bidi w:val="0"/>
        <w:spacing w:after="100"/>
        <w:rPr>
          <w:noProof w:val="0"/>
          <w:lang w:val="en-GB"/>
        </w:rPr>
      </w:pPr>
      <w:r w:rsidRPr="7FF7241A">
        <w:rPr>
          <w:rFonts w:ascii="Calibri" w:hAnsi="Calibri" w:eastAsia="Calibri" w:cs="Calibri"/>
          <w:noProof w:val="0"/>
          <w:lang w:val="en-GB"/>
        </w:rPr>
        <w:br w:type="page"/>
      </w:r>
    </w:p>
    <w:p w:rsidR="250871A7" w:rsidP="7C4DA529" w:rsidRDefault="250871A7" w14:paraId="7356282E" w14:textId="4D0FC3E5">
      <w:pPr>
        <w:pStyle w:val="Heading2"/>
        <w:tabs>
          <w:tab w:val="right" w:leader="dot" w:pos="9360"/>
        </w:tabs>
        <w:spacing w:before="0" w:beforeAutospacing="off" w:after="0" w:afterAutospacing="off" w:line="360" w:lineRule="auto"/>
        <w:ind/>
        <w:rPr>
          <w:noProof w:val="0"/>
          <w:lang w:val="en-GB"/>
        </w:rPr>
      </w:pPr>
      <w:bookmarkStart w:name="_Toc966778107" w:id="1082242814"/>
      <w:r w:rsidRPr="0FB2F569" w:rsidR="0FB2F569">
        <w:rPr>
          <w:noProof w:val="0"/>
          <w:lang w:val="en-GB"/>
        </w:rPr>
        <w:t>References</w:t>
      </w:r>
      <w:bookmarkEnd w:id="1082242814"/>
    </w:p>
    <w:p w:rsidR="250871A7" w:rsidP="7C4DA529" w:rsidRDefault="250871A7" w14:paraId="3A0B2BB2" w14:textId="79031DDA">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Adams, J., Hayes, J., &amp; Hopson, B. (1976). </w:t>
      </w:r>
      <w:r w:rsidRPr="7C4DA529" w:rsidR="098C5972">
        <w:rPr>
          <w:rFonts w:ascii="Calibri" w:hAnsi="Calibri" w:eastAsia="Calibri" w:cs="Calibri"/>
          <w:i w:val="1"/>
          <w:iCs w:val="1"/>
          <w:noProof w:val="0"/>
          <w:color w:val="000000" w:themeColor="text1" w:themeTint="FF" w:themeShade="FF"/>
          <w:sz w:val="24"/>
          <w:szCs w:val="24"/>
          <w:lang w:val="en-GB"/>
        </w:rPr>
        <w:t>Transition: Understanding and managing personal change</w:t>
      </w:r>
      <w:r w:rsidRPr="7C4DA529" w:rsidR="098C5972">
        <w:rPr>
          <w:rFonts w:ascii="Calibri" w:hAnsi="Calibri" w:eastAsia="Calibri" w:cs="Calibri"/>
          <w:noProof w:val="0"/>
          <w:color w:val="000000" w:themeColor="text1" w:themeTint="FF" w:themeShade="FF"/>
          <w:sz w:val="24"/>
          <w:szCs w:val="24"/>
          <w:lang w:val="en-GB"/>
        </w:rPr>
        <w:t>. London Robertson.</w:t>
      </w:r>
    </w:p>
    <w:p w:rsidR="250871A7" w:rsidP="7C4DA529" w:rsidRDefault="250871A7" w14:paraId="7775B23E" w14:textId="5FC0FE83">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Barney, J. (1991). Firm resources and sustained competitive advantage. </w:t>
      </w:r>
      <w:r w:rsidRPr="7C4DA529" w:rsidR="098C5972">
        <w:rPr>
          <w:rFonts w:ascii="Calibri" w:hAnsi="Calibri" w:eastAsia="Calibri" w:cs="Calibri"/>
          <w:i w:val="1"/>
          <w:iCs w:val="1"/>
          <w:noProof w:val="0"/>
          <w:color w:val="000000" w:themeColor="text1" w:themeTint="FF" w:themeShade="FF"/>
          <w:sz w:val="24"/>
          <w:szCs w:val="24"/>
          <w:lang w:val="en-GB"/>
        </w:rPr>
        <w:t>Journal of Management</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17</w:t>
      </w:r>
      <w:r w:rsidRPr="7C4DA529" w:rsidR="098C5972">
        <w:rPr>
          <w:rFonts w:ascii="Calibri" w:hAnsi="Calibri" w:eastAsia="Calibri" w:cs="Calibri"/>
          <w:noProof w:val="0"/>
          <w:color w:val="000000" w:themeColor="text1" w:themeTint="FF" w:themeShade="FF"/>
          <w:sz w:val="24"/>
          <w:szCs w:val="24"/>
          <w:lang w:val="en-GB"/>
        </w:rPr>
        <w:t xml:space="preserve">(1), 99–120. </w:t>
      </w:r>
      <w:hyperlink r:id="R9722624a8ec34b6b">
        <w:r w:rsidRPr="7C4DA529" w:rsidR="098C5972">
          <w:rPr>
            <w:rStyle w:val="Hyperlink"/>
            <w:rFonts w:ascii="Calibri" w:hAnsi="Calibri" w:eastAsia="Calibri" w:cs="Calibri"/>
            <w:noProof w:val="0"/>
            <w:lang w:val="en-GB"/>
          </w:rPr>
          <w:t>https://doi.org/https://doi.org/10.1177/014920639101700108</w:t>
        </w:r>
      </w:hyperlink>
    </w:p>
    <w:p w:rsidR="250871A7" w:rsidP="7C4DA529" w:rsidRDefault="250871A7" w14:paraId="4136E5E8" w14:textId="6942AB84">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Bass, B. M. (1985). Leadership and Performance beyond Expectations. </w:t>
      </w:r>
      <w:r w:rsidRPr="7C4DA529" w:rsidR="098C5972">
        <w:rPr>
          <w:rFonts w:ascii="Calibri" w:hAnsi="Calibri" w:eastAsia="Calibri" w:cs="Calibri"/>
          <w:i w:val="1"/>
          <w:iCs w:val="1"/>
          <w:noProof w:val="0"/>
          <w:color w:val="000000" w:themeColor="text1" w:themeTint="FF" w:themeShade="FF"/>
          <w:sz w:val="24"/>
          <w:szCs w:val="24"/>
          <w:lang w:val="en-GB"/>
        </w:rPr>
        <w:t>The Academy of Management Review</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12</w:t>
      </w:r>
      <w:r w:rsidRPr="7C4DA529" w:rsidR="098C5972">
        <w:rPr>
          <w:rFonts w:ascii="Calibri" w:hAnsi="Calibri" w:eastAsia="Calibri" w:cs="Calibri"/>
          <w:noProof w:val="0"/>
          <w:color w:val="000000" w:themeColor="text1" w:themeTint="FF" w:themeShade="FF"/>
          <w:sz w:val="24"/>
          <w:szCs w:val="24"/>
          <w:lang w:val="en-GB"/>
        </w:rPr>
        <w:t>(4).</w:t>
      </w:r>
    </w:p>
    <w:p w:rsidR="250871A7" w:rsidP="7C4DA529" w:rsidRDefault="250871A7" w14:paraId="7F81D763" w14:textId="61CC6558">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Bridges, W. (2017). </w:t>
      </w:r>
      <w:r w:rsidRPr="7C4DA529" w:rsidR="098C5972">
        <w:rPr>
          <w:rFonts w:ascii="Calibri" w:hAnsi="Calibri" w:eastAsia="Calibri" w:cs="Calibri"/>
          <w:i w:val="1"/>
          <w:iCs w:val="1"/>
          <w:noProof w:val="0"/>
          <w:color w:val="000000" w:themeColor="text1" w:themeTint="FF" w:themeShade="FF"/>
          <w:sz w:val="24"/>
          <w:szCs w:val="24"/>
          <w:lang w:val="en-GB"/>
        </w:rPr>
        <w:t>Managing transitions: Making the most of change</w:t>
      </w:r>
      <w:r w:rsidRPr="7C4DA529" w:rsidR="098C5972">
        <w:rPr>
          <w:rFonts w:ascii="Calibri" w:hAnsi="Calibri" w:eastAsia="Calibri" w:cs="Calibri"/>
          <w:noProof w:val="0"/>
          <w:color w:val="000000" w:themeColor="text1" w:themeTint="FF" w:themeShade="FF"/>
          <w:sz w:val="24"/>
          <w:szCs w:val="24"/>
          <w:lang w:val="en-GB"/>
        </w:rPr>
        <w:t xml:space="preserve"> (4th ed.). Nicholas Brealey Publishing. (Original work published 1991)</w:t>
      </w:r>
    </w:p>
    <w:p w:rsidR="250871A7" w:rsidP="7C4DA529" w:rsidRDefault="250871A7" w14:paraId="5BC35C1A" w14:textId="793FC0C2">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Burke, W. W., &amp; Litwin, G. H. (1992). A causal model of organizational performance and change. </w:t>
      </w:r>
      <w:r w:rsidRPr="7C4DA529" w:rsidR="098C5972">
        <w:rPr>
          <w:rFonts w:ascii="Calibri" w:hAnsi="Calibri" w:eastAsia="Calibri" w:cs="Calibri"/>
          <w:i w:val="1"/>
          <w:iCs w:val="1"/>
          <w:noProof w:val="0"/>
          <w:color w:val="000000" w:themeColor="text1" w:themeTint="FF" w:themeShade="FF"/>
          <w:sz w:val="24"/>
          <w:szCs w:val="24"/>
          <w:lang w:val="en-GB"/>
        </w:rPr>
        <w:t>Journal of Management</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18</w:t>
      </w:r>
      <w:r w:rsidRPr="7C4DA529" w:rsidR="098C5972">
        <w:rPr>
          <w:rFonts w:ascii="Calibri" w:hAnsi="Calibri" w:eastAsia="Calibri" w:cs="Calibri"/>
          <w:noProof w:val="0"/>
          <w:color w:val="000000" w:themeColor="text1" w:themeTint="FF" w:themeShade="FF"/>
          <w:sz w:val="24"/>
          <w:szCs w:val="24"/>
          <w:lang w:val="en-GB"/>
        </w:rPr>
        <w:t xml:space="preserve">(3), 523–545. Sagepub. </w:t>
      </w:r>
      <w:hyperlink r:id="R1e4c3b038b0a490d">
        <w:r w:rsidRPr="7C4DA529" w:rsidR="098C5972">
          <w:rPr>
            <w:rStyle w:val="Hyperlink"/>
            <w:rFonts w:ascii="Calibri" w:hAnsi="Calibri" w:eastAsia="Calibri" w:cs="Calibri"/>
            <w:noProof w:val="0"/>
            <w:lang w:val="en-GB"/>
          </w:rPr>
          <w:t>https://doi.org/https://doi.org/10.1177/014920639201800306</w:t>
        </w:r>
      </w:hyperlink>
    </w:p>
    <w:p w:rsidR="250871A7" w:rsidP="7C4DA529" w:rsidRDefault="250871A7" w14:paraId="5097C8BC" w14:textId="06B27942">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Burnes, B. (2017). </w:t>
      </w:r>
      <w:r w:rsidRPr="7C4DA529" w:rsidR="098C5972">
        <w:rPr>
          <w:rFonts w:ascii="Calibri" w:hAnsi="Calibri" w:eastAsia="Calibri" w:cs="Calibri"/>
          <w:i w:val="1"/>
          <w:iCs w:val="1"/>
          <w:noProof w:val="0"/>
          <w:color w:val="000000" w:themeColor="text1" w:themeTint="FF" w:themeShade="FF"/>
          <w:sz w:val="24"/>
          <w:szCs w:val="24"/>
          <w:lang w:val="en-GB"/>
        </w:rPr>
        <w:t>Managing change</w:t>
      </w:r>
      <w:r w:rsidRPr="7C4DA529" w:rsidR="098C5972">
        <w:rPr>
          <w:rFonts w:ascii="Calibri" w:hAnsi="Calibri" w:eastAsia="Calibri" w:cs="Calibri"/>
          <w:noProof w:val="0"/>
          <w:color w:val="000000" w:themeColor="text1" w:themeTint="FF" w:themeShade="FF"/>
          <w:sz w:val="24"/>
          <w:szCs w:val="24"/>
          <w:lang w:val="en-GB"/>
        </w:rPr>
        <w:t xml:space="preserve"> (7th ed.). Pearson Education Limited.</w:t>
      </w:r>
    </w:p>
    <w:p w:rsidR="250871A7" w:rsidP="7C4DA529" w:rsidRDefault="250871A7" w14:paraId="038EFB23" w14:textId="1EE8749D">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Center for Servant Leadership, T. R. K. G. (2017). Robert K. Greenleaf: A biographical sketch. </w:t>
      </w:r>
      <w:r w:rsidRPr="7C4DA529" w:rsidR="098C5972">
        <w:rPr>
          <w:rFonts w:ascii="Calibri" w:hAnsi="Calibri" w:eastAsia="Calibri" w:cs="Calibri"/>
          <w:i w:val="1"/>
          <w:iCs w:val="1"/>
          <w:noProof w:val="0"/>
          <w:color w:val="000000" w:themeColor="text1" w:themeTint="FF" w:themeShade="FF"/>
          <w:sz w:val="24"/>
          <w:szCs w:val="24"/>
          <w:lang w:val="en-GB"/>
        </w:rPr>
        <w:t>Public Voices</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5</w:t>
      </w:r>
      <w:r w:rsidRPr="7C4DA529" w:rsidR="098C5972">
        <w:rPr>
          <w:rFonts w:ascii="Calibri" w:hAnsi="Calibri" w:eastAsia="Calibri" w:cs="Calibri"/>
          <w:noProof w:val="0"/>
          <w:color w:val="000000" w:themeColor="text1" w:themeTint="FF" w:themeShade="FF"/>
          <w:sz w:val="24"/>
          <w:szCs w:val="24"/>
          <w:lang w:val="en-GB"/>
        </w:rPr>
        <w:t xml:space="preserve">(1–2), 77. </w:t>
      </w:r>
      <w:hyperlink r:id="R29b08aa51ac64a2b">
        <w:r w:rsidRPr="7C4DA529" w:rsidR="098C5972">
          <w:rPr>
            <w:rStyle w:val="Hyperlink"/>
            <w:rFonts w:ascii="Calibri" w:hAnsi="Calibri" w:eastAsia="Calibri" w:cs="Calibri"/>
            <w:noProof w:val="0"/>
            <w:lang w:val="en-GB"/>
          </w:rPr>
          <w:t>https://doi.org/10.22140/pv.289</w:t>
        </w:r>
      </w:hyperlink>
    </w:p>
    <w:p w:rsidR="250871A7" w:rsidP="7C4DA529" w:rsidRDefault="250871A7" w14:paraId="15757A98" w14:textId="4AA39914">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Davis, F. D. (1989). Perceived usefulness, perceived ease of use, and user acceptance of information technology. </w:t>
      </w:r>
      <w:r w:rsidRPr="7C4DA529" w:rsidR="098C5972">
        <w:rPr>
          <w:rFonts w:ascii="Calibri" w:hAnsi="Calibri" w:eastAsia="Calibri" w:cs="Calibri"/>
          <w:i w:val="1"/>
          <w:iCs w:val="1"/>
          <w:noProof w:val="0"/>
          <w:color w:val="000000" w:themeColor="text1" w:themeTint="FF" w:themeShade="FF"/>
          <w:sz w:val="24"/>
          <w:szCs w:val="24"/>
          <w:lang w:val="en-GB"/>
        </w:rPr>
        <w:t>MIS Quarterly</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13</w:t>
      </w:r>
      <w:r w:rsidRPr="7C4DA529" w:rsidR="098C5972">
        <w:rPr>
          <w:rFonts w:ascii="Calibri" w:hAnsi="Calibri" w:eastAsia="Calibri" w:cs="Calibri"/>
          <w:noProof w:val="0"/>
          <w:color w:val="000000" w:themeColor="text1" w:themeTint="FF" w:themeShade="FF"/>
          <w:sz w:val="24"/>
          <w:szCs w:val="24"/>
          <w:lang w:val="en-GB"/>
        </w:rPr>
        <w:t xml:space="preserve">(3), 319–340. </w:t>
      </w:r>
      <w:hyperlink r:id="R03b66b5db7c14e0d">
        <w:r w:rsidRPr="7C4DA529" w:rsidR="098C5972">
          <w:rPr>
            <w:rStyle w:val="Hyperlink"/>
            <w:rFonts w:ascii="Calibri" w:hAnsi="Calibri" w:eastAsia="Calibri" w:cs="Calibri"/>
            <w:noProof w:val="0"/>
            <w:lang w:val="en-GB"/>
          </w:rPr>
          <w:t>https://doi.org/https://doi.org/10.2307/249008</w:t>
        </w:r>
      </w:hyperlink>
    </w:p>
    <w:p w:rsidR="250871A7" w:rsidP="7C4DA529" w:rsidRDefault="250871A7" w14:paraId="3DBE8814" w14:textId="328E736E">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DiMaggio, P. J., &amp; Powell, W. W. (1983). The iron cage revisited: Institutional isomorphism and collective rationality in organizational fields. </w:t>
      </w:r>
      <w:r w:rsidRPr="7C4DA529" w:rsidR="098C5972">
        <w:rPr>
          <w:rFonts w:ascii="Calibri" w:hAnsi="Calibri" w:eastAsia="Calibri" w:cs="Calibri"/>
          <w:i w:val="1"/>
          <w:iCs w:val="1"/>
          <w:noProof w:val="0"/>
          <w:color w:val="000000" w:themeColor="text1" w:themeTint="FF" w:themeShade="FF"/>
          <w:sz w:val="24"/>
          <w:szCs w:val="24"/>
          <w:lang w:val="en-GB"/>
        </w:rPr>
        <w:t>American Sociological Review</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48</w:t>
      </w:r>
      <w:r w:rsidRPr="7C4DA529" w:rsidR="098C5972">
        <w:rPr>
          <w:rFonts w:ascii="Calibri" w:hAnsi="Calibri" w:eastAsia="Calibri" w:cs="Calibri"/>
          <w:noProof w:val="0"/>
          <w:color w:val="000000" w:themeColor="text1" w:themeTint="FF" w:themeShade="FF"/>
          <w:sz w:val="24"/>
          <w:szCs w:val="24"/>
          <w:lang w:val="en-GB"/>
        </w:rPr>
        <w:t xml:space="preserve">(2), 147–160. </w:t>
      </w:r>
      <w:hyperlink r:id="R124ea867232740ff">
        <w:r w:rsidRPr="7C4DA529" w:rsidR="098C5972">
          <w:rPr>
            <w:rStyle w:val="Hyperlink"/>
            <w:rFonts w:ascii="Calibri" w:hAnsi="Calibri" w:eastAsia="Calibri" w:cs="Calibri"/>
            <w:noProof w:val="0"/>
            <w:lang w:val="en-GB"/>
          </w:rPr>
          <w:t>https://doi.org/https://doi.org/10.2307/2095101</w:t>
        </w:r>
      </w:hyperlink>
    </w:p>
    <w:p w:rsidR="250871A7" w:rsidP="7C4DA529" w:rsidRDefault="250871A7" w14:paraId="78ECFC92" w14:textId="3F46E496">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Edmondson, A. (1999). Psychological safety and learning behavior in work teams. </w:t>
      </w:r>
      <w:r w:rsidRPr="7C4DA529" w:rsidR="098C5972">
        <w:rPr>
          <w:rFonts w:ascii="Calibri" w:hAnsi="Calibri" w:eastAsia="Calibri" w:cs="Calibri"/>
          <w:i w:val="1"/>
          <w:iCs w:val="1"/>
          <w:noProof w:val="0"/>
          <w:color w:val="000000" w:themeColor="text1" w:themeTint="FF" w:themeShade="FF"/>
          <w:sz w:val="24"/>
          <w:szCs w:val="24"/>
          <w:lang w:val="en-GB"/>
        </w:rPr>
        <w:t>Administrative Science Quarterly</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44</w:t>
      </w:r>
      <w:r w:rsidRPr="7C4DA529" w:rsidR="098C5972">
        <w:rPr>
          <w:rFonts w:ascii="Calibri" w:hAnsi="Calibri" w:eastAsia="Calibri" w:cs="Calibri"/>
          <w:noProof w:val="0"/>
          <w:color w:val="000000" w:themeColor="text1" w:themeTint="FF" w:themeShade="FF"/>
          <w:sz w:val="24"/>
          <w:szCs w:val="24"/>
          <w:lang w:val="en-GB"/>
        </w:rPr>
        <w:t xml:space="preserve">(2), 350–383. </w:t>
      </w:r>
      <w:hyperlink r:id="Rfd5b8b22991d40b7">
        <w:r w:rsidRPr="7C4DA529" w:rsidR="098C5972">
          <w:rPr>
            <w:rStyle w:val="Hyperlink"/>
            <w:rFonts w:ascii="Calibri" w:hAnsi="Calibri" w:eastAsia="Calibri" w:cs="Calibri"/>
            <w:noProof w:val="0"/>
            <w:lang w:val="en-GB"/>
          </w:rPr>
          <w:t>https://doi.org/https://doi.org/10.2307/2666999</w:t>
        </w:r>
      </w:hyperlink>
    </w:p>
    <w:p w:rsidR="250871A7" w:rsidP="7C4DA529" w:rsidRDefault="250871A7" w14:paraId="6AB0BDDD" w14:textId="2D9E2486">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Ehrenreich, B. (2001). </w:t>
      </w:r>
      <w:r w:rsidRPr="7C4DA529" w:rsidR="098C5972">
        <w:rPr>
          <w:rFonts w:ascii="Calibri" w:hAnsi="Calibri" w:eastAsia="Calibri" w:cs="Calibri"/>
          <w:i w:val="1"/>
          <w:iCs w:val="1"/>
          <w:noProof w:val="0"/>
          <w:color w:val="000000" w:themeColor="text1" w:themeTint="FF" w:themeShade="FF"/>
          <w:sz w:val="24"/>
          <w:szCs w:val="24"/>
          <w:lang w:val="en-GB"/>
        </w:rPr>
        <w:t>Nickel and dimed: On (not) getting by in America</w:t>
      </w:r>
      <w:r w:rsidRPr="7C4DA529" w:rsidR="098C5972">
        <w:rPr>
          <w:rFonts w:ascii="Calibri" w:hAnsi="Calibri" w:eastAsia="Calibri" w:cs="Calibri"/>
          <w:noProof w:val="0"/>
          <w:color w:val="000000" w:themeColor="text1" w:themeTint="FF" w:themeShade="FF"/>
          <w:sz w:val="24"/>
          <w:szCs w:val="24"/>
          <w:lang w:val="en-GB"/>
        </w:rPr>
        <w:t>. Henry Holt And Company.</w:t>
      </w:r>
    </w:p>
    <w:p w:rsidR="250871A7" w:rsidP="7C4DA529" w:rsidRDefault="250871A7" w14:paraId="09A8E987" w14:textId="0BD51AAD">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Foucault, M. (1977). </w:t>
      </w:r>
      <w:r w:rsidRPr="7C4DA529" w:rsidR="098C5972">
        <w:rPr>
          <w:rFonts w:ascii="Calibri" w:hAnsi="Calibri" w:eastAsia="Calibri" w:cs="Calibri"/>
          <w:i w:val="1"/>
          <w:iCs w:val="1"/>
          <w:noProof w:val="0"/>
          <w:color w:val="000000" w:themeColor="text1" w:themeTint="FF" w:themeShade="FF"/>
          <w:sz w:val="24"/>
          <w:szCs w:val="24"/>
          <w:lang w:val="en-GB"/>
        </w:rPr>
        <w:t>Discipline and punish: The birth of the prison</w:t>
      </w:r>
      <w:r w:rsidRPr="7C4DA529" w:rsidR="098C5972">
        <w:rPr>
          <w:rFonts w:ascii="Calibri" w:hAnsi="Calibri" w:eastAsia="Calibri" w:cs="Calibri"/>
          <w:noProof w:val="0"/>
          <w:color w:val="000000" w:themeColor="text1" w:themeTint="FF" w:themeShade="FF"/>
          <w:sz w:val="24"/>
          <w:szCs w:val="24"/>
          <w:lang w:val="en-GB"/>
        </w:rPr>
        <w:t xml:space="preserve">. Vintage Books. </w:t>
      </w:r>
      <w:hyperlink r:id="R2ca48d7564844940">
        <w:r w:rsidRPr="7C4DA529" w:rsidR="098C5972">
          <w:rPr>
            <w:rStyle w:val="Hyperlink"/>
            <w:rFonts w:ascii="Calibri" w:hAnsi="Calibri" w:eastAsia="Calibri" w:cs="Calibri"/>
            <w:noProof w:val="0"/>
            <w:lang w:val="en-GB"/>
          </w:rPr>
          <w:t>https://monoskop.org/images/4/43/Foucault_Michel_Discipline_and_Punish_The_Birth_of_the_Prison_1977_1995.pdf</w:t>
        </w:r>
      </w:hyperlink>
    </w:p>
    <w:p w:rsidR="250871A7" w:rsidP="7C4DA529" w:rsidRDefault="250871A7" w14:paraId="1E773603" w14:textId="1205B6C7">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Gaugler, E. (1996). </w:t>
      </w:r>
      <w:r w:rsidRPr="7C4DA529" w:rsidR="098C5972">
        <w:rPr>
          <w:rFonts w:ascii="Calibri" w:hAnsi="Calibri" w:eastAsia="Calibri" w:cs="Calibri"/>
          <w:i w:val="1"/>
          <w:iCs w:val="1"/>
          <w:noProof w:val="0"/>
          <w:color w:val="000000" w:themeColor="text1" w:themeTint="FF" w:themeShade="FF"/>
          <w:sz w:val="24"/>
          <w:szCs w:val="24"/>
          <w:lang w:val="en-GB"/>
        </w:rPr>
        <w:t>Frederick W. Taylors “the principles of scientific management.”</w:t>
      </w:r>
      <w:r w:rsidRPr="7C4DA529" w:rsidR="098C5972">
        <w:rPr>
          <w:rFonts w:ascii="Calibri" w:hAnsi="Calibri" w:eastAsia="Calibri" w:cs="Calibri"/>
          <w:noProof w:val="0"/>
          <w:color w:val="000000" w:themeColor="text1" w:themeTint="FF" w:themeShade="FF"/>
          <w:sz w:val="24"/>
          <w:szCs w:val="24"/>
          <w:lang w:val="en-GB"/>
        </w:rPr>
        <w:t xml:space="preserve"> Verlag Wirtschaft und Finanzen.</w:t>
      </w:r>
    </w:p>
    <w:p w:rsidR="250871A7" w:rsidP="7C4DA529" w:rsidRDefault="250871A7" w14:paraId="025C0FD6" w14:textId="1B00AC7C">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Gladwell, M. (2001). </w:t>
      </w:r>
      <w:r w:rsidRPr="7C4DA529" w:rsidR="098C5972">
        <w:rPr>
          <w:rFonts w:ascii="Calibri" w:hAnsi="Calibri" w:eastAsia="Calibri" w:cs="Calibri"/>
          <w:i w:val="1"/>
          <w:iCs w:val="1"/>
          <w:noProof w:val="0"/>
          <w:color w:val="000000" w:themeColor="text1" w:themeTint="FF" w:themeShade="FF"/>
          <w:sz w:val="24"/>
          <w:szCs w:val="24"/>
          <w:lang w:val="en-GB"/>
        </w:rPr>
        <w:t>The tipping point</w:t>
      </w:r>
      <w:r w:rsidRPr="7C4DA529" w:rsidR="098C5972">
        <w:rPr>
          <w:rFonts w:ascii="Calibri" w:hAnsi="Calibri" w:eastAsia="Calibri" w:cs="Calibri"/>
          <w:noProof w:val="0"/>
          <w:color w:val="000000" w:themeColor="text1" w:themeTint="FF" w:themeShade="FF"/>
          <w:sz w:val="24"/>
          <w:szCs w:val="24"/>
          <w:lang w:val="en-GB"/>
        </w:rPr>
        <w:t>. Lb Books.</w:t>
      </w:r>
    </w:p>
    <w:p w:rsidR="250871A7" w:rsidP="7C4DA529" w:rsidRDefault="250871A7" w14:paraId="140783CC" w14:textId="1A414161">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GOV.UK. (2005). </w:t>
      </w:r>
      <w:r w:rsidRPr="7C4DA529" w:rsidR="098C5972">
        <w:rPr>
          <w:rFonts w:ascii="Calibri" w:hAnsi="Calibri" w:eastAsia="Calibri" w:cs="Calibri"/>
          <w:i w:val="1"/>
          <w:iCs w:val="1"/>
          <w:noProof w:val="0"/>
          <w:color w:val="000000" w:themeColor="text1" w:themeTint="FF" w:themeShade="FF"/>
          <w:sz w:val="24"/>
          <w:szCs w:val="24"/>
          <w:lang w:val="en-GB"/>
        </w:rPr>
        <w:t>Mental capacity act 2005</w:t>
      </w:r>
      <w:r w:rsidRPr="7C4DA529" w:rsidR="098C5972">
        <w:rPr>
          <w:rFonts w:ascii="Calibri" w:hAnsi="Calibri" w:eastAsia="Calibri" w:cs="Calibri"/>
          <w:noProof w:val="0"/>
          <w:color w:val="000000" w:themeColor="text1" w:themeTint="FF" w:themeShade="FF"/>
          <w:sz w:val="24"/>
          <w:szCs w:val="24"/>
          <w:lang w:val="en-GB"/>
        </w:rPr>
        <w:t xml:space="preserve">. GOV.UK. Legislation.Gov.Uk. </w:t>
      </w:r>
      <w:hyperlink r:id="R9a023f267fb84f25">
        <w:r w:rsidRPr="7C4DA529" w:rsidR="098C5972">
          <w:rPr>
            <w:rStyle w:val="Hyperlink"/>
            <w:rFonts w:ascii="Calibri" w:hAnsi="Calibri" w:eastAsia="Calibri" w:cs="Calibri"/>
            <w:noProof w:val="0"/>
            <w:lang w:val="en-GB"/>
          </w:rPr>
          <w:t>https://www.legislation.gov.uk/ukpga/2005/9/contents</w:t>
        </w:r>
      </w:hyperlink>
    </w:p>
    <w:p w:rsidR="250871A7" w:rsidP="7C4DA529" w:rsidRDefault="250871A7" w14:paraId="268397CD" w14:textId="6CA2C997">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Grandjean, E. (1980). </w:t>
      </w:r>
      <w:r w:rsidRPr="7C4DA529" w:rsidR="098C5972">
        <w:rPr>
          <w:rFonts w:ascii="Calibri" w:hAnsi="Calibri" w:eastAsia="Calibri" w:cs="Calibri"/>
          <w:i w:val="1"/>
          <w:iCs w:val="1"/>
          <w:noProof w:val="0"/>
          <w:color w:val="000000" w:themeColor="text1" w:themeTint="FF" w:themeShade="FF"/>
          <w:sz w:val="24"/>
          <w:szCs w:val="24"/>
          <w:lang w:val="en-GB"/>
        </w:rPr>
        <w:t>Fitting the task to the man</w:t>
      </w:r>
      <w:r w:rsidRPr="7C4DA529" w:rsidR="098C5972">
        <w:rPr>
          <w:rFonts w:ascii="Calibri" w:hAnsi="Calibri" w:eastAsia="Calibri" w:cs="Calibri"/>
          <w:noProof w:val="0"/>
          <w:color w:val="000000" w:themeColor="text1" w:themeTint="FF" w:themeShade="FF"/>
          <w:sz w:val="24"/>
          <w:szCs w:val="24"/>
          <w:lang w:val="en-GB"/>
        </w:rPr>
        <w:t>. London : Taylor &amp; Francis.</w:t>
      </w:r>
    </w:p>
    <w:p w:rsidR="250871A7" w:rsidP="7C4DA529" w:rsidRDefault="250871A7" w14:paraId="6CB78D7C" w14:textId="5E7B2916">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Hall, E. (1976). Beyond culture. </w:t>
      </w:r>
      <w:r w:rsidRPr="7C4DA529" w:rsidR="098C5972">
        <w:rPr>
          <w:rFonts w:ascii="Calibri" w:hAnsi="Calibri" w:eastAsia="Calibri" w:cs="Calibri"/>
          <w:i w:val="1"/>
          <w:iCs w:val="1"/>
          <w:noProof w:val="0"/>
          <w:color w:val="000000" w:themeColor="text1" w:themeTint="FF" w:themeShade="FF"/>
          <w:sz w:val="24"/>
          <w:szCs w:val="24"/>
          <w:lang w:val="en-GB"/>
        </w:rPr>
        <w:t>American Ethnologist</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4</w:t>
      </w:r>
      <w:r w:rsidRPr="7C4DA529" w:rsidR="098C5972">
        <w:rPr>
          <w:rFonts w:ascii="Calibri" w:hAnsi="Calibri" w:eastAsia="Calibri" w:cs="Calibri"/>
          <w:noProof w:val="0"/>
          <w:color w:val="000000" w:themeColor="text1" w:themeTint="FF" w:themeShade="FF"/>
          <w:sz w:val="24"/>
          <w:szCs w:val="24"/>
          <w:lang w:val="en-GB"/>
        </w:rPr>
        <w:t xml:space="preserve">(4), 783–784. </w:t>
      </w:r>
      <w:hyperlink r:id="R14036d0c81994c26">
        <w:r w:rsidRPr="7C4DA529" w:rsidR="098C5972">
          <w:rPr>
            <w:rStyle w:val="Hyperlink"/>
            <w:rFonts w:ascii="Calibri" w:hAnsi="Calibri" w:eastAsia="Calibri" w:cs="Calibri"/>
            <w:noProof w:val="0"/>
            <w:lang w:val="en-GB"/>
          </w:rPr>
          <w:t>https://doi.org/10.1525/ae.1977.4.4.02a00120</w:t>
        </w:r>
      </w:hyperlink>
    </w:p>
    <w:p w:rsidR="250871A7" w:rsidP="7C4DA529" w:rsidRDefault="250871A7" w14:paraId="34C48FB8" w14:textId="09068707">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Hofstede, G. (1980). </w:t>
      </w:r>
      <w:r w:rsidRPr="7C4DA529" w:rsidR="098C5972">
        <w:rPr>
          <w:rFonts w:ascii="Calibri" w:hAnsi="Calibri" w:eastAsia="Calibri" w:cs="Calibri"/>
          <w:i w:val="1"/>
          <w:iCs w:val="1"/>
          <w:noProof w:val="0"/>
          <w:color w:val="000000" w:themeColor="text1" w:themeTint="FF" w:themeShade="FF"/>
          <w:sz w:val="24"/>
          <w:szCs w:val="24"/>
          <w:lang w:val="en-GB"/>
        </w:rPr>
        <w:t>Culture’s consequences: International differences in work-related values</w:t>
      </w:r>
      <w:r w:rsidRPr="7C4DA529" w:rsidR="098C5972">
        <w:rPr>
          <w:rFonts w:ascii="Calibri" w:hAnsi="Calibri" w:eastAsia="Calibri" w:cs="Calibri"/>
          <w:noProof w:val="0"/>
          <w:color w:val="000000" w:themeColor="text1" w:themeTint="FF" w:themeShade="FF"/>
          <w:sz w:val="24"/>
          <w:szCs w:val="24"/>
          <w:lang w:val="en-GB"/>
        </w:rPr>
        <w:t>. Sage Publications.</w:t>
      </w:r>
    </w:p>
    <w:p w:rsidR="250871A7" w:rsidP="7C4DA529" w:rsidRDefault="250871A7" w14:paraId="428C3447" w14:textId="3475B476">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Johnson, G., Scholes, K., &amp; Whittington, R. (2008). </w:t>
      </w:r>
      <w:r w:rsidRPr="7C4DA529" w:rsidR="098C5972">
        <w:rPr>
          <w:rFonts w:ascii="Calibri" w:hAnsi="Calibri" w:eastAsia="Calibri" w:cs="Calibri"/>
          <w:i w:val="1"/>
          <w:iCs w:val="1"/>
          <w:noProof w:val="0"/>
          <w:color w:val="000000" w:themeColor="text1" w:themeTint="FF" w:themeShade="FF"/>
          <w:sz w:val="24"/>
          <w:szCs w:val="24"/>
          <w:lang w:val="en-GB"/>
        </w:rPr>
        <w:t>Exploring corporate strategy: Text and cases</w:t>
      </w:r>
      <w:r w:rsidRPr="7C4DA529" w:rsidR="098C5972">
        <w:rPr>
          <w:rFonts w:ascii="Calibri" w:hAnsi="Calibri" w:eastAsia="Calibri" w:cs="Calibri"/>
          <w:noProof w:val="0"/>
          <w:color w:val="000000" w:themeColor="text1" w:themeTint="FF" w:themeShade="FF"/>
          <w:sz w:val="24"/>
          <w:szCs w:val="24"/>
          <w:lang w:val="en-GB"/>
        </w:rPr>
        <w:t xml:space="preserve"> (8th ed.). FT Prentice Hall.</w:t>
      </w:r>
    </w:p>
    <w:p w:rsidR="250871A7" w:rsidP="7C4DA529" w:rsidRDefault="250871A7" w14:paraId="5F250617" w14:textId="5F7FA629">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Katz, D., &amp; Kahn, R. L. (1978). The social psychology of organizations. </w:t>
      </w:r>
      <w:r w:rsidRPr="7C4DA529" w:rsidR="098C5972">
        <w:rPr>
          <w:rFonts w:ascii="Calibri" w:hAnsi="Calibri" w:eastAsia="Calibri" w:cs="Calibri"/>
          <w:i w:val="1"/>
          <w:iCs w:val="1"/>
          <w:noProof w:val="0"/>
          <w:color w:val="000000" w:themeColor="text1" w:themeTint="FF" w:themeShade="FF"/>
          <w:sz w:val="24"/>
          <w:szCs w:val="24"/>
          <w:lang w:val="en-GB"/>
        </w:rPr>
        <w:t>Social Forces</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46</w:t>
      </w:r>
      <w:r w:rsidRPr="7C4DA529" w:rsidR="098C5972">
        <w:rPr>
          <w:rFonts w:ascii="Calibri" w:hAnsi="Calibri" w:eastAsia="Calibri" w:cs="Calibri"/>
          <w:noProof w:val="0"/>
          <w:color w:val="000000" w:themeColor="text1" w:themeTint="FF" w:themeShade="FF"/>
          <w:sz w:val="24"/>
          <w:szCs w:val="24"/>
          <w:lang w:val="en-GB"/>
        </w:rPr>
        <w:t xml:space="preserve">(1), 118. </w:t>
      </w:r>
      <w:hyperlink r:id="Rc38367e32f154e99">
        <w:r w:rsidRPr="7C4DA529" w:rsidR="098C5972">
          <w:rPr>
            <w:rStyle w:val="Hyperlink"/>
            <w:rFonts w:ascii="Calibri" w:hAnsi="Calibri" w:eastAsia="Calibri" w:cs="Calibri"/>
            <w:noProof w:val="0"/>
            <w:lang w:val="en-GB"/>
          </w:rPr>
          <w:t>https://doi.org/10.2307/2575337</w:t>
        </w:r>
      </w:hyperlink>
    </w:p>
    <w:p w:rsidR="250871A7" w:rsidP="7C4DA529" w:rsidRDefault="250871A7" w14:paraId="1077988F" w14:textId="7663E7F7">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Knowles, M. S. (1984). </w:t>
      </w:r>
      <w:r w:rsidRPr="7C4DA529" w:rsidR="098C5972">
        <w:rPr>
          <w:rFonts w:ascii="Calibri" w:hAnsi="Calibri" w:eastAsia="Calibri" w:cs="Calibri"/>
          <w:i w:val="1"/>
          <w:iCs w:val="1"/>
          <w:noProof w:val="0"/>
          <w:color w:val="000000" w:themeColor="text1" w:themeTint="FF" w:themeShade="FF"/>
          <w:sz w:val="24"/>
          <w:szCs w:val="24"/>
          <w:lang w:val="en-GB"/>
        </w:rPr>
        <w:t>Andragogy in Action</w:t>
      </w:r>
      <w:r w:rsidRPr="7C4DA529" w:rsidR="098C5972">
        <w:rPr>
          <w:rFonts w:ascii="Calibri" w:hAnsi="Calibri" w:eastAsia="Calibri" w:cs="Calibri"/>
          <w:noProof w:val="0"/>
          <w:color w:val="000000" w:themeColor="text1" w:themeTint="FF" w:themeShade="FF"/>
          <w:sz w:val="24"/>
          <w:szCs w:val="24"/>
          <w:lang w:val="en-GB"/>
        </w:rPr>
        <w:t>. Jossey-Bass.</w:t>
      </w:r>
    </w:p>
    <w:p w:rsidR="250871A7" w:rsidP="7C4DA529" w:rsidRDefault="250871A7" w14:paraId="0C12D05E" w14:textId="3D22B17A">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Kolb, D. (2015). </w:t>
      </w:r>
      <w:r w:rsidRPr="7C4DA529" w:rsidR="098C5972">
        <w:rPr>
          <w:rFonts w:ascii="Calibri" w:hAnsi="Calibri" w:eastAsia="Calibri" w:cs="Calibri"/>
          <w:i w:val="1"/>
          <w:iCs w:val="1"/>
          <w:noProof w:val="0"/>
          <w:color w:val="000000" w:themeColor="text1" w:themeTint="FF" w:themeShade="FF"/>
          <w:sz w:val="24"/>
          <w:szCs w:val="24"/>
          <w:lang w:val="en-GB"/>
        </w:rPr>
        <w:t>Experiential learning: Experience as the source of learning and development</w:t>
      </w:r>
      <w:r w:rsidRPr="7C4DA529" w:rsidR="098C5972">
        <w:rPr>
          <w:rFonts w:ascii="Calibri" w:hAnsi="Calibri" w:eastAsia="Calibri" w:cs="Calibri"/>
          <w:noProof w:val="0"/>
          <w:color w:val="000000" w:themeColor="text1" w:themeTint="FF" w:themeShade="FF"/>
          <w:sz w:val="24"/>
          <w:szCs w:val="24"/>
          <w:lang w:val="en-GB"/>
        </w:rPr>
        <w:t xml:space="preserve"> (2nd ed.). Pearson Education, Inc. (Original work published 1984)</w:t>
      </w:r>
    </w:p>
    <w:p w:rsidR="250871A7" w:rsidP="7C4DA529" w:rsidRDefault="250871A7" w14:paraId="05E1A811" w14:textId="080C7406">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Kotter, J. P. (1996). </w:t>
      </w:r>
      <w:r w:rsidRPr="7C4DA529" w:rsidR="098C5972">
        <w:rPr>
          <w:rFonts w:ascii="Calibri" w:hAnsi="Calibri" w:eastAsia="Calibri" w:cs="Calibri"/>
          <w:i w:val="1"/>
          <w:iCs w:val="1"/>
          <w:noProof w:val="0"/>
          <w:color w:val="000000" w:themeColor="text1" w:themeTint="FF" w:themeShade="FF"/>
          <w:sz w:val="24"/>
          <w:szCs w:val="24"/>
          <w:lang w:val="en-GB"/>
        </w:rPr>
        <w:t>Leading change</w:t>
      </w:r>
      <w:r w:rsidRPr="7C4DA529" w:rsidR="098C5972">
        <w:rPr>
          <w:rFonts w:ascii="Calibri" w:hAnsi="Calibri" w:eastAsia="Calibri" w:cs="Calibri"/>
          <w:noProof w:val="0"/>
          <w:color w:val="000000" w:themeColor="text1" w:themeTint="FF" w:themeShade="FF"/>
          <w:sz w:val="24"/>
          <w:szCs w:val="24"/>
          <w:lang w:val="en-GB"/>
        </w:rPr>
        <w:t>. Harvard Business School Press.</w:t>
      </w:r>
    </w:p>
    <w:p w:rsidR="250871A7" w:rsidP="7C4DA529" w:rsidRDefault="250871A7" w14:paraId="295BA71C" w14:textId="62C83264">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Lewin, K. (1947). Frontiers in group dynamics: Concept, method and reality in social science; social equilibria and social change. </w:t>
      </w:r>
      <w:r w:rsidRPr="7C4DA529" w:rsidR="098C5972">
        <w:rPr>
          <w:rFonts w:ascii="Calibri" w:hAnsi="Calibri" w:eastAsia="Calibri" w:cs="Calibri"/>
          <w:i w:val="1"/>
          <w:iCs w:val="1"/>
          <w:noProof w:val="0"/>
          <w:color w:val="000000" w:themeColor="text1" w:themeTint="FF" w:themeShade="FF"/>
          <w:sz w:val="24"/>
          <w:szCs w:val="24"/>
          <w:lang w:val="en-GB"/>
        </w:rPr>
        <w:t>Human Relations</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1</w:t>
      </w:r>
      <w:r w:rsidRPr="7C4DA529" w:rsidR="098C5972">
        <w:rPr>
          <w:rFonts w:ascii="Calibri" w:hAnsi="Calibri" w:eastAsia="Calibri" w:cs="Calibri"/>
          <w:noProof w:val="0"/>
          <w:color w:val="000000" w:themeColor="text1" w:themeTint="FF" w:themeShade="FF"/>
          <w:sz w:val="24"/>
          <w:szCs w:val="24"/>
          <w:lang w:val="en-GB"/>
        </w:rPr>
        <w:t xml:space="preserve">(1), 5–41. Sagepub. </w:t>
      </w:r>
      <w:hyperlink r:id="Ra4a36f75fa97455f">
        <w:r w:rsidRPr="7C4DA529" w:rsidR="098C5972">
          <w:rPr>
            <w:rStyle w:val="Hyperlink"/>
            <w:rFonts w:ascii="Calibri" w:hAnsi="Calibri" w:eastAsia="Calibri" w:cs="Calibri"/>
            <w:noProof w:val="0"/>
            <w:lang w:val="en-GB"/>
          </w:rPr>
          <w:t>https://doi.org/10.1177/001872674700100103</w:t>
        </w:r>
      </w:hyperlink>
    </w:p>
    <w:p w:rsidR="250871A7" w:rsidP="7C4DA529" w:rsidRDefault="250871A7" w14:paraId="259BEF76" w14:textId="48C94FE3">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Lewin, K., &amp; Cartwright, D. (1951). </w:t>
      </w:r>
      <w:r w:rsidRPr="7C4DA529" w:rsidR="098C5972">
        <w:rPr>
          <w:rFonts w:ascii="Calibri" w:hAnsi="Calibri" w:eastAsia="Calibri" w:cs="Calibri"/>
          <w:i w:val="1"/>
          <w:iCs w:val="1"/>
          <w:noProof w:val="0"/>
          <w:color w:val="000000" w:themeColor="text1" w:themeTint="FF" w:themeShade="FF"/>
          <w:sz w:val="24"/>
          <w:szCs w:val="24"/>
          <w:lang w:val="en-GB"/>
        </w:rPr>
        <w:t>Field theory in social science</w:t>
      </w:r>
      <w:r w:rsidRPr="7C4DA529" w:rsidR="098C5972">
        <w:rPr>
          <w:rFonts w:ascii="Calibri" w:hAnsi="Calibri" w:eastAsia="Calibri" w:cs="Calibri"/>
          <w:noProof w:val="0"/>
          <w:color w:val="000000" w:themeColor="text1" w:themeTint="FF" w:themeShade="FF"/>
          <w:sz w:val="24"/>
          <w:szCs w:val="24"/>
          <w:lang w:val="en-GB"/>
        </w:rPr>
        <w:t>. Harper &amp; Bros.</w:t>
      </w:r>
    </w:p>
    <w:p w:rsidR="250871A7" w:rsidP="7C4DA529" w:rsidRDefault="250871A7" w14:paraId="29F222EF" w14:textId="72856A90">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Lippens, R. (2002). Book review: Restorative justice and responsive regulation. </w:t>
      </w:r>
      <w:r w:rsidRPr="7C4DA529" w:rsidR="098C5972">
        <w:rPr>
          <w:rFonts w:ascii="Calibri" w:hAnsi="Calibri" w:eastAsia="Calibri" w:cs="Calibri"/>
          <w:i w:val="1"/>
          <w:iCs w:val="1"/>
          <w:noProof w:val="0"/>
          <w:color w:val="000000" w:themeColor="text1" w:themeTint="FF" w:themeShade="FF"/>
          <w:sz w:val="24"/>
          <w:szCs w:val="24"/>
          <w:lang w:val="en-GB"/>
        </w:rPr>
        <w:t>Theoretical Criminology</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6</w:t>
      </w:r>
      <w:r w:rsidRPr="7C4DA529" w:rsidR="098C5972">
        <w:rPr>
          <w:rFonts w:ascii="Calibri" w:hAnsi="Calibri" w:eastAsia="Calibri" w:cs="Calibri"/>
          <w:noProof w:val="0"/>
          <w:color w:val="000000" w:themeColor="text1" w:themeTint="FF" w:themeShade="FF"/>
          <w:sz w:val="24"/>
          <w:szCs w:val="24"/>
          <w:lang w:val="en-GB"/>
        </w:rPr>
        <w:t xml:space="preserve">(4), 503–506. </w:t>
      </w:r>
      <w:hyperlink r:id="R0d322d29ac554d32">
        <w:r w:rsidRPr="7C4DA529" w:rsidR="098C5972">
          <w:rPr>
            <w:rStyle w:val="Hyperlink"/>
            <w:rFonts w:ascii="Calibri" w:hAnsi="Calibri" w:eastAsia="Calibri" w:cs="Calibri"/>
            <w:noProof w:val="0"/>
            <w:lang w:val="en-GB"/>
          </w:rPr>
          <w:t>https://doi.org/10.1177/136248060200600410</w:t>
        </w:r>
      </w:hyperlink>
    </w:p>
    <w:p w:rsidR="250871A7" w:rsidP="7C4DA529" w:rsidRDefault="250871A7" w14:paraId="45179F39" w14:textId="7D1DD1AF">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Luthans, F. (2002). The need for and meaning of positive organizational behavior. </w:t>
      </w:r>
      <w:r w:rsidRPr="7C4DA529" w:rsidR="098C5972">
        <w:rPr>
          <w:rFonts w:ascii="Calibri" w:hAnsi="Calibri" w:eastAsia="Calibri" w:cs="Calibri"/>
          <w:i w:val="1"/>
          <w:iCs w:val="1"/>
          <w:noProof w:val="0"/>
          <w:color w:val="000000" w:themeColor="text1" w:themeTint="FF" w:themeShade="FF"/>
          <w:sz w:val="24"/>
          <w:szCs w:val="24"/>
          <w:lang w:val="en-GB"/>
        </w:rPr>
        <w:t>Journal of Organizational Behavior</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23</w:t>
      </w:r>
      <w:r w:rsidRPr="7C4DA529" w:rsidR="098C5972">
        <w:rPr>
          <w:rFonts w:ascii="Calibri" w:hAnsi="Calibri" w:eastAsia="Calibri" w:cs="Calibri"/>
          <w:noProof w:val="0"/>
          <w:color w:val="000000" w:themeColor="text1" w:themeTint="FF" w:themeShade="FF"/>
          <w:sz w:val="24"/>
          <w:szCs w:val="24"/>
          <w:lang w:val="en-GB"/>
        </w:rPr>
        <w:t xml:space="preserve">(6), 695–706. </w:t>
      </w:r>
      <w:hyperlink r:id="R4210b0c10ea34fee">
        <w:r w:rsidRPr="7C4DA529" w:rsidR="098C5972">
          <w:rPr>
            <w:rStyle w:val="Hyperlink"/>
            <w:rFonts w:ascii="Calibri" w:hAnsi="Calibri" w:eastAsia="Calibri" w:cs="Calibri"/>
            <w:noProof w:val="0"/>
            <w:lang w:val="en-GB"/>
          </w:rPr>
          <w:t>https://doi.org/10.1002/job.165</w:t>
        </w:r>
      </w:hyperlink>
    </w:p>
    <w:p w:rsidR="250871A7" w:rsidP="7C4DA529" w:rsidRDefault="250871A7" w14:paraId="7D34E8F3" w14:textId="387B73A1">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Maurer, R. (1996). </w:t>
      </w:r>
      <w:r w:rsidRPr="7C4DA529" w:rsidR="098C5972">
        <w:rPr>
          <w:rFonts w:ascii="Calibri" w:hAnsi="Calibri" w:eastAsia="Calibri" w:cs="Calibri"/>
          <w:i w:val="1"/>
          <w:iCs w:val="1"/>
          <w:noProof w:val="0"/>
          <w:color w:val="000000" w:themeColor="text1" w:themeTint="FF" w:themeShade="FF"/>
          <w:sz w:val="24"/>
          <w:szCs w:val="24"/>
          <w:lang w:val="en-GB"/>
        </w:rPr>
        <w:t>Beyond the wall of resistance: Unconventional strategies that build support for change</w:t>
      </w:r>
      <w:r w:rsidRPr="7C4DA529" w:rsidR="098C5972">
        <w:rPr>
          <w:rFonts w:ascii="Calibri" w:hAnsi="Calibri" w:eastAsia="Calibri" w:cs="Calibri"/>
          <w:noProof w:val="0"/>
          <w:color w:val="000000" w:themeColor="text1" w:themeTint="FF" w:themeShade="FF"/>
          <w:sz w:val="24"/>
          <w:szCs w:val="24"/>
          <w:lang w:val="en-GB"/>
        </w:rPr>
        <w:t>. Bard.</w:t>
      </w:r>
    </w:p>
    <w:p w:rsidR="250871A7" w:rsidP="7C4DA529" w:rsidRDefault="250871A7" w14:paraId="135617B8" w14:textId="15AA013D">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Mayo, E. (1933). Collected papers of the mayo clinic and the mayo foundation. </w:t>
      </w:r>
      <w:r w:rsidRPr="7C4DA529" w:rsidR="098C5972">
        <w:rPr>
          <w:rFonts w:ascii="Calibri" w:hAnsi="Calibri" w:eastAsia="Calibri" w:cs="Calibri"/>
          <w:i w:val="1"/>
          <w:iCs w:val="1"/>
          <w:noProof w:val="0"/>
          <w:color w:val="000000" w:themeColor="text1" w:themeTint="FF" w:themeShade="FF"/>
          <w:sz w:val="24"/>
          <w:szCs w:val="24"/>
          <w:lang w:val="en-GB"/>
        </w:rPr>
        <w:t>The American Journal of Surgery</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21</w:t>
      </w:r>
      <w:r w:rsidRPr="7C4DA529" w:rsidR="098C5972">
        <w:rPr>
          <w:rFonts w:ascii="Calibri" w:hAnsi="Calibri" w:eastAsia="Calibri" w:cs="Calibri"/>
          <w:noProof w:val="0"/>
          <w:color w:val="000000" w:themeColor="text1" w:themeTint="FF" w:themeShade="FF"/>
          <w:sz w:val="24"/>
          <w:szCs w:val="24"/>
          <w:lang w:val="en-GB"/>
        </w:rPr>
        <w:t xml:space="preserve">(2), 306. </w:t>
      </w:r>
      <w:hyperlink r:id="R69652eb93b2a4fe0">
        <w:r w:rsidRPr="7C4DA529" w:rsidR="098C5972">
          <w:rPr>
            <w:rStyle w:val="Hyperlink"/>
            <w:rFonts w:ascii="Calibri" w:hAnsi="Calibri" w:eastAsia="Calibri" w:cs="Calibri"/>
            <w:noProof w:val="0"/>
            <w:lang w:val="en-GB"/>
          </w:rPr>
          <w:t>https://doi.org/10.1016/s0002-9610(33)90912-5</w:t>
        </w:r>
      </w:hyperlink>
    </w:p>
    <w:p w:rsidR="250871A7" w:rsidP="7C4DA529" w:rsidRDefault="250871A7" w14:paraId="65AA6B48" w14:textId="27DECEA8">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McGregor, D. (1960). </w:t>
      </w:r>
      <w:r w:rsidRPr="7C4DA529" w:rsidR="098C5972">
        <w:rPr>
          <w:rFonts w:ascii="Calibri" w:hAnsi="Calibri" w:eastAsia="Calibri" w:cs="Calibri"/>
          <w:i w:val="1"/>
          <w:iCs w:val="1"/>
          <w:noProof w:val="0"/>
          <w:color w:val="000000" w:themeColor="text1" w:themeTint="FF" w:themeShade="FF"/>
          <w:sz w:val="24"/>
          <w:szCs w:val="24"/>
          <w:lang w:val="en-GB"/>
        </w:rPr>
        <w:t>The human side of enterprise</w:t>
      </w:r>
      <w:r w:rsidRPr="7C4DA529" w:rsidR="098C5972">
        <w:rPr>
          <w:rFonts w:ascii="Calibri" w:hAnsi="Calibri" w:eastAsia="Calibri" w:cs="Calibri"/>
          <w:noProof w:val="0"/>
          <w:color w:val="000000" w:themeColor="text1" w:themeTint="FF" w:themeShade="FF"/>
          <w:sz w:val="24"/>
          <w:szCs w:val="24"/>
          <w:lang w:val="en-GB"/>
        </w:rPr>
        <w:t>. Mcgraw-Hill.</w:t>
      </w:r>
    </w:p>
    <w:p w:rsidR="250871A7" w:rsidP="7C4DA529" w:rsidRDefault="250871A7" w14:paraId="63BE6021" w14:textId="41E9BCD5">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Merton, R. K. (1940). Bureaucratic structure and personality. </w:t>
      </w:r>
      <w:r w:rsidRPr="7C4DA529" w:rsidR="098C5972">
        <w:rPr>
          <w:rFonts w:ascii="Calibri" w:hAnsi="Calibri" w:eastAsia="Calibri" w:cs="Calibri"/>
          <w:i w:val="1"/>
          <w:iCs w:val="1"/>
          <w:noProof w:val="0"/>
          <w:color w:val="000000" w:themeColor="text1" w:themeTint="FF" w:themeShade="FF"/>
          <w:sz w:val="24"/>
          <w:szCs w:val="24"/>
          <w:lang w:val="en-GB"/>
        </w:rPr>
        <w:t>Social Forces</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18</w:t>
      </w:r>
      <w:r w:rsidRPr="7C4DA529" w:rsidR="098C5972">
        <w:rPr>
          <w:rFonts w:ascii="Calibri" w:hAnsi="Calibri" w:eastAsia="Calibri" w:cs="Calibri"/>
          <w:noProof w:val="0"/>
          <w:color w:val="000000" w:themeColor="text1" w:themeTint="FF" w:themeShade="FF"/>
          <w:sz w:val="24"/>
          <w:szCs w:val="24"/>
          <w:lang w:val="en-GB"/>
        </w:rPr>
        <w:t>(4), 560–568.</w:t>
      </w:r>
    </w:p>
    <w:p w:rsidR="250871A7" w:rsidP="7C4DA529" w:rsidRDefault="250871A7" w14:paraId="7589ADA6" w14:textId="3677C3BF">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Nadler, D. A., &amp; Tushman, M. L. (1980). A model for diagnosing organizational behavior. </w:t>
      </w:r>
      <w:r w:rsidRPr="7C4DA529" w:rsidR="098C5972">
        <w:rPr>
          <w:rFonts w:ascii="Calibri" w:hAnsi="Calibri" w:eastAsia="Calibri" w:cs="Calibri"/>
          <w:i w:val="1"/>
          <w:iCs w:val="1"/>
          <w:noProof w:val="0"/>
          <w:color w:val="000000" w:themeColor="text1" w:themeTint="FF" w:themeShade="FF"/>
          <w:sz w:val="24"/>
          <w:szCs w:val="24"/>
          <w:lang w:val="en-GB"/>
        </w:rPr>
        <w:t>Organizational Dynamics</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9</w:t>
      </w:r>
      <w:r w:rsidRPr="7C4DA529" w:rsidR="098C5972">
        <w:rPr>
          <w:rFonts w:ascii="Calibri" w:hAnsi="Calibri" w:eastAsia="Calibri" w:cs="Calibri"/>
          <w:noProof w:val="0"/>
          <w:color w:val="000000" w:themeColor="text1" w:themeTint="FF" w:themeShade="FF"/>
          <w:sz w:val="24"/>
          <w:szCs w:val="24"/>
          <w:lang w:val="en-GB"/>
        </w:rPr>
        <w:t>(2), 35–51.</w:t>
      </w:r>
    </w:p>
    <w:p w:rsidR="250871A7" w:rsidP="7C4DA529" w:rsidRDefault="250871A7" w14:paraId="71CA92AE" w14:textId="2988F151">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Nicholson, N. (1984). A theory of work role transitions. </w:t>
      </w:r>
      <w:r w:rsidRPr="7C4DA529" w:rsidR="098C5972">
        <w:rPr>
          <w:rFonts w:ascii="Calibri" w:hAnsi="Calibri" w:eastAsia="Calibri" w:cs="Calibri"/>
          <w:i w:val="1"/>
          <w:iCs w:val="1"/>
          <w:noProof w:val="0"/>
          <w:color w:val="000000" w:themeColor="text1" w:themeTint="FF" w:themeShade="FF"/>
          <w:sz w:val="24"/>
          <w:szCs w:val="24"/>
          <w:lang w:val="en-GB"/>
        </w:rPr>
        <w:t>Administrative Science Quarterly</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29</w:t>
      </w:r>
      <w:r w:rsidRPr="7C4DA529" w:rsidR="098C5972">
        <w:rPr>
          <w:rFonts w:ascii="Calibri" w:hAnsi="Calibri" w:eastAsia="Calibri" w:cs="Calibri"/>
          <w:noProof w:val="0"/>
          <w:color w:val="000000" w:themeColor="text1" w:themeTint="FF" w:themeShade="FF"/>
          <w:sz w:val="24"/>
          <w:szCs w:val="24"/>
          <w:lang w:val="en-GB"/>
        </w:rPr>
        <w:t xml:space="preserve">(2), 172. </w:t>
      </w:r>
      <w:hyperlink r:id="R77c83efd8b6a46ce">
        <w:r w:rsidRPr="7C4DA529" w:rsidR="098C5972">
          <w:rPr>
            <w:rStyle w:val="Hyperlink"/>
            <w:rFonts w:ascii="Calibri" w:hAnsi="Calibri" w:eastAsia="Calibri" w:cs="Calibri"/>
            <w:noProof w:val="0"/>
            <w:lang w:val="en-GB"/>
          </w:rPr>
          <w:t>https://doi.org/10.2307/2393172</w:t>
        </w:r>
      </w:hyperlink>
    </w:p>
    <w:p w:rsidR="250871A7" w:rsidP="7C4DA529" w:rsidRDefault="250871A7" w14:paraId="7EA8B037" w14:textId="49B11E21">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Pfeffer, J., &amp; Salancik, G. R. (1978). The external control of organizations. </w:t>
      </w:r>
      <w:r w:rsidRPr="7C4DA529" w:rsidR="098C5972">
        <w:rPr>
          <w:rFonts w:ascii="Calibri" w:hAnsi="Calibri" w:eastAsia="Calibri" w:cs="Calibri"/>
          <w:i w:val="1"/>
          <w:iCs w:val="1"/>
          <w:noProof w:val="0"/>
          <w:color w:val="000000" w:themeColor="text1" w:themeTint="FF" w:themeShade="FF"/>
          <w:sz w:val="24"/>
          <w:szCs w:val="24"/>
          <w:lang w:val="en-GB"/>
        </w:rPr>
        <w:t>Administrative Science Quarterly</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23</w:t>
      </w:r>
      <w:r w:rsidRPr="7C4DA529" w:rsidR="098C5972">
        <w:rPr>
          <w:rFonts w:ascii="Calibri" w:hAnsi="Calibri" w:eastAsia="Calibri" w:cs="Calibri"/>
          <w:noProof w:val="0"/>
          <w:color w:val="000000" w:themeColor="text1" w:themeTint="FF" w:themeShade="FF"/>
          <w:sz w:val="24"/>
          <w:szCs w:val="24"/>
          <w:lang w:val="en-GB"/>
        </w:rPr>
        <w:t xml:space="preserve">(2), 358. </w:t>
      </w:r>
      <w:hyperlink r:id="Rd6d478810c56466a">
        <w:r w:rsidRPr="7C4DA529" w:rsidR="098C5972">
          <w:rPr>
            <w:rStyle w:val="Hyperlink"/>
            <w:rFonts w:ascii="Calibri" w:hAnsi="Calibri" w:eastAsia="Calibri" w:cs="Calibri"/>
            <w:noProof w:val="0"/>
            <w:lang w:val="en-GB"/>
          </w:rPr>
          <w:t>https://doi.org/10.2307/2392573</w:t>
        </w:r>
      </w:hyperlink>
    </w:p>
    <w:p w:rsidR="250871A7" w:rsidP="7C4DA529" w:rsidRDefault="250871A7" w14:paraId="73540452" w14:textId="34E8EBFD">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Power, M. (1997). </w:t>
      </w:r>
      <w:r w:rsidRPr="7C4DA529" w:rsidR="098C5972">
        <w:rPr>
          <w:rFonts w:ascii="Calibri" w:hAnsi="Calibri" w:eastAsia="Calibri" w:cs="Calibri"/>
          <w:i w:val="1"/>
          <w:iCs w:val="1"/>
          <w:noProof w:val="0"/>
          <w:color w:val="000000" w:themeColor="text1" w:themeTint="FF" w:themeShade="FF"/>
          <w:sz w:val="24"/>
          <w:szCs w:val="24"/>
          <w:lang w:val="en-GB"/>
        </w:rPr>
        <w:t>The audit society: Rituals of verification</w:t>
      </w:r>
      <w:r w:rsidRPr="7C4DA529" w:rsidR="098C5972">
        <w:rPr>
          <w:rFonts w:ascii="Calibri" w:hAnsi="Calibri" w:eastAsia="Calibri" w:cs="Calibri"/>
          <w:noProof w:val="0"/>
          <w:color w:val="000000" w:themeColor="text1" w:themeTint="FF" w:themeShade="FF"/>
          <w:sz w:val="24"/>
          <w:szCs w:val="24"/>
          <w:lang w:val="en-GB"/>
        </w:rPr>
        <w:t>. Oxford University Press.</w:t>
      </w:r>
    </w:p>
    <w:p w:rsidR="250871A7" w:rsidP="7C4DA529" w:rsidRDefault="250871A7" w14:paraId="6F75C2C3" w14:textId="3FAFB447">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Prest, A. R., &amp; Musgrave, R. A. (1959). The theory of Public Finance. </w:t>
      </w:r>
      <w:r w:rsidRPr="7C4DA529" w:rsidR="098C5972">
        <w:rPr>
          <w:rFonts w:ascii="Calibri" w:hAnsi="Calibri" w:eastAsia="Calibri" w:cs="Calibri"/>
          <w:i w:val="1"/>
          <w:iCs w:val="1"/>
          <w:noProof w:val="0"/>
          <w:color w:val="000000" w:themeColor="text1" w:themeTint="FF" w:themeShade="FF"/>
          <w:sz w:val="24"/>
          <w:szCs w:val="24"/>
          <w:lang w:val="en-GB"/>
        </w:rPr>
        <w:t>The Economic Journal</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69</w:t>
      </w:r>
      <w:r w:rsidRPr="7C4DA529" w:rsidR="098C5972">
        <w:rPr>
          <w:rFonts w:ascii="Calibri" w:hAnsi="Calibri" w:eastAsia="Calibri" w:cs="Calibri"/>
          <w:noProof w:val="0"/>
          <w:color w:val="000000" w:themeColor="text1" w:themeTint="FF" w:themeShade="FF"/>
          <w:sz w:val="24"/>
          <w:szCs w:val="24"/>
          <w:lang w:val="en-GB"/>
        </w:rPr>
        <w:t xml:space="preserve">(276), 766. </w:t>
      </w:r>
      <w:hyperlink r:id="R2c19fa272d9e4f93">
        <w:r w:rsidRPr="7C4DA529" w:rsidR="098C5972">
          <w:rPr>
            <w:rStyle w:val="Hyperlink"/>
            <w:rFonts w:ascii="Calibri" w:hAnsi="Calibri" w:eastAsia="Calibri" w:cs="Calibri"/>
            <w:noProof w:val="0"/>
            <w:lang w:val="en-GB"/>
          </w:rPr>
          <w:t>https://doi.org/10.2307/2227672</w:t>
        </w:r>
      </w:hyperlink>
    </w:p>
    <w:p w:rsidR="250871A7" w:rsidP="7C4DA529" w:rsidRDefault="250871A7" w14:paraId="3710EBC3" w14:textId="0B087AAA">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Quinn, J. B. (1980). </w:t>
      </w:r>
      <w:r w:rsidRPr="7C4DA529" w:rsidR="098C5972">
        <w:rPr>
          <w:rFonts w:ascii="Calibri" w:hAnsi="Calibri" w:eastAsia="Calibri" w:cs="Calibri"/>
          <w:i w:val="1"/>
          <w:iCs w:val="1"/>
          <w:noProof w:val="0"/>
          <w:color w:val="000000" w:themeColor="text1" w:themeTint="FF" w:themeShade="FF"/>
          <w:sz w:val="24"/>
          <w:szCs w:val="24"/>
          <w:lang w:val="en-GB"/>
        </w:rPr>
        <w:t>Strategies for change</w:t>
      </w:r>
      <w:r w:rsidRPr="7C4DA529" w:rsidR="098C5972">
        <w:rPr>
          <w:rFonts w:ascii="Calibri" w:hAnsi="Calibri" w:eastAsia="Calibri" w:cs="Calibri"/>
          <w:noProof w:val="0"/>
          <w:color w:val="000000" w:themeColor="text1" w:themeTint="FF" w:themeShade="FF"/>
          <w:sz w:val="24"/>
          <w:szCs w:val="24"/>
          <w:lang w:val="en-GB"/>
        </w:rPr>
        <w:t>. McGraw-Hill/Irwin.</w:t>
      </w:r>
    </w:p>
    <w:p w:rsidR="250871A7" w:rsidP="7C4DA529" w:rsidRDefault="250871A7" w14:paraId="21068ED4" w14:textId="741151AD">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Rogers, C. (1957). The necessary and sufficient conditions of therapeutic personality change. </w:t>
      </w:r>
      <w:r w:rsidRPr="7C4DA529" w:rsidR="098C5972">
        <w:rPr>
          <w:rFonts w:ascii="Calibri" w:hAnsi="Calibri" w:eastAsia="Calibri" w:cs="Calibri"/>
          <w:i w:val="1"/>
          <w:iCs w:val="1"/>
          <w:noProof w:val="0"/>
          <w:color w:val="000000" w:themeColor="text1" w:themeTint="FF" w:themeShade="FF"/>
          <w:sz w:val="24"/>
          <w:szCs w:val="24"/>
          <w:lang w:val="en-GB"/>
        </w:rPr>
        <w:t>TACD Journal</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17</w:t>
      </w:r>
      <w:r w:rsidRPr="7C4DA529" w:rsidR="098C5972">
        <w:rPr>
          <w:rFonts w:ascii="Calibri" w:hAnsi="Calibri" w:eastAsia="Calibri" w:cs="Calibri"/>
          <w:noProof w:val="0"/>
          <w:color w:val="000000" w:themeColor="text1" w:themeTint="FF" w:themeShade="FF"/>
          <w:sz w:val="24"/>
          <w:szCs w:val="24"/>
          <w:lang w:val="en-GB"/>
        </w:rPr>
        <w:t xml:space="preserve">(1), 95–103. </w:t>
      </w:r>
      <w:hyperlink r:id="Rf38ae5c184b54fa0">
        <w:r w:rsidRPr="7C4DA529" w:rsidR="098C5972">
          <w:rPr>
            <w:rStyle w:val="Hyperlink"/>
            <w:rFonts w:ascii="Calibri" w:hAnsi="Calibri" w:eastAsia="Calibri" w:cs="Calibri"/>
            <w:noProof w:val="0"/>
            <w:lang w:val="en-GB"/>
          </w:rPr>
          <w:t>https://doi.org/10.1080/1046171x.1989.12034347</w:t>
        </w:r>
      </w:hyperlink>
    </w:p>
    <w:p w:rsidR="250871A7" w:rsidP="7C4DA529" w:rsidRDefault="250871A7" w14:paraId="0F3B012B" w14:textId="47B0CFB2">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Schein, E. H. (2010). </w:t>
      </w:r>
      <w:r w:rsidRPr="7C4DA529" w:rsidR="098C5972">
        <w:rPr>
          <w:rFonts w:ascii="Calibri" w:hAnsi="Calibri" w:eastAsia="Calibri" w:cs="Calibri"/>
          <w:i w:val="1"/>
          <w:iCs w:val="1"/>
          <w:noProof w:val="0"/>
          <w:color w:val="000000" w:themeColor="text1" w:themeTint="FF" w:themeShade="FF"/>
          <w:sz w:val="24"/>
          <w:szCs w:val="24"/>
          <w:lang w:val="en-GB"/>
        </w:rPr>
        <w:t>Organizational Culture and Leadership</w:t>
      </w:r>
      <w:r w:rsidRPr="7C4DA529" w:rsidR="098C5972">
        <w:rPr>
          <w:rFonts w:ascii="Calibri" w:hAnsi="Calibri" w:eastAsia="Calibri" w:cs="Calibri"/>
          <w:noProof w:val="0"/>
          <w:color w:val="000000" w:themeColor="text1" w:themeTint="FF" w:themeShade="FF"/>
          <w:sz w:val="24"/>
          <w:szCs w:val="24"/>
          <w:lang w:val="en-GB"/>
        </w:rPr>
        <w:t xml:space="preserve"> (4th ed.). Jossey-Bass.</w:t>
      </w:r>
    </w:p>
    <w:p w:rsidR="250871A7" w:rsidP="7C4DA529" w:rsidRDefault="250871A7" w14:paraId="069698E4" w14:textId="5FDA7065">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Schön, D. A. (1983). </w:t>
      </w:r>
      <w:r w:rsidRPr="7C4DA529" w:rsidR="098C5972">
        <w:rPr>
          <w:rFonts w:ascii="Calibri" w:hAnsi="Calibri" w:eastAsia="Calibri" w:cs="Calibri"/>
          <w:i w:val="1"/>
          <w:iCs w:val="1"/>
          <w:noProof w:val="0"/>
          <w:color w:val="000000" w:themeColor="text1" w:themeTint="FF" w:themeShade="FF"/>
          <w:sz w:val="24"/>
          <w:szCs w:val="24"/>
          <w:lang w:val="en-GB"/>
        </w:rPr>
        <w:t>The reflective practitioner: How professionals think in action.</w:t>
      </w:r>
      <w:r w:rsidRPr="7C4DA529" w:rsidR="098C5972">
        <w:rPr>
          <w:rFonts w:ascii="Calibri" w:hAnsi="Calibri" w:eastAsia="Calibri" w:cs="Calibri"/>
          <w:noProof w:val="0"/>
          <w:color w:val="000000" w:themeColor="text1" w:themeTint="FF" w:themeShade="FF"/>
          <w:sz w:val="24"/>
          <w:szCs w:val="24"/>
          <w:lang w:val="en-GB"/>
        </w:rPr>
        <w:t xml:space="preserve"> Temple Smith.</w:t>
      </w:r>
    </w:p>
    <w:p w:rsidR="250871A7" w:rsidP="7C4DA529" w:rsidRDefault="250871A7" w14:paraId="56F8EF20" w14:textId="61CF6F7E">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Senior, B., &amp; Swailes, S. (2010). </w:t>
      </w:r>
      <w:r w:rsidRPr="7C4DA529" w:rsidR="098C5972">
        <w:rPr>
          <w:rFonts w:ascii="Calibri" w:hAnsi="Calibri" w:eastAsia="Calibri" w:cs="Calibri"/>
          <w:i w:val="1"/>
          <w:iCs w:val="1"/>
          <w:noProof w:val="0"/>
          <w:color w:val="000000" w:themeColor="text1" w:themeTint="FF" w:themeShade="FF"/>
          <w:sz w:val="24"/>
          <w:szCs w:val="24"/>
          <w:lang w:val="en-GB"/>
        </w:rPr>
        <w:t>Organizational change</w:t>
      </w:r>
      <w:r w:rsidRPr="7C4DA529" w:rsidR="098C5972">
        <w:rPr>
          <w:rFonts w:ascii="Calibri" w:hAnsi="Calibri" w:eastAsia="Calibri" w:cs="Calibri"/>
          <w:noProof w:val="0"/>
          <w:color w:val="000000" w:themeColor="text1" w:themeTint="FF" w:themeShade="FF"/>
          <w:sz w:val="24"/>
          <w:szCs w:val="24"/>
          <w:lang w:val="en-GB"/>
        </w:rPr>
        <w:t>. Pearson Education.</w:t>
      </w:r>
    </w:p>
    <w:p w:rsidR="250871A7" w:rsidP="7C4DA529" w:rsidRDefault="250871A7" w14:paraId="7B8C4FB9" w14:textId="1CF18848">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Shapiro, A. L. (2010). </w:t>
      </w:r>
      <w:r w:rsidRPr="7C4DA529" w:rsidR="098C5972">
        <w:rPr>
          <w:rFonts w:ascii="Calibri" w:hAnsi="Calibri" w:eastAsia="Calibri" w:cs="Calibri"/>
          <w:i w:val="1"/>
          <w:iCs w:val="1"/>
          <w:noProof w:val="0"/>
          <w:color w:val="000000" w:themeColor="text1" w:themeTint="FF" w:themeShade="FF"/>
          <w:sz w:val="24"/>
          <w:szCs w:val="24"/>
          <w:lang w:val="en-GB"/>
        </w:rPr>
        <w:t>Creating contagious commitment: Applying the 7 levers of change</w:t>
      </w:r>
      <w:r w:rsidRPr="7C4DA529" w:rsidR="098C5972">
        <w:rPr>
          <w:rFonts w:ascii="Calibri" w:hAnsi="Calibri" w:eastAsia="Calibri" w:cs="Calibri"/>
          <w:noProof w:val="0"/>
          <w:color w:val="000000" w:themeColor="text1" w:themeTint="FF" w:themeShade="FF"/>
          <w:sz w:val="24"/>
          <w:szCs w:val="24"/>
          <w:lang w:val="en-GB"/>
        </w:rPr>
        <w:t>. Integration press.</w:t>
      </w:r>
    </w:p>
    <w:p w:rsidR="250871A7" w:rsidP="7C4DA529" w:rsidRDefault="250871A7" w14:paraId="32CFA9E6" w14:textId="6DAB48E1">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Skinner, B. F. (1953). Science and human behavior. </w:t>
      </w:r>
      <w:r w:rsidRPr="7C4DA529" w:rsidR="098C5972">
        <w:rPr>
          <w:rFonts w:ascii="Calibri" w:hAnsi="Calibri" w:eastAsia="Calibri" w:cs="Calibri"/>
          <w:i w:val="1"/>
          <w:iCs w:val="1"/>
          <w:noProof w:val="0"/>
          <w:color w:val="000000" w:themeColor="text1" w:themeTint="FF" w:themeShade="FF"/>
          <w:sz w:val="24"/>
          <w:szCs w:val="24"/>
          <w:lang w:val="en-GB"/>
        </w:rPr>
        <w:t>The American Catholic Sociological Review</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14</w:t>
      </w:r>
      <w:r w:rsidRPr="7C4DA529" w:rsidR="098C5972">
        <w:rPr>
          <w:rFonts w:ascii="Calibri" w:hAnsi="Calibri" w:eastAsia="Calibri" w:cs="Calibri"/>
          <w:noProof w:val="0"/>
          <w:color w:val="000000" w:themeColor="text1" w:themeTint="FF" w:themeShade="FF"/>
          <w:sz w:val="24"/>
          <w:szCs w:val="24"/>
          <w:lang w:val="en-GB"/>
        </w:rPr>
        <w:t xml:space="preserve">(2), 121. </w:t>
      </w:r>
      <w:hyperlink r:id="Rd8ac2891514649d7">
        <w:r w:rsidRPr="7C4DA529" w:rsidR="098C5972">
          <w:rPr>
            <w:rStyle w:val="Hyperlink"/>
            <w:rFonts w:ascii="Calibri" w:hAnsi="Calibri" w:eastAsia="Calibri" w:cs="Calibri"/>
            <w:noProof w:val="0"/>
            <w:lang w:val="en-GB"/>
          </w:rPr>
          <w:t>https://doi.org/10.2307/3707860</w:t>
        </w:r>
      </w:hyperlink>
    </w:p>
    <w:p w:rsidR="250871A7" w:rsidP="7C4DA529" w:rsidRDefault="250871A7" w14:paraId="53F47F78" w14:textId="71E8A3CC">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Smith, J. C., &amp; Burns, P. (1983). DONOGHUE v. Stevenson—The not so golden anniversary. </w:t>
      </w:r>
      <w:r w:rsidRPr="7C4DA529" w:rsidR="098C5972">
        <w:rPr>
          <w:rFonts w:ascii="Calibri" w:hAnsi="Calibri" w:eastAsia="Calibri" w:cs="Calibri"/>
          <w:i w:val="1"/>
          <w:iCs w:val="1"/>
          <w:noProof w:val="0"/>
          <w:color w:val="000000" w:themeColor="text1" w:themeTint="FF" w:themeShade="FF"/>
          <w:sz w:val="24"/>
          <w:szCs w:val="24"/>
          <w:lang w:val="en-GB"/>
        </w:rPr>
        <w:t>The Modern Law Review</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46</w:t>
      </w:r>
      <w:r w:rsidRPr="7C4DA529" w:rsidR="098C5972">
        <w:rPr>
          <w:rFonts w:ascii="Calibri" w:hAnsi="Calibri" w:eastAsia="Calibri" w:cs="Calibri"/>
          <w:noProof w:val="0"/>
          <w:color w:val="000000" w:themeColor="text1" w:themeTint="FF" w:themeShade="FF"/>
          <w:sz w:val="24"/>
          <w:szCs w:val="24"/>
          <w:lang w:val="en-GB"/>
        </w:rPr>
        <w:t xml:space="preserve">(2), 147–163. </w:t>
      </w:r>
      <w:hyperlink r:id="Rb0f176ac4ba14b4b">
        <w:r w:rsidRPr="7C4DA529" w:rsidR="098C5972">
          <w:rPr>
            <w:rStyle w:val="Hyperlink"/>
            <w:rFonts w:ascii="Calibri" w:hAnsi="Calibri" w:eastAsia="Calibri" w:cs="Calibri"/>
            <w:noProof w:val="0"/>
            <w:lang w:val="en-GB"/>
          </w:rPr>
          <w:t>https://doi.org/10.1111/j.1468-2230.1983.tb02511.x</w:t>
        </w:r>
      </w:hyperlink>
    </w:p>
    <w:p w:rsidR="250871A7" w:rsidP="7C4DA529" w:rsidRDefault="250871A7" w14:paraId="780365FC" w14:textId="68D91AB8">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Super, D. E. (1957). </w:t>
      </w:r>
      <w:r w:rsidRPr="7C4DA529" w:rsidR="098C5972">
        <w:rPr>
          <w:rFonts w:ascii="Calibri" w:hAnsi="Calibri" w:eastAsia="Calibri" w:cs="Calibri"/>
          <w:i w:val="1"/>
          <w:iCs w:val="1"/>
          <w:noProof w:val="0"/>
          <w:color w:val="000000" w:themeColor="text1" w:themeTint="FF" w:themeShade="FF"/>
          <w:sz w:val="24"/>
          <w:szCs w:val="24"/>
          <w:lang w:val="en-GB"/>
        </w:rPr>
        <w:t>The psychology of careers</w:t>
      </w:r>
      <w:r w:rsidRPr="7C4DA529" w:rsidR="098C5972">
        <w:rPr>
          <w:rFonts w:ascii="Calibri" w:hAnsi="Calibri" w:eastAsia="Calibri" w:cs="Calibri"/>
          <w:noProof w:val="0"/>
          <w:color w:val="000000" w:themeColor="text1" w:themeTint="FF" w:themeShade="FF"/>
          <w:sz w:val="24"/>
          <w:szCs w:val="24"/>
          <w:lang w:val="en-GB"/>
        </w:rPr>
        <w:t>. Harper &amp; Row.</w:t>
      </w:r>
    </w:p>
    <w:p w:rsidR="250871A7" w:rsidP="7C4DA529" w:rsidRDefault="250871A7" w14:paraId="5D68DCC5" w14:textId="5DDFE81F">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Sweller, J. (1988). Cognitive load during problem solving: Effects on learning. </w:t>
      </w:r>
      <w:r w:rsidRPr="7C4DA529" w:rsidR="098C5972">
        <w:rPr>
          <w:rFonts w:ascii="Calibri" w:hAnsi="Calibri" w:eastAsia="Calibri" w:cs="Calibri"/>
          <w:i w:val="1"/>
          <w:iCs w:val="1"/>
          <w:noProof w:val="0"/>
          <w:color w:val="000000" w:themeColor="text1" w:themeTint="FF" w:themeShade="FF"/>
          <w:sz w:val="24"/>
          <w:szCs w:val="24"/>
          <w:lang w:val="en-GB"/>
        </w:rPr>
        <w:t>Cognitive Science</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12</w:t>
      </w:r>
      <w:r w:rsidRPr="7C4DA529" w:rsidR="098C5972">
        <w:rPr>
          <w:rFonts w:ascii="Calibri" w:hAnsi="Calibri" w:eastAsia="Calibri" w:cs="Calibri"/>
          <w:noProof w:val="0"/>
          <w:color w:val="000000" w:themeColor="text1" w:themeTint="FF" w:themeShade="FF"/>
          <w:sz w:val="24"/>
          <w:szCs w:val="24"/>
          <w:lang w:val="en-GB"/>
        </w:rPr>
        <w:t xml:space="preserve">(2), 257–285. </w:t>
      </w:r>
      <w:hyperlink r:id="R6d597118065b461c">
        <w:r w:rsidRPr="7C4DA529" w:rsidR="098C5972">
          <w:rPr>
            <w:rStyle w:val="Hyperlink"/>
            <w:rFonts w:ascii="Calibri" w:hAnsi="Calibri" w:eastAsia="Calibri" w:cs="Calibri"/>
            <w:noProof w:val="0"/>
            <w:lang w:val="en-GB"/>
          </w:rPr>
          <w:t>https://doi.org/https://doi.org/10.1207/s15516709cog1202_4</w:t>
        </w:r>
      </w:hyperlink>
    </w:p>
    <w:p w:rsidR="250871A7" w:rsidP="7C4DA529" w:rsidRDefault="250871A7" w14:paraId="42B07581" w14:textId="778F64D6">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Thatcher, A., Zink, K. J., &amp; Fischer, K. (2019). </w:t>
      </w:r>
      <w:r w:rsidRPr="7C4DA529" w:rsidR="098C5972">
        <w:rPr>
          <w:rFonts w:ascii="Calibri" w:hAnsi="Calibri" w:eastAsia="Calibri" w:cs="Calibri"/>
          <w:i w:val="1"/>
          <w:iCs w:val="1"/>
          <w:noProof w:val="0"/>
          <w:color w:val="000000" w:themeColor="text1" w:themeTint="FF" w:themeShade="FF"/>
          <w:sz w:val="24"/>
          <w:szCs w:val="24"/>
          <w:lang w:val="en-GB"/>
        </w:rPr>
        <w:t>Human factors for sustainability</w:t>
      </w:r>
      <w:r w:rsidRPr="7C4DA529" w:rsidR="098C5972">
        <w:rPr>
          <w:rFonts w:ascii="Calibri" w:hAnsi="Calibri" w:eastAsia="Calibri" w:cs="Calibri"/>
          <w:noProof w:val="0"/>
          <w:color w:val="000000" w:themeColor="text1" w:themeTint="FF" w:themeShade="FF"/>
          <w:sz w:val="24"/>
          <w:szCs w:val="24"/>
          <w:lang w:val="en-GB"/>
        </w:rPr>
        <w:t>. CRC Press.</w:t>
      </w:r>
    </w:p>
    <w:p w:rsidR="250871A7" w:rsidP="7C4DA529" w:rsidRDefault="250871A7" w14:paraId="0B8C1914" w14:textId="3F141F17">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Weber, M. (1947). Economic and Social Council. </w:t>
      </w:r>
      <w:r w:rsidRPr="7C4DA529" w:rsidR="098C5972">
        <w:rPr>
          <w:rFonts w:ascii="Calibri" w:hAnsi="Calibri" w:eastAsia="Calibri" w:cs="Calibri"/>
          <w:i w:val="1"/>
          <w:iCs w:val="1"/>
          <w:noProof w:val="0"/>
          <w:color w:val="000000" w:themeColor="text1" w:themeTint="FF" w:themeShade="FF"/>
          <w:sz w:val="24"/>
          <w:szCs w:val="24"/>
          <w:lang w:val="en-GB"/>
        </w:rPr>
        <w:t>International Organization</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1</w:t>
      </w:r>
      <w:r w:rsidRPr="7C4DA529" w:rsidR="098C5972">
        <w:rPr>
          <w:rFonts w:ascii="Calibri" w:hAnsi="Calibri" w:eastAsia="Calibri" w:cs="Calibri"/>
          <w:noProof w:val="0"/>
          <w:color w:val="000000" w:themeColor="text1" w:themeTint="FF" w:themeShade="FF"/>
          <w:sz w:val="24"/>
          <w:szCs w:val="24"/>
          <w:lang w:val="en-GB"/>
        </w:rPr>
        <w:t xml:space="preserve">(2), 334–341. </w:t>
      </w:r>
      <w:hyperlink r:id="R8d6cdd1851dc47a4">
        <w:r w:rsidRPr="7C4DA529" w:rsidR="098C5972">
          <w:rPr>
            <w:rStyle w:val="Hyperlink"/>
            <w:rFonts w:ascii="Calibri" w:hAnsi="Calibri" w:eastAsia="Calibri" w:cs="Calibri"/>
            <w:noProof w:val="0"/>
            <w:lang w:val="en-GB"/>
          </w:rPr>
          <w:t>https://doi.org/10.1017/s0020818300006123</w:t>
        </w:r>
      </w:hyperlink>
    </w:p>
    <w:p w:rsidR="250871A7" w:rsidP="7C4DA529" w:rsidRDefault="250871A7" w14:paraId="1876F2E4" w14:textId="50FD41F2">
      <w:pPr>
        <w:spacing w:before="240" w:beforeAutospacing="off" w:after="0" w:afterAutospacing="off" w:line="480" w:lineRule="auto"/>
        <w:ind w:left="720" w:right="0" w:hanging="720"/>
        <w:rPr>
          <w:rFonts w:ascii="Calibri" w:hAnsi="Calibri" w:eastAsia="Calibri" w:cs="Calibri"/>
          <w:noProof w:val="0"/>
          <w:color w:val="000000" w:themeColor="text1" w:themeTint="FF" w:themeShade="FF"/>
          <w:sz w:val="24"/>
          <w:szCs w:val="24"/>
          <w:lang w:val="en-GB"/>
        </w:rPr>
      </w:pPr>
      <w:r w:rsidRPr="7C4DA529" w:rsidR="098C5972">
        <w:rPr>
          <w:rFonts w:ascii="Calibri" w:hAnsi="Calibri" w:eastAsia="Calibri" w:cs="Calibri"/>
          <w:noProof w:val="0"/>
          <w:color w:val="000000" w:themeColor="text1" w:themeTint="FF" w:themeShade="FF"/>
          <w:sz w:val="24"/>
          <w:szCs w:val="24"/>
          <w:lang w:val="en-GB"/>
        </w:rPr>
        <w:t xml:space="preserve">Weick, K. E., &amp; Sutcliffe, K. M. (2015). </w:t>
      </w:r>
      <w:r w:rsidRPr="7C4DA529" w:rsidR="098C5972">
        <w:rPr>
          <w:rFonts w:ascii="Calibri" w:hAnsi="Calibri" w:eastAsia="Calibri" w:cs="Calibri"/>
          <w:i w:val="1"/>
          <w:iCs w:val="1"/>
          <w:noProof w:val="0"/>
          <w:color w:val="000000" w:themeColor="text1" w:themeTint="FF" w:themeShade="FF"/>
          <w:sz w:val="24"/>
          <w:szCs w:val="24"/>
          <w:lang w:val="en-GB"/>
        </w:rPr>
        <w:t>Managing the unexpected: Sustained performance in a complex world</w:t>
      </w:r>
      <w:r w:rsidRPr="7C4DA529" w:rsidR="098C5972">
        <w:rPr>
          <w:rFonts w:ascii="Calibri" w:hAnsi="Calibri" w:eastAsia="Calibri" w:cs="Calibri"/>
          <w:noProof w:val="0"/>
          <w:color w:val="000000" w:themeColor="text1" w:themeTint="FF" w:themeShade="FF"/>
          <w:sz w:val="24"/>
          <w:szCs w:val="24"/>
          <w:lang w:val="en-GB"/>
        </w:rPr>
        <w:t xml:space="preserve"> (3rd ed.). Wiley.</w:t>
      </w:r>
    </w:p>
    <w:p w:rsidR="250871A7" w:rsidP="7C4DA529" w:rsidRDefault="250871A7" w14:paraId="6B7C5EA9" w14:textId="6D114E1B">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Welsh Government. (2014). </w:t>
      </w:r>
      <w:r w:rsidRPr="7C4DA529" w:rsidR="098C5972">
        <w:rPr>
          <w:rFonts w:ascii="Calibri" w:hAnsi="Calibri" w:eastAsia="Calibri" w:cs="Calibri"/>
          <w:i w:val="1"/>
          <w:iCs w:val="1"/>
          <w:noProof w:val="0"/>
          <w:color w:val="000000" w:themeColor="text1" w:themeTint="FF" w:themeShade="FF"/>
          <w:sz w:val="24"/>
          <w:szCs w:val="24"/>
          <w:lang w:val="en-GB"/>
        </w:rPr>
        <w:t>Social Services and Well-being (Wales) Act 2014</w:t>
      </w:r>
      <w:r w:rsidRPr="7C4DA529" w:rsidR="098C5972">
        <w:rPr>
          <w:rFonts w:ascii="Calibri" w:hAnsi="Calibri" w:eastAsia="Calibri" w:cs="Calibri"/>
          <w:noProof w:val="0"/>
          <w:color w:val="000000" w:themeColor="text1" w:themeTint="FF" w:themeShade="FF"/>
          <w:sz w:val="24"/>
          <w:szCs w:val="24"/>
          <w:lang w:val="en-GB"/>
        </w:rPr>
        <w:t xml:space="preserve">. Legislation.Gov.Uk. </w:t>
      </w:r>
      <w:hyperlink r:id="R189519232e8f4535">
        <w:r w:rsidRPr="7C4DA529" w:rsidR="098C5972">
          <w:rPr>
            <w:rStyle w:val="Hyperlink"/>
            <w:rFonts w:ascii="Calibri" w:hAnsi="Calibri" w:eastAsia="Calibri" w:cs="Calibri"/>
            <w:noProof w:val="0"/>
            <w:lang w:val="en-GB"/>
          </w:rPr>
          <w:t>https://www.legislation.gov.uk/anaw/2014/4/contents</w:t>
        </w:r>
      </w:hyperlink>
    </w:p>
    <w:p w:rsidR="250871A7" w:rsidP="7C4DA529" w:rsidRDefault="250871A7" w14:paraId="5E592F33" w14:textId="2FB590B1">
      <w:pPr>
        <w:spacing w:before="240" w:beforeAutospacing="off" w:after="0" w:afterAutospacing="off" w:line="480" w:lineRule="auto"/>
        <w:ind w:left="720" w:right="0" w:hanging="720"/>
        <w:rPr>
          <w:rFonts w:ascii="Calibri" w:hAnsi="Calibri" w:eastAsia="Calibri" w:cs="Calibri"/>
        </w:rPr>
      </w:pPr>
      <w:r w:rsidRPr="7C4DA529" w:rsidR="098C5972">
        <w:rPr>
          <w:rFonts w:ascii="Calibri" w:hAnsi="Calibri" w:eastAsia="Calibri" w:cs="Calibri"/>
          <w:noProof w:val="0"/>
          <w:color w:val="000000" w:themeColor="text1" w:themeTint="FF" w:themeShade="FF"/>
          <w:sz w:val="24"/>
          <w:szCs w:val="24"/>
          <w:lang w:val="en-GB"/>
        </w:rPr>
        <w:t xml:space="preserve">Woodworth, R. S., &amp; Thorndike, E. L. (1901). The influence of improvement in one mental function upon the efficiency of other functions. (I). </w:t>
      </w:r>
      <w:r w:rsidRPr="7C4DA529" w:rsidR="098C5972">
        <w:rPr>
          <w:rFonts w:ascii="Calibri" w:hAnsi="Calibri" w:eastAsia="Calibri" w:cs="Calibri"/>
          <w:i w:val="1"/>
          <w:iCs w:val="1"/>
          <w:noProof w:val="0"/>
          <w:color w:val="000000" w:themeColor="text1" w:themeTint="FF" w:themeShade="FF"/>
          <w:sz w:val="24"/>
          <w:szCs w:val="24"/>
          <w:lang w:val="en-GB"/>
        </w:rPr>
        <w:t>Psychological Review</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8</w:t>
      </w:r>
      <w:r w:rsidRPr="7C4DA529" w:rsidR="098C5972">
        <w:rPr>
          <w:rFonts w:ascii="Calibri" w:hAnsi="Calibri" w:eastAsia="Calibri" w:cs="Calibri"/>
          <w:noProof w:val="0"/>
          <w:color w:val="000000" w:themeColor="text1" w:themeTint="FF" w:themeShade="FF"/>
          <w:sz w:val="24"/>
          <w:szCs w:val="24"/>
          <w:lang w:val="en-GB"/>
        </w:rPr>
        <w:t xml:space="preserve">(3), 247–261. </w:t>
      </w:r>
      <w:hyperlink r:id="Rc4fda0f4fe6144c5">
        <w:r w:rsidRPr="7C4DA529" w:rsidR="098C5972">
          <w:rPr>
            <w:rStyle w:val="Hyperlink"/>
            <w:rFonts w:ascii="Calibri" w:hAnsi="Calibri" w:eastAsia="Calibri" w:cs="Calibri"/>
            <w:noProof w:val="0"/>
            <w:lang w:val="en-GB"/>
          </w:rPr>
          <w:t>https://doi.org/10.1037/h0074898</w:t>
        </w:r>
      </w:hyperlink>
    </w:p>
    <w:p w:rsidR="250871A7" w:rsidP="7C4DA529" w:rsidRDefault="250871A7" w14:paraId="68BC70C1" w14:textId="73A1865C">
      <w:pPr>
        <w:spacing w:before="240" w:beforeAutospacing="off" w:after="0" w:afterAutospacing="off" w:line="480" w:lineRule="auto"/>
        <w:ind w:left="720" w:right="0" w:hanging="720"/>
        <w:rPr>
          <w:rFonts w:ascii="Calibri" w:hAnsi="Calibri" w:eastAsia="Calibri" w:cs="Calibri"/>
          <w:noProof w:val="0"/>
          <w:lang w:val="en-GB"/>
        </w:rPr>
      </w:pPr>
      <w:r w:rsidRPr="7C4DA529" w:rsidR="098C5972">
        <w:rPr>
          <w:rFonts w:ascii="Calibri" w:hAnsi="Calibri" w:eastAsia="Calibri" w:cs="Calibri"/>
          <w:noProof w:val="0"/>
          <w:color w:val="000000" w:themeColor="text1" w:themeTint="FF" w:themeShade="FF"/>
          <w:sz w:val="24"/>
          <w:szCs w:val="24"/>
          <w:lang w:val="en-GB"/>
        </w:rPr>
        <w:t>Åkerstedt</w:t>
      </w:r>
      <w:r w:rsidRPr="7C4DA529" w:rsidR="098C5972">
        <w:rPr>
          <w:rFonts w:ascii="Calibri" w:hAnsi="Calibri" w:eastAsia="Calibri" w:cs="Calibri"/>
          <w:noProof w:val="0"/>
          <w:color w:val="000000" w:themeColor="text1" w:themeTint="FF" w:themeShade="FF"/>
          <w:sz w:val="24"/>
          <w:szCs w:val="24"/>
          <w:lang w:val="en-GB"/>
        </w:rPr>
        <w:t xml:space="preserve">, T., &amp; Wright, K. P. (2009). Sleep loss and fatigue in shift work and shift work disorder. </w:t>
      </w:r>
      <w:r w:rsidRPr="7C4DA529" w:rsidR="098C5972">
        <w:rPr>
          <w:rFonts w:ascii="Calibri" w:hAnsi="Calibri" w:eastAsia="Calibri" w:cs="Calibri"/>
          <w:i w:val="1"/>
          <w:iCs w:val="1"/>
          <w:noProof w:val="0"/>
          <w:color w:val="000000" w:themeColor="text1" w:themeTint="FF" w:themeShade="FF"/>
          <w:sz w:val="24"/>
          <w:szCs w:val="24"/>
          <w:lang w:val="en-GB"/>
        </w:rPr>
        <w:t>Sleep Medicine Clinics</w:t>
      </w:r>
      <w:r w:rsidRPr="7C4DA529" w:rsidR="098C5972">
        <w:rPr>
          <w:rFonts w:ascii="Calibri" w:hAnsi="Calibri" w:eastAsia="Calibri" w:cs="Calibri"/>
          <w:noProof w:val="0"/>
          <w:color w:val="000000" w:themeColor="text1" w:themeTint="FF" w:themeShade="FF"/>
          <w:sz w:val="24"/>
          <w:szCs w:val="24"/>
          <w:lang w:val="en-GB"/>
        </w:rPr>
        <w:t xml:space="preserve">, </w:t>
      </w:r>
      <w:r w:rsidRPr="7C4DA529" w:rsidR="098C5972">
        <w:rPr>
          <w:rFonts w:ascii="Calibri" w:hAnsi="Calibri" w:eastAsia="Calibri" w:cs="Calibri"/>
          <w:i w:val="1"/>
          <w:iCs w:val="1"/>
          <w:noProof w:val="0"/>
          <w:color w:val="000000" w:themeColor="text1" w:themeTint="FF" w:themeShade="FF"/>
          <w:sz w:val="24"/>
          <w:szCs w:val="24"/>
          <w:lang w:val="en-GB"/>
        </w:rPr>
        <w:t>4</w:t>
      </w:r>
      <w:r w:rsidRPr="7C4DA529" w:rsidR="098C5972">
        <w:rPr>
          <w:rFonts w:ascii="Calibri" w:hAnsi="Calibri" w:eastAsia="Calibri" w:cs="Calibri"/>
          <w:noProof w:val="0"/>
          <w:color w:val="000000" w:themeColor="text1" w:themeTint="FF" w:themeShade="FF"/>
          <w:sz w:val="24"/>
          <w:szCs w:val="24"/>
          <w:lang w:val="en-GB"/>
        </w:rPr>
        <w:t xml:space="preserve">(2), 257–271. </w:t>
      </w:r>
      <w:hyperlink r:id="R1820ce19b480440c">
        <w:r w:rsidRPr="7C4DA529" w:rsidR="098C5972">
          <w:rPr>
            <w:rStyle w:val="Hyperlink"/>
            <w:rFonts w:ascii="Calibri" w:hAnsi="Calibri" w:eastAsia="Calibri" w:cs="Calibri"/>
            <w:noProof w:val="0"/>
            <w:lang w:val="en-GB"/>
          </w:rPr>
          <w:t>https://doi.org/10.1016/j.jsmc.2009.03.001</w:t>
        </w:r>
      </w:hyperlink>
    </w:p>
    <w:p w:rsidR="250871A7" w:rsidP="4754B81A" w:rsidRDefault="250871A7" w14:paraId="58860D54" w14:textId="42F23344">
      <w:pPr/>
      <w:r>
        <w:br w:type="page"/>
      </w:r>
    </w:p>
    <w:p w:rsidR="250871A7" w:rsidP="6ED14DC3" w:rsidRDefault="250871A7" w14:paraId="069583E8" w14:textId="7392B5CA">
      <w:pPr>
        <w:pStyle w:val="Heading2"/>
        <w:tabs>
          <w:tab w:val="right" w:leader="dot" w:pos="9360"/>
        </w:tabs>
        <w:rPr>
          <w:noProof w:val="0"/>
          <w:lang w:val="en-GB"/>
        </w:rPr>
      </w:pPr>
      <w:bookmarkStart w:name="_Toc147933306" w:id="1209720271"/>
      <w:r w:rsidRPr="0FB2F569" w:rsidR="0FB2F569">
        <w:rPr>
          <w:noProof w:val="0"/>
          <w:lang w:val="en-GB"/>
        </w:rPr>
        <w:t>Appendix</w:t>
      </w:r>
      <w:bookmarkEnd w:id="1209720271"/>
    </w:p>
    <w:p w:rsidR="32B2F6D6" w:rsidP="4754B81A" w:rsidRDefault="32B2F6D6" w14:paraId="334CC9F6" w14:textId="1F983186">
      <w:pPr>
        <w:pStyle w:val="Heading3"/>
        <w:tabs>
          <w:tab w:val="right" w:leader="dot" w:pos="9360"/>
        </w:tabs>
        <w:rPr>
          <w:noProof w:val="0"/>
          <w:lang w:val="en-GB"/>
        </w:rPr>
      </w:pPr>
      <w:bookmarkStart w:name="_Toc30088692" w:id="1391056127"/>
      <w:r w:rsidRPr="0FB2F569" w:rsidR="0FB2F569">
        <w:rPr>
          <w:noProof w:val="0"/>
          <w:lang w:val="en-GB"/>
        </w:rPr>
        <w:t>A</w:t>
      </w:r>
      <w:r w:rsidRPr="0FB2F569" w:rsidR="0FB2F569">
        <w:rPr>
          <w:noProof w:val="0"/>
          <w:lang w:val="en-GB"/>
        </w:rPr>
        <w:t xml:space="preserve"> PESTEL Matrix (CTC vs Swanton)</w:t>
      </w:r>
      <w:bookmarkEnd w:id="1391056127"/>
    </w:p>
    <w:tbl>
      <w:tblPr>
        <w:tblStyle w:val="TableGrid"/>
        <w:tblW w:w="0" w:type="auto"/>
        <w:tblLook w:val="06A0" w:firstRow="1" w:lastRow="0" w:firstColumn="1" w:lastColumn="0" w:noHBand="1" w:noVBand="1"/>
      </w:tblPr>
      <w:tblGrid>
        <w:gridCol w:w="1795"/>
        <w:gridCol w:w="2885"/>
        <w:gridCol w:w="2340"/>
        <w:gridCol w:w="2340"/>
      </w:tblGrid>
      <w:tr w:rsidR="7C4DA529" w:rsidTr="7C4DA529" w14:paraId="7AACA931">
        <w:trPr>
          <w:trHeight w:val="300"/>
        </w:trPr>
        <w:tc>
          <w:tcPr>
            <w:tcW w:w="1795" w:type="dxa"/>
            <w:tcMar/>
          </w:tcPr>
          <w:p w:rsidR="7C4DA529" w:rsidP="7C4DA529" w:rsidRDefault="7C4DA529" w14:paraId="3CABBB5C" w14:textId="7C97ACB9">
            <w:pPr>
              <w:pStyle w:val="Normal"/>
              <w:rPr>
                <w:rFonts w:ascii="Calibri" w:hAnsi="Calibri" w:eastAsia="Calibri" w:cs="Calibri"/>
              </w:rPr>
            </w:pPr>
          </w:p>
        </w:tc>
        <w:tc>
          <w:tcPr>
            <w:tcW w:w="2885" w:type="dxa"/>
            <w:tcMar/>
          </w:tcPr>
          <w:p w:rsidR="391035A4" w:rsidP="7C4DA529" w:rsidRDefault="391035A4" w14:paraId="6A5BB001" w14:textId="05B8F4F8">
            <w:pPr>
              <w:pStyle w:val="Normal"/>
              <w:rPr>
                <w:rFonts w:ascii="Calibri" w:hAnsi="Calibri" w:eastAsia="Calibri" w:cs="Calibri"/>
                <w:b w:val="1"/>
                <w:bCs w:val="1"/>
              </w:rPr>
            </w:pPr>
            <w:r w:rsidRPr="7C4DA529" w:rsidR="391035A4">
              <w:rPr>
                <w:rFonts w:ascii="Calibri" w:hAnsi="Calibri" w:eastAsia="Calibri" w:cs="Calibri"/>
                <w:b w:val="1"/>
                <w:bCs w:val="1"/>
              </w:rPr>
              <w:t>Cambrian Training Company  (TO)</w:t>
            </w:r>
          </w:p>
        </w:tc>
        <w:tc>
          <w:tcPr>
            <w:tcW w:w="2340" w:type="dxa"/>
            <w:tcMar/>
          </w:tcPr>
          <w:p w:rsidR="125BAEE7" w:rsidP="7C4DA529" w:rsidRDefault="125BAEE7" w14:paraId="022433A2" w14:textId="7ED3E73B">
            <w:pPr>
              <w:pStyle w:val="Normal"/>
              <w:rPr>
                <w:rFonts w:ascii="Calibri" w:hAnsi="Calibri" w:eastAsia="Calibri" w:cs="Calibri"/>
                <w:b w:val="1"/>
                <w:bCs w:val="1"/>
              </w:rPr>
            </w:pPr>
            <w:r w:rsidRPr="7C4DA529" w:rsidR="125BAEE7">
              <w:rPr>
                <w:rFonts w:ascii="Calibri" w:hAnsi="Calibri" w:eastAsia="Calibri" w:cs="Calibri"/>
                <w:b w:val="1"/>
                <w:bCs w:val="1"/>
              </w:rPr>
              <w:t>Swanton Care (SW)</w:t>
            </w:r>
          </w:p>
        </w:tc>
        <w:tc>
          <w:tcPr>
            <w:tcW w:w="2340" w:type="dxa"/>
            <w:tcMar/>
          </w:tcPr>
          <w:p w:rsidR="4C2E278A" w:rsidP="7C4DA529" w:rsidRDefault="4C2E278A" w14:paraId="5A81077B" w14:textId="4BD3977E">
            <w:pPr>
              <w:pStyle w:val="Normal"/>
              <w:rPr>
                <w:rFonts w:ascii="Calibri" w:hAnsi="Calibri" w:eastAsia="Calibri" w:cs="Calibri"/>
                <w:b w:val="1"/>
                <w:bCs w:val="1"/>
              </w:rPr>
            </w:pPr>
            <w:r w:rsidRPr="7C4DA529" w:rsidR="4C2E278A">
              <w:rPr>
                <w:rFonts w:ascii="Calibri" w:hAnsi="Calibri" w:eastAsia="Calibri" w:cs="Calibri"/>
                <w:b w:val="1"/>
                <w:bCs w:val="1"/>
              </w:rPr>
              <w:t>Strategic Synthesis</w:t>
            </w:r>
          </w:p>
        </w:tc>
      </w:tr>
      <w:tr w:rsidR="7C4DA529" w:rsidTr="7C4DA529" w14:paraId="4E364F22">
        <w:trPr>
          <w:trHeight w:val="2002"/>
        </w:trPr>
        <w:tc>
          <w:tcPr>
            <w:tcW w:w="1795" w:type="dxa"/>
            <w:tcMar/>
          </w:tcPr>
          <w:p w:rsidR="173BAD56" w:rsidP="7C4DA529" w:rsidRDefault="173BAD56" w14:paraId="498F023D" w14:textId="12C83B6F">
            <w:pPr>
              <w:pStyle w:val="Normal"/>
              <w:rPr>
                <w:rFonts w:ascii="Calibri" w:hAnsi="Calibri" w:eastAsia="Calibri" w:cs="Calibri"/>
                <w:b w:val="1"/>
                <w:bCs w:val="1"/>
              </w:rPr>
            </w:pPr>
            <w:r w:rsidRPr="7C4DA529" w:rsidR="173BAD56">
              <w:rPr>
                <w:rFonts w:ascii="Calibri" w:hAnsi="Calibri" w:eastAsia="Calibri" w:cs="Calibri"/>
                <w:b w:val="1"/>
                <w:bCs w:val="1"/>
              </w:rPr>
              <w:t>Political</w:t>
            </w:r>
          </w:p>
        </w:tc>
        <w:tc>
          <w:tcPr>
            <w:tcW w:w="2885" w:type="dxa"/>
            <w:tcMar/>
          </w:tcPr>
          <w:p w:rsidR="52DFA3B5" w:rsidP="7C4DA529" w:rsidRDefault="52DFA3B5" w14:paraId="34CACF74" w14:textId="0FA1F7FE">
            <w:pPr>
              <w:pStyle w:val="Normal"/>
              <w:rPr>
                <w:rFonts w:ascii="Calibri" w:hAnsi="Calibri" w:eastAsia="Calibri" w:cs="Calibri"/>
              </w:rPr>
            </w:pPr>
            <w:r w:rsidRPr="7C4DA529" w:rsidR="52DFA3B5">
              <w:rPr>
                <w:rFonts w:ascii="Calibri" w:hAnsi="Calibri" w:eastAsia="Calibri" w:cs="Calibri"/>
              </w:rPr>
              <w:t xml:space="preserve">Further Education (FE) funding directives, Estyn educational inspection </w:t>
            </w:r>
            <w:r w:rsidRPr="7C4DA529" w:rsidR="52DFA3B5">
              <w:rPr>
                <w:rFonts w:ascii="Calibri" w:hAnsi="Calibri" w:eastAsia="Calibri" w:cs="Calibri"/>
              </w:rPr>
              <w:t>regimes</w:t>
            </w:r>
            <w:r w:rsidRPr="7C4DA529" w:rsidR="52DFA3B5">
              <w:rPr>
                <w:rFonts w:ascii="Calibri" w:hAnsi="Calibri" w:eastAsia="Calibri" w:cs="Calibri"/>
              </w:rPr>
              <w:t xml:space="preserve"> and regional a</w:t>
            </w:r>
            <w:r w:rsidRPr="7C4DA529" w:rsidR="23DA2FB2">
              <w:rPr>
                <w:rFonts w:ascii="Calibri" w:hAnsi="Calibri" w:eastAsia="Calibri" w:cs="Calibri"/>
              </w:rPr>
              <w:t>pprenticeship allocation.</w:t>
            </w:r>
          </w:p>
        </w:tc>
        <w:tc>
          <w:tcPr>
            <w:tcW w:w="2340" w:type="dxa"/>
            <w:tcMar/>
          </w:tcPr>
          <w:p w:rsidR="679B8E72" w:rsidP="7C4DA529" w:rsidRDefault="679B8E72" w14:paraId="08E10812" w14:textId="717E6A68">
            <w:pPr>
              <w:pStyle w:val="Normal"/>
              <w:rPr>
                <w:rFonts w:ascii="Calibri" w:hAnsi="Calibri" w:eastAsia="Calibri" w:cs="Calibri"/>
              </w:rPr>
            </w:pPr>
            <w:r w:rsidRPr="7C4DA529" w:rsidR="679B8E72">
              <w:rPr>
                <w:rFonts w:ascii="Calibri" w:hAnsi="Calibri" w:eastAsia="Calibri" w:cs="Calibri"/>
              </w:rPr>
              <w:t xml:space="preserve">Welsh Government care policy, Care Inspectorate Wales (CIW), registration </w:t>
            </w:r>
            <w:r w:rsidRPr="7C4DA529" w:rsidR="679B8E72">
              <w:rPr>
                <w:rFonts w:ascii="Calibri" w:hAnsi="Calibri" w:eastAsia="Calibri" w:cs="Calibri"/>
              </w:rPr>
              <w:t>standards</w:t>
            </w:r>
            <w:r w:rsidRPr="7C4DA529" w:rsidR="679B8E72">
              <w:rPr>
                <w:rFonts w:ascii="Calibri" w:hAnsi="Calibri" w:eastAsia="Calibri" w:cs="Calibri"/>
              </w:rPr>
              <w:t xml:space="preserve"> and local authority </w:t>
            </w:r>
            <w:r w:rsidRPr="7C4DA529" w:rsidR="679B8E72">
              <w:rPr>
                <w:rFonts w:ascii="Calibri" w:hAnsi="Calibri" w:eastAsia="Calibri" w:cs="Calibri"/>
              </w:rPr>
              <w:t>commissioning</w:t>
            </w:r>
            <w:r w:rsidRPr="7C4DA529" w:rsidR="679B8E72">
              <w:rPr>
                <w:rFonts w:ascii="Calibri" w:hAnsi="Calibri" w:eastAsia="Calibri" w:cs="Calibri"/>
              </w:rPr>
              <w:t>.</w:t>
            </w:r>
          </w:p>
        </w:tc>
        <w:tc>
          <w:tcPr>
            <w:tcW w:w="2340" w:type="dxa"/>
            <w:tcMar/>
          </w:tcPr>
          <w:p w:rsidR="57AF4794" w:rsidRDefault="57AF4794" w14:paraId="0DAE4BCB" w14:textId="53C0A6AE">
            <w:r w:rsidRPr="7C4DA529" w:rsidR="57AF4794">
              <w:rPr>
                <w:rFonts w:ascii="Calibri" w:hAnsi="Calibri" w:eastAsia="Calibri" w:cs="Calibri"/>
                <w:noProof w:val="0"/>
                <w:color w:val="000000" w:themeColor="text1" w:themeTint="FF" w:themeShade="FF"/>
                <w:sz w:val="24"/>
                <w:szCs w:val="24"/>
                <w:lang w:val="en-GB"/>
              </w:rPr>
              <w:t>Shifts macro-governance from commercial market verification to statutory human rights enforcement (Katz &amp; Kahn, 1978).</w:t>
            </w:r>
          </w:p>
        </w:tc>
      </w:tr>
      <w:tr w:rsidR="7C4DA529" w:rsidTr="7C4DA529" w14:paraId="6C5CE3D9">
        <w:trPr>
          <w:trHeight w:val="1289"/>
        </w:trPr>
        <w:tc>
          <w:tcPr>
            <w:tcW w:w="1795" w:type="dxa"/>
            <w:tcMar/>
          </w:tcPr>
          <w:p w:rsidR="173BAD56" w:rsidP="7C4DA529" w:rsidRDefault="173BAD56" w14:paraId="1BDF1759" w14:textId="38F18DA8">
            <w:pPr>
              <w:pStyle w:val="Normal"/>
              <w:rPr>
                <w:rFonts w:ascii="Calibri" w:hAnsi="Calibri" w:eastAsia="Calibri" w:cs="Calibri"/>
                <w:b w:val="1"/>
                <w:bCs w:val="1"/>
              </w:rPr>
            </w:pPr>
            <w:r w:rsidRPr="7C4DA529" w:rsidR="173BAD56">
              <w:rPr>
                <w:rFonts w:ascii="Calibri" w:hAnsi="Calibri" w:eastAsia="Calibri" w:cs="Calibri"/>
                <w:b w:val="1"/>
                <w:bCs w:val="1"/>
              </w:rPr>
              <w:t>Economic</w:t>
            </w:r>
          </w:p>
        </w:tc>
        <w:tc>
          <w:tcPr>
            <w:tcW w:w="2885" w:type="dxa"/>
            <w:tcMar/>
          </w:tcPr>
          <w:p w:rsidR="5441DEB6" w:rsidP="7C4DA529" w:rsidRDefault="5441DEB6" w14:paraId="619F74EE" w14:textId="10179066">
            <w:pPr>
              <w:pStyle w:val="Normal"/>
            </w:pPr>
            <w:r w:rsidRPr="7C4DA529" w:rsidR="5441DEB6">
              <w:rPr>
                <w:rFonts w:ascii="Calibri" w:hAnsi="Calibri" w:eastAsia="Calibri" w:cs="Calibri"/>
                <w:noProof w:val="0"/>
                <w:color w:val="000000" w:themeColor="text1" w:themeTint="FF" w:themeShade="FF"/>
                <w:sz w:val="24"/>
                <w:szCs w:val="24"/>
                <w:lang w:val="en-GB"/>
              </w:rPr>
              <w:t>Fluctuating commercial apprenticeship budgets and corporate completed-contract financial yields.</w:t>
            </w:r>
          </w:p>
        </w:tc>
        <w:tc>
          <w:tcPr>
            <w:tcW w:w="2340" w:type="dxa"/>
            <w:tcMar/>
          </w:tcPr>
          <w:p w:rsidR="5441DEB6" w:rsidP="7C4DA529" w:rsidRDefault="5441DEB6" w14:paraId="50C414D5" w14:textId="036113A7">
            <w:pPr>
              <w:pStyle w:val="Normal"/>
            </w:pPr>
            <w:r w:rsidRPr="7C4DA529" w:rsidR="5441DEB6">
              <w:rPr>
                <w:rFonts w:ascii="Calibri" w:hAnsi="Calibri" w:eastAsia="Calibri" w:cs="Calibri"/>
                <w:noProof w:val="0"/>
                <w:color w:val="000000" w:themeColor="text1" w:themeTint="FF" w:themeShade="FF"/>
                <w:sz w:val="24"/>
                <w:szCs w:val="24"/>
                <w:lang w:val="en-GB"/>
              </w:rPr>
              <w:t>State-backed social care commissioning budgets and local authority fee models.</w:t>
            </w:r>
          </w:p>
        </w:tc>
        <w:tc>
          <w:tcPr>
            <w:tcW w:w="2340" w:type="dxa"/>
            <w:tcMar/>
          </w:tcPr>
          <w:p w:rsidR="4836E439" w:rsidRDefault="4836E439" w14:paraId="648881E0" w14:textId="785DBD21">
            <w:r w:rsidRPr="7C4DA529" w:rsidR="4836E439">
              <w:rPr>
                <w:rFonts w:ascii="Calibri" w:hAnsi="Calibri" w:eastAsia="Calibri" w:cs="Calibri"/>
                <w:noProof w:val="0"/>
                <w:color w:val="000000" w:themeColor="text1" w:themeTint="FF" w:themeShade="FF"/>
                <w:sz w:val="24"/>
                <w:szCs w:val="24"/>
                <w:lang w:val="en-GB"/>
              </w:rPr>
              <w:t xml:space="preserve">Transitions from volatile commercial market dynamics </w:t>
            </w:r>
            <w:r w:rsidRPr="7C4DA529" w:rsidR="4693322F">
              <w:rPr>
                <w:rFonts w:ascii="Calibri" w:hAnsi="Calibri" w:eastAsia="Calibri" w:cs="Calibri"/>
                <w:noProof w:val="0"/>
                <w:color w:val="000000" w:themeColor="text1" w:themeTint="FF" w:themeShade="FF"/>
                <w:sz w:val="24"/>
                <w:szCs w:val="24"/>
                <w:lang w:val="en-GB"/>
              </w:rPr>
              <w:t>to welfare</w:t>
            </w:r>
            <w:r w:rsidRPr="7C4DA529" w:rsidR="4836E439">
              <w:rPr>
                <w:rFonts w:ascii="Calibri" w:hAnsi="Calibri" w:eastAsia="Calibri" w:cs="Calibri"/>
                <w:noProof w:val="0"/>
                <w:color w:val="000000" w:themeColor="text1" w:themeTint="FF" w:themeShade="FF"/>
                <w:sz w:val="24"/>
                <w:szCs w:val="24"/>
                <w:lang w:val="en-GB"/>
              </w:rPr>
              <w:t xml:space="preserve"> stability (Musgrave, 1959).</w:t>
            </w:r>
          </w:p>
        </w:tc>
      </w:tr>
      <w:tr w:rsidR="7C4DA529" w:rsidTr="7C4DA529" w14:paraId="6F0A47FA">
        <w:trPr>
          <w:trHeight w:val="300"/>
        </w:trPr>
        <w:tc>
          <w:tcPr>
            <w:tcW w:w="1795" w:type="dxa"/>
            <w:tcMar/>
          </w:tcPr>
          <w:p w:rsidR="173BAD56" w:rsidP="7C4DA529" w:rsidRDefault="173BAD56" w14:paraId="75ECB78C" w14:textId="440CD547">
            <w:pPr>
              <w:pStyle w:val="Normal"/>
              <w:rPr>
                <w:rFonts w:ascii="Calibri" w:hAnsi="Calibri" w:eastAsia="Calibri" w:cs="Calibri"/>
                <w:b w:val="1"/>
                <w:bCs w:val="1"/>
              </w:rPr>
            </w:pPr>
            <w:r w:rsidRPr="7C4DA529" w:rsidR="173BAD56">
              <w:rPr>
                <w:rFonts w:ascii="Calibri" w:hAnsi="Calibri" w:eastAsia="Calibri" w:cs="Calibri"/>
                <w:b w:val="1"/>
                <w:bCs w:val="1"/>
              </w:rPr>
              <w:t>Social</w:t>
            </w:r>
          </w:p>
        </w:tc>
        <w:tc>
          <w:tcPr>
            <w:tcW w:w="2885" w:type="dxa"/>
            <w:tcMar/>
          </w:tcPr>
          <w:p w:rsidR="29BCBB71" w:rsidP="7C4DA529" w:rsidRDefault="29BCBB71" w14:paraId="00DF9812" w14:textId="4416DDB6">
            <w:pPr>
              <w:pStyle w:val="Normal"/>
            </w:pPr>
            <w:r w:rsidRPr="7C4DA529" w:rsidR="29BCBB71">
              <w:rPr>
                <w:rFonts w:ascii="Calibri" w:hAnsi="Calibri" w:eastAsia="Calibri" w:cs="Calibri"/>
                <w:noProof w:val="0"/>
                <w:color w:val="000000" w:themeColor="text1" w:themeTint="FF" w:themeShade="FF"/>
                <w:sz w:val="24"/>
                <w:szCs w:val="24"/>
                <w:lang w:val="en-GB"/>
              </w:rPr>
              <w:t>Employer hospitality shift demands, apprentice retention pressures and regional skill gaps.</w:t>
            </w:r>
          </w:p>
        </w:tc>
        <w:tc>
          <w:tcPr>
            <w:tcW w:w="2340" w:type="dxa"/>
            <w:tcMar/>
          </w:tcPr>
          <w:p w:rsidR="6583BE17" w:rsidP="7C4DA529" w:rsidRDefault="6583BE17" w14:paraId="438ABC72" w14:textId="6005F6AA">
            <w:pPr>
              <w:pStyle w:val="Normal"/>
            </w:pPr>
            <w:r w:rsidRPr="7C4DA529" w:rsidR="6583BE17">
              <w:rPr>
                <w:rFonts w:ascii="Calibri" w:hAnsi="Calibri" w:eastAsia="Calibri" w:cs="Calibri"/>
                <w:noProof w:val="0"/>
                <w:color w:val="000000" w:themeColor="text1" w:themeTint="FF" w:themeShade="FF"/>
                <w:sz w:val="24"/>
                <w:szCs w:val="24"/>
                <w:lang w:val="en-GB"/>
              </w:rPr>
              <w:t>Aging populations, complex care needs, resident personhood and social care workforce shortages.</w:t>
            </w:r>
          </w:p>
        </w:tc>
        <w:tc>
          <w:tcPr>
            <w:tcW w:w="2340" w:type="dxa"/>
            <w:tcMar/>
          </w:tcPr>
          <w:p w:rsidR="6583BE17" w:rsidP="7C4DA529" w:rsidRDefault="6583BE17" w14:paraId="3BA1E2A7" w14:textId="2C9C39B0">
            <w:pPr>
              <w:pStyle w:val="Normal"/>
            </w:pPr>
            <w:r w:rsidRPr="7C4DA529" w:rsidR="6583BE17">
              <w:rPr>
                <w:rFonts w:ascii="Calibri" w:hAnsi="Calibri" w:eastAsia="Calibri" w:cs="Calibri"/>
                <w:noProof w:val="0"/>
                <w:color w:val="000000" w:themeColor="text1" w:themeTint="FF" w:themeShade="FF"/>
                <w:sz w:val="24"/>
                <w:szCs w:val="24"/>
                <w:lang w:val="en-GB"/>
              </w:rPr>
              <w:t>Moves focus from commercial vocational output to rights-based care and human dignity (Erenreich, 2001).</w:t>
            </w:r>
          </w:p>
        </w:tc>
      </w:tr>
      <w:tr w:rsidR="7C4DA529" w:rsidTr="7C4DA529" w14:paraId="76DD24A4">
        <w:trPr>
          <w:trHeight w:val="300"/>
        </w:trPr>
        <w:tc>
          <w:tcPr>
            <w:tcW w:w="1795" w:type="dxa"/>
            <w:tcMar/>
          </w:tcPr>
          <w:p w:rsidR="173BAD56" w:rsidP="7C4DA529" w:rsidRDefault="173BAD56" w14:paraId="30C11AFC" w14:textId="422FCD90">
            <w:pPr>
              <w:pStyle w:val="Normal"/>
              <w:rPr>
                <w:rFonts w:ascii="Calibri" w:hAnsi="Calibri" w:eastAsia="Calibri" w:cs="Calibri"/>
                <w:b w:val="1"/>
                <w:bCs w:val="1"/>
              </w:rPr>
            </w:pPr>
            <w:r w:rsidRPr="7C4DA529" w:rsidR="173BAD56">
              <w:rPr>
                <w:rFonts w:ascii="Calibri" w:hAnsi="Calibri" w:eastAsia="Calibri" w:cs="Calibri"/>
                <w:b w:val="1"/>
                <w:bCs w:val="1"/>
              </w:rPr>
              <w:t>Technological</w:t>
            </w:r>
          </w:p>
        </w:tc>
        <w:tc>
          <w:tcPr>
            <w:tcW w:w="2885" w:type="dxa"/>
            <w:tcMar/>
          </w:tcPr>
          <w:p w:rsidR="5BF58BCB" w:rsidP="7C4DA529" w:rsidRDefault="5BF58BCB" w14:paraId="60E28FEF" w14:textId="0D852287">
            <w:pPr>
              <w:pStyle w:val="Normal"/>
            </w:pPr>
            <w:r w:rsidRPr="7C4DA529" w:rsidR="5BF58BCB">
              <w:rPr>
                <w:rFonts w:ascii="Calibri" w:hAnsi="Calibri" w:eastAsia="Calibri" w:cs="Calibri"/>
                <w:noProof w:val="0"/>
                <w:color w:val="000000" w:themeColor="text1" w:themeTint="FF" w:themeShade="FF"/>
                <w:sz w:val="24"/>
                <w:szCs w:val="24"/>
                <w:lang w:val="en-GB"/>
              </w:rPr>
              <w:t>Administrative tracking software (YETI, iPEGs, Learning Assistant) causing administrative friction.</w:t>
            </w:r>
          </w:p>
        </w:tc>
        <w:tc>
          <w:tcPr>
            <w:tcW w:w="2340" w:type="dxa"/>
            <w:tcMar/>
          </w:tcPr>
          <w:p w:rsidR="5BF58BCB" w:rsidP="7C4DA529" w:rsidRDefault="5BF58BCB" w14:paraId="32461077" w14:textId="5FB5313B">
            <w:pPr>
              <w:pStyle w:val="Normal"/>
            </w:pPr>
            <w:r w:rsidRPr="7C4DA529" w:rsidR="5BF58BCB">
              <w:rPr>
                <w:rFonts w:ascii="Calibri" w:hAnsi="Calibri" w:eastAsia="Calibri" w:cs="Calibri"/>
                <w:noProof w:val="0"/>
                <w:color w:val="000000" w:themeColor="text1" w:themeTint="FF" w:themeShade="FF"/>
                <w:sz w:val="24"/>
                <w:szCs w:val="24"/>
                <w:lang w:val="en-GB"/>
              </w:rPr>
              <w:t>Handheld work phones hosting Access Care Planning app for real-time routines and ad-hoc logging.</w:t>
            </w:r>
          </w:p>
        </w:tc>
        <w:tc>
          <w:tcPr>
            <w:tcW w:w="2340" w:type="dxa"/>
            <w:tcMar/>
          </w:tcPr>
          <w:p w:rsidR="5BF58BCB" w:rsidP="7C4DA529" w:rsidRDefault="5BF58BCB" w14:paraId="76FE53B0" w14:textId="7B09133C">
            <w:pPr>
              <w:pStyle w:val="Normal"/>
            </w:pPr>
            <w:r w:rsidRPr="7C4DA529" w:rsidR="5BF58BCB">
              <w:rPr>
                <w:rFonts w:ascii="Calibri" w:hAnsi="Calibri" w:eastAsia="Calibri" w:cs="Calibri"/>
                <w:noProof w:val="0"/>
                <w:color w:val="000000" w:themeColor="text1" w:themeTint="FF" w:themeShade="FF"/>
                <w:sz w:val="24"/>
                <w:szCs w:val="24"/>
                <w:lang w:val="en-GB"/>
              </w:rPr>
              <w:t>Replaces triangulated audit software with streamlined, user-friendly mobile interfaces (Davis, 1989).</w:t>
            </w:r>
          </w:p>
        </w:tc>
      </w:tr>
      <w:tr w:rsidR="7C4DA529" w:rsidTr="7C4DA529" w14:paraId="0CD85F09">
        <w:trPr>
          <w:trHeight w:val="300"/>
        </w:trPr>
        <w:tc>
          <w:tcPr>
            <w:tcW w:w="1795" w:type="dxa"/>
            <w:tcMar/>
          </w:tcPr>
          <w:p w:rsidR="173BAD56" w:rsidP="7C4DA529" w:rsidRDefault="173BAD56" w14:paraId="0BD8B51C" w14:textId="339B477A">
            <w:pPr>
              <w:pStyle w:val="Normal"/>
              <w:rPr>
                <w:rFonts w:ascii="Calibri" w:hAnsi="Calibri" w:eastAsia="Calibri" w:cs="Calibri"/>
                <w:b w:val="1"/>
                <w:bCs w:val="1"/>
              </w:rPr>
            </w:pPr>
            <w:r w:rsidRPr="7C4DA529" w:rsidR="173BAD56">
              <w:rPr>
                <w:rFonts w:ascii="Calibri" w:hAnsi="Calibri" w:eastAsia="Calibri" w:cs="Calibri"/>
                <w:b w:val="1"/>
                <w:bCs w:val="1"/>
              </w:rPr>
              <w:t>Environmental</w:t>
            </w:r>
          </w:p>
        </w:tc>
        <w:tc>
          <w:tcPr>
            <w:tcW w:w="2885" w:type="dxa"/>
            <w:tcMar/>
          </w:tcPr>
          <w:p w:rsidR="1C3BF188" w:rsidP="7C4DA529" w:rsidRDefault="1C3BF188" w14:paraId="2BDC2922" w14:textId="470C3B98">
            <w:pPr>
              <w:pStyle w:val="Normal"/>
            </w:pPr>
            <w:r w:rsidRPr="7C4DA529" w:rsidR="1C3BF188">
              <w:rPr>
                <w:rFonts w:ascii="Calibri" w:hAnsi="Calibri" w:eastAsia="Calibri" w:cs="Calibri"/>
                <w:noProof w:val="0"/>
                <w:color w:val="000000" w:themeColor="text1" w:themeTint="FF" w:themeShade="FF"/>
                <w:sz w:val="24"/>
                <w:szCs w:val="24"/>
                <w:lang w:val="en-GB"/>
              </w:rPr>
              <w:t>High-mileage regional travel, high carbon footprint and unpredictable multi-site driving schedules.</w:t>
            </w:r>
          </w:p>
        </w:tc>
        <w:tc>
          <w:tcPr>
            <w:tcW w:w="2340" w:type="dxa"/>
            <w:tcMar/>
          </w:tcPr>
          <w:p w:rsidR="1C3BF188" w:rsidP="7C4DA529" w:rsidRDefault="1C3BF188" w14:paraId="294C0669" w14:textId="5A050B40">
            <w:pPr>
              <w:pStyle w:val="Normal"/>
            </w:pPr>
            <w:r w:rsidRPr="7C4DA529" w:rsidR="1C3BF188">
              <w:rPr>
                <w:rFonts w:ascii="Calibri" w:hAnsi="Calibri" w:eastAsia="Calibri" w:cs="Calibri"/>
                <w:noProof w:val="0"/>
                <w:color w:val="000000" w:themeColor="text1" w:themeTint="FF" w:themeShade="FF"/>
                <w:sz w:val="24"/>
                <w:szCs w:val="24"/>
                <w:lang w:val="en-GB"/>
              </w:rPr>
              <w:t>Fixed residential service location, localized care hub and zero long-distance commuting.</w:t>
            </w:r>
          </w:p>
        </w:tc>
        <w:tc>
          <w:tcPr>
            <w:tcW w:w="2340" w:type="dxa"/>
            <w:tcMar/>
          </w:tcPr>
          <w:p w:rsidR="1C3BF188" w:rsidP="7C4DA529" w:rsidRDefault="1C3BF188" w14:paraId="0D0901BD" w14:textId="72C5FDF0">
            <w:pPr>
              <w:pStyle w:val="Normal"/>
              <w:rPr>
                <w:rFonts w:ascii="Calibri" w:hAnsi="Calibri" w:eastAsia="Calibri" w:cs="Calibri"/>
                <w:noProof w:val="0"/>
                <w:color w:val="000000" w:themeColor="text1" w:themeTint="FF" w:themeShade="FF"/>
                <w:sz w:val="24"/>
                <w:szCs w:val="24"/>
                <w:lang w:val="en-GB"/>
              </w:rPr>
            </w:pPr>
            <w:r w:rsidRPr="7C4DA529" w:rsidR="1C3BF188">
              <w:rPr>
                <w:rFonts w:ascii="Calibri" w:hAnsi="Calibri" w:eastAsia="Calibri" w:cs="Calibri"/>
                <w:noProof w:val="0"/>
                <w:color w:val="000000" w:themeColor="text1" w:themeTint="FF" w:themeShade="FF"/>
                <w:sz w:val="24"/>
                <w:szCs w:val="24"/>
                <w:lang w:val="en-GB"/>
              </w:rPr>
              <w:t>Eliminates</w:t>
            </w:r>
            <w:r w:rsidRPr="7C4DA529" w:rsidR="1C3BF188">
              <w:rPr>
                <w:rFonts w:ascii="Calibri" w:hAnsi="Calibri" w:eastAsia="Calibri" w:cs="Calibri"/>
                <w:noProof w:val="0"/>
                <w:color w:val="000000" w:themeColor="text1" w:themeTint="FF" w:themeShade="FF"/>
                <w:sz w:val="24"/>
                <w:szCs w:val="24"/>
                <w:lang w:val="en-GB"/>
              </w:rPr>
              <w:t xml:space="preserve"> travel-induced cognitive load, enhancing physical well-being and shift stamina (</w:t>
            </w:r>
            <w:r w:rsidRPr="7C4DA529" w:rsidR="0F6FDE7B">
              <w:rPr>
                <w:rFonts w:ascii="Calibri" w:hAnsi="Calibri" w:eastAsia="Calibri" w:cs="Calibri"/>
                <w:noProof w:val="0"/>
                <w:color w:val="000000" w:themeColor="text1" w:themeTint="FF" w:themeShade="FF"/>
                <w:sz w:val="24"/>
                <w:szCs w:val="24"/>
                <w:lang w:val="en-GB"/>
              </w:rPr>
              <w:t>Thatcher et al</w:t>
            </w:r>
            <w:r w:rsidRPr="7C4DA529" w:rsidR="1C3BF188">
              <w:rPr>
                <w:rFonts w:ascii="Calibri" w:hAnsi="Calibri" w:eastAsia="Calibri" w:cs="Calibri"/>
                <w:noProof w:val="0"/>
                <w:color w:val="000000" w:themeColor="text1" w:themeTint="FF" w:themeShade="FF"/>
                <w:sz w:val="24"/>
                <w:szCs w:val="24"/>
                <w:lang w:val="en-GB"/>
              </w:rPr>
              <w:t>, 201</w:t>
            </w:r>
            <w:r w:rsidRPr="7C4DA529" w:rsidR="3A1ACC31">
              <w:rPr>
                <w:rFonts w:ascii="Calibri" w:hAnsi="Calibri" w:eastAsia="Calibri" w:cs="Calibri"/>
                <w:noProof w:val="0"/>
                <w:color w:val="000000" w:themeColor="text1" w:themeTint="FF" w:themeShade="FF"/>
                <w:sz w:val="24"/>
                <w:szCs w:val="24"/>
                <w:lang w:val="en-GB"/>
              </w:rPr>
              <w:t>9</w:t>
            </w:r>
            <w:r w:rsidRPr="7C4DA529" w:rsidR="1C3BF188">
              <w:rPr>
                <w:rFonts w:ascii="Calibri" w:hAnsi="Calibri" w:eastAsia="Calibri" w:cs="Calibri"/>
                <w:noProof w:val="0"/>
                <w:color w:val="000000" w:themeColor="text1" w:themeTint="FF" w:themeShade="FF"/>
                <w:sz w:val="24"/>
                <w:szCs w:val="24"/>
                <w:lang w:val="en-GB"/>
              </w:rPr>
              <w:t>).</w:t>
            </w:r>
          </w:p>
        </w:tc>
      </w:tr>
      <w:tr w:rsidR="7C4DA529" w:rsidTr="7C4DA529" w14:paraId="4473A509">
        <w:trPr>
          <w:trHeight w:val="300"/>
        </w:trPr>
        <w:tc>
          <w:tcPr>
            <w:tcW w:w="1795" w:type="dxa"/>
            <w:tcMar/>
          </w:tcPr>
          <w:p w:rsidR="173BAD56" w:rsidP="7C4DA529" w:rsidRDefault="173BAD56" w14:paraId="4FE0FBB8" w14:textId="54A745F9">
            <w:pPr>
              <w:pStyle w:val="Normal"/>
              <w:rPr>
                <w:rFonts w:ascii="Calibri" w:hAnsi="Calibri" w:eastAsia="Calibri" w:cs="Calibri"/>
                <w:b w:val="1"/>
                <w:bCs w:val="1"/>
              </w:rPr>
            </w:pPr>
            <w:r w:rsidRPr="7C4DA529" w:rsidR="173BAD56">
              <w:rPr>
                <w:rFonts w:ascii="Calibri" w:hAnsi="Calibri" w:eastAsia="Calibri" w:cs="Calibri"/>
                <w:b w:val="1"/>
                <w:bCs w:val="1"/>
              </w:rPr>
              <w:t>Legal</w:t>
            </w:r>
          </w:p>
        </w:tc>
        <w:tc>
          <w:tcPr>
            <w:tcW w:w="2885" w:type="dxa"/>
            <w:tcMar/>
          </w:tcPr>
          <w:p w:rsidR="3018A160" w:rsidP="7C4DA529" w:rsidRDefault="3018A160" w14:paraId="6464F9AE" w14:textId="490B2A06">
            <w:pPr>
              <w:pStyle w:val="Normal"/>
            </w:pPr>
            <w:r w:rsidRPr="7C4DA529" w:rsidR="3018A160">
              <w:rPr>
                <w:rFonts w:ascii="Calibri" w:hAnsi="Calibri" w:eastAsia="Calibri" w:cs="Calibri"/>
                <w:noProof w:val="0"/>
                <w:color w:val="000000" w:themeColor="text1" w:themeTint="FF" w:themeShade="FF"/>
                <w:sz w:val="24"/>
                <w:szCs w:val="24"/>
                <w:lang w:val="en-GB"/>
              </w:rPr>
              <w:t>Awarding body compliance, apprenticeship contract law and educational funding verification.</w:t>
            </w:r>
          </w:p>
        </w:tc>
        <w:tc>
          <w:tcPr>
            <w:tcW w:w="2340" w:type="dxa"/>
            <w:tcMar/>
          </w:tcPr>
          <w:p w:rsidR="3018A160" w:rsidP="7C4DA529" w:rsidRDefault="3018A160" w14:paraId="6EB0249B" w14:textId="06A7185C">
            <w:pPr>
              <w:pStyle w:val="Normal"/>
            </w:pPr>
            <w:r w:rsidRPr="7C4DA529" w:rsidR="3018A160">
              <w:rPr>
                <w:rFonts w:ascii="Calibri" w:hAnsi="Calibri" w:eastAsia="Calibri" w:cs="Calibri"/>
                <w:noProof w:val="0"/>
                <w:color w:val="000000" w:themeColor="text1" w:themeTint="FF" w:themeShade="FF"/>
                <w:sz w:val="24"/>
                <w:szCs w:val="24"/>
                <w:lang w:val="en-GB"/>
              </w:rPr>
              <w:t>Social Services &amp; Well-being (Wales) Act 2014, Mental Capacity Act 2005, DoLS and Duty of Care.</w:t>
            </w:r>
          </w:p>
        </w:tc>
        <w:tc>
          <w:tcPr>
            <w:tcW w:w="2340" w:type="dxa"/>
            <w:tcMar/>
          </w:tcPr>
          <w:p w:rsidR="3018A160" w:rsidP="7C4DA529" w:rsidRDefault="3018A160" w14:paraId="527010EA" w14:textId="445D7BC0">
            <w:pPr>
              <w:pStyle w:val="Normal"/>
            </w:pPr>
            <w:r w:rsidRPr="7C4DA529" w:rsidR="3018A160">
              <w:rPr>
                <w:rFonts w:ascii="Calibri" w:hAnsi="Calibri" w:eastAsia="Calibri" w:cs="Calibri"/>
                <w:noProof w:val="0"/>
                <w:color w:val="000000" w:themeColor="text1" w:themeTint="FF" w:themeShade="FF"/>
                <w:sz w:val="24"/>
                <w:szCs w:val="24"/>
                <w:lang w:val="en-GB"/>
              </w:rPr>
              <w:t>Elevates legal framework from contract compliance to statutory protection of life and liberty (</w:t>
            </w:r>
            <w:r w:rsidRPr="7C4DA529" w:rsidR="3018A160">
              <w:rPr>
                <w:rFonts w:ascii="Calibri" w:hAnsi="Calibri" w:eastAsia="Calibri" w:cs="Calibri"/>
                <w:i w:val="1"/>
                <w:iCs w:val="1"/>
                <w:noProof w:val="0"/>
                <w:color w:val="000000" w:themeColor="text1" w:themeTint="FF" w:themeShade="FF"/>
                <w:sz w:val="24"/>
                <w:szCs w:val="24"/>
                <w:lang w:val="en-GB"/>
              </w:rPr>
              <w:t>Donoghue v Stevenson</w:t>
            </w:r>
            <w:r w:rsidRPr="7C4DA529" w:rsidR="3018A160">
              <w:rPr>
                <w:rFonts w:ascii="Calibri" w:hAnsi="Calibri" w:eastAsia="Calibri" w:cs="Calibri"/>
                <w:noProof w:val="0"/>
                <w:color w:val="000000" w:themeColor="text1" w:themeTint="FF" w:themeShade="FF"/>
                <w:sz w:val="24"/>
                <w:szCs w:val="24"/>
                <w:lang w:val="en-GB"/>
              </w:rPr>
              <w:t>, 1932).</w:t>
            </w:r>
          </w:p>
        </w:tc>
      </w:tr>
    </w:tbl>
    <w:p w:rsidR="5EF395E7" w:rsidP="5EF395E7" w:rsidRDefault="5EF395E7" w14:paraId="6B377EFC" w14:textId="4CB1261A">
      <w:pPr>
        <w:pStyle w:val="Normal"/>
        <w:tabs>
          <w:tab w:val="right" w:leader="dot" w:pos="9360"/>
        </w:tabs>
      </w:pPr>
    </w:p>
    <w:p w:rsidR="32B2F6D6" w:rsidP="4754B81A" w:rsidRDefault="32B2F6D6" w14:paraId="0F4C1862" w14:textId="3F10747A">
      <w:pPr>
        <w:pStyle w:val="Heading3"/>
        <w:tabs>
          <w:tab w:val="right" w:leader="dot" w:pos="9360"/>
        </w:tabs>
        <w:rPr>
          <w:noProof w:val="0"/>
          <w:lang w:val="en-GB"/>
        </w:rPr>
      </w:pPr>
      <w:bookmarkStart w:name="_Toc1521153614" w:id="126386575"/>
      <w:r w:rsidRPr="0FB2F569" w:rsidR="0FB2F569">
        <w:rPr>
          <w:noProof w:val="0"/>
          <w:lang w:val="en-GB"/>
        </w:rPr>
        <w:t>B</w:t>
      </w:r>
      <w:r w:rsidRPr="0FB2F569" w:rsidR="0FB2F569">
        <w:rPr>
          <w:noProof w:val="0"/>
          <w:lang w:val="en-GB"/>
        </w:rPr>
        <w:t xml:space="preserve"> SWOT Matrix (Career Transition)</w:t>
      </w:r>
      <w:bookmarkEnd w:id="126386575"/>
    </w:p>
    <w:tbl>
      <w:tblPr>
        <w:tblStyle w:val="TableGrid"/>
        <w:tblW w:w="0" w:type="auto"/>
        <w:tblLook w:val="06A0" w:firstRow="1" w:lastRow="0" w:firstColumn="1" w:lastColumn="0" w:noHBand="1" w:noVBand="1"/>
      </w:tblPr>
      <w:tblGrid>
        <w:gridCol w:w="3120"/>
        <w:gridCol w:w="3120"/>
        <w:gridCol w:w="3120"/>
      </w:tblGrid>
      <w:tr w:rsidR="7C4DA529" w:rsidTr="7C4DA529" w14:paraId="5EBCA973">
        <w:trPr>
          <w:trHeight w:val="300"/>
        </w:trPr>
        <w:tc>
          <w:tcPr>
            <w:tcW w:w="3120" w:type="dxa"/>
            <w:tcMar/>
          </w:tcPr>
          <w:p w:rsidR="7C4DA529" w:rsidP="7C4DA529" w:rsidRDefault="7C4DA529" w14:paraId="059379D2" w14:textId="74093E2D">
            <w:pPr>
              <w:pStyle w:val="Normal"/>
              <w:rPr>
                <w:rFonts w:ascii="Calibri" w:hAnsi="Calibri" w:eastAsia="Calibri" w:cs="Calibri"/>
              </w:rPr>
            </w:pPr>
          </w:p>
        </w:tc>
        <w:tc>
          <w:tcPr>
            <w:tcW w:w="3120" w:type="dxa"/>
            <w:tcMar/>
          </w:tcPr>
          <w:p w:rsidR="202DDDA1" w:rsidP="7C4DA529" w:rsidRDefault="202DDDA1" w14:paraId="5700446D" w14:textId="711D5DE0">
            <w:pPr>
              <w:pStyle w:val="Normal"/>
            </w:pPr>
            <w:r w:rsidRPr="7C4DA529" w:rsidR="202DDDA1">
              <w:rPr>
                <w:rFonts w:ascii="Calibri" w:hAnsi="Calibri" w:eastAsia="Calibri" w:cs="Calibri"/>
                <w:noProof w:val="0"/>
                <w:color w:val="000000" w:themeColor="text1" w:themeTint="FF" w:themeShade="FF"/>
                <w:sz w:val="24"/>
                <w:szCs w:val="24"/>
                <w:lang w:val="en-GB"/>
              </w:rPr>
              <w:t>Internal / External Strategic Factors</w:t>
            </w:r>
          </w:p>
        </w:tc>
        <w:tc>
          <w:tcPr>
            <w:tcW w:w="3120" w:type="dxa"/>
            <w:tcMar/>
          </w:tcPr>
          <w:p w:rsidR="202DDDA1" w:rsidP="7C4DA529" w:rsidRDefault="202DDDA1" w14:paraId="205443D1" w14:textId="1A65A190">
            <w:pPr>
              <w:pStyle w:val="Normal"/>
            </w:pPr>
            <w:r w:rsidRPr="7C4DA529" w:rsidR="202DDDA1">
              <w:rPr>
                <w:rFonts w:ascii="Calibri" w:hAnsi="Calibri" w:eastAsia="Calibri" w:cs="Calibri"/>
                <w:noProof w:val="0"/>
                <w:color w:val="000000" w:themeColor="text1" w:themeTint="FF" w:themeShade="FF"/>
                <w:sz w:val="24"/>
                <w:szCs w:val="24"/>
                <w:lang w:val="en-GB"/>
              </w:rPr>
              <w:t>Theoretical &amp; Operational Impact</w:t>
            </w:r>
          </w:p>
        </w:tc>
      </w:tr>
      <w:tr w:rsidR="7C4DA529" w:rsidTr="7C4DA529" w14:paraId="51FFD787">
        <w:trPr>
          <w:trHeight w:val="300"/>
        </w:trPr>
        <w:tc>
          <w:tcPr>
            <w:tcW w:w="3120" w:type="dxa"/>
            <w:tcMar/>
          </w:tcPr>
          <w:p w:rsidR="202DDDA1" w:rsidP="7C4DA529" w:rsidRDefault="202DDDA1" w14:paraId="07D52A23" w14:textId="40CE04AF">
            <w:pPr>
              <w:pStyle w:val="Normal"/>
            </w:pPr>
            <w:r w:rsidRPr="7C4DA529" w:rsidR="202DDDA1">
              <w:rPr>
                <w:rFonts w:ascii="Calibri" w:hAnsi="Calibri" w:eastAsia="Calibri" w:cs="Calibri"/>
                <w:noProof w:val="0"/>
                <w:color w:val="000000" w:themeColor="text1" w:themeTint="FF" w:themeShade="FF"/>
                <w:sz w:val="24"/>
                <w:szCs w:val="24"/>
                <w:lang w:val="en-GB"/>
              </w:rPr>
              <w:t>Strengths (Internal)</w:t>
            </w:r>
          </w:p>
        </w:tc>
        <w:tc>
          <w:tcPr>
            <w:tcW w:w="3120" w:type="dxa"/>
            <w:tcMar/>
          </w:tcPr>
          <w:p w:rsidR="202DDDA1" w:rsidP="7C4DA529" w:rsidRDefault="202DDDA1" w14:paraId="711C27DB" w14:textId="564B7EE0">
            <w:pPr>
              <w:pStyle w:val="Normal"/>
            </w:pPr>
            <w:r w:rsidRPr="7C4DA529" w:rsidR="202DDDA1">
              <w:rPr>
                <w:rFonts w:ascii="Calibri" w:hAnsi="Calibri" w:eastAsia="Calibri" w:cs="Calibri"/>
                <w:noProof w:val="0"/>
                <w:color w:val="000000" w:themeColor="text1" w:themeTint="FF" w:themeShade="FF"/>
                <w:sz w:val="24"/>
                <w:szCs w:val="24"/>
                <w:lang w:val="en-GB"/>
              </w:rPr>
              <w:t xml:space="preserve">Transferable pedagogical skills, structured </w:t>
            </w:r>
            <w:r w:rsidRPr="7C4DA529" w:rsidR="202DDDA1">
              <w:rPr>
                <w:rFonts w:ascii="Calibri" w:hAnsi="Calibri" w:eastAsia="Calibri" w:cs="Calibri"/>
                <w:noProof w:val="0"/>
                <w:color w:val="000000" w:themeColor="text1" w:themeTint="FF" w:themeShade="FF"/>
                <w:sz w:val="24"/>
                <w:szCs w:val="24"/>
                <w:lang w:val="en-GB"/>
              </w:rPr>
              <w:t>goal setting</w:t>
            </w:r>
            <w:r w:rsidRPr="7C4DA529" w:rsidR="202DDDA1">
              <w:rPr>
                <w:rFonts w:ascii="Calibri" w:hAnsi="Calibri" w:eastAsia="Calibri" w:cs="Calibri"/>
                <w:noProof w:val="0"/>
                <w:color w:val="000000" w:themeColor="text1" w:themeTint="FF" w:themeShade="FF"/>
                <w:sz w:val="24"/>
                <w:szCs w:val="24"/>
                <w:lang w:val="en-GB"/>
              </w:rPr>
              <w:t xml:space="preserve">, HACCP hygiene knowledge, observational assessment </w:t>
            </w:r>
            <w:r w:rsidRPr="7C4DA529" w:rsidR="202DDDA1">
              <w:rPr>
                <w:rFonts w:ascii="Calibri" w:hAnsi="Calibri" w:eastAsia="Calibri" w:cs="Calibri"/>
                <w:noProof w:val="0"/>
                <w:color w:val="000000" w:themeColor="text1" w:themeTint="FF" w:themeShade="FF"/>
                <w:sz w:val="24"/>
                <w:szCs w:val="24"/>
                <w:lang w:val="en-GB"/>
              </w:rPr>
              <w:t>expertise</w:t>
            </w:r>
            <w:r w:rsidRPr="7C4DA529" w:rsidR="202DDDA1">
              <w:rPr>
                <w:rFonts w:ascii="Calibri" w:hAnsi="Calibri" w:eastAsia="Calibri" w:cs="Calibri"/>
                <w:noProof w:val="0"/>
                <w:color w:val="000000" w:themeColor="text1" w:themeTint="FF" w:themeShade="FF"/>
                <w:sz w:val="24"/>
                <w:szCs w:val="24"/>
                <w:lang w:val="en-GB"/>
              </w:rPr>
              <w:t xml:space="preserve"> and quality compliance.</w:t>
            </w:r>
          </w:p>
        </w:tc>
        <w:tc>
          <w:tcPr>
            <w:tcW w:w="3120" w:type="dxa"/>
            <w:tcMar/>
          </w:tcPr>
          <w:p w:rsidR="202DDDA1" w:rsidP="7C4DA529" w:rsidRDefault="202DDDA1" w14:paraId="78D083D4" w14:textId="06F2DE5A">
            <w:pPr>
              <w:pStyle w:val="Normal"/>
            </w:pPr>
            <w:r w:rsidRPr="7C4DA529" w:rsidR="202DDDA1">
              <w:rPr>
                <w:rFonts w:ascii="Calibri" w:hAnsi="Calibri" w:eastAsia="Calibri" w:cs="Calibri"/>
                <w:noProof w:val="0"/>
                <w:color w:val="000000" w:themeColor="text1" w:themeTint="FF" w:themeShade="FF"/>
                <w:sz w:val="24"/>
                <w:szCs w:val="24"/>
                <w:lang w:val="en-GB"/>
              </w:rPr>
              <w:t>Provides a robust foundation for executing person-centred care plans and shift auditing via Thorndike's (1901) Pedagogical Transfer Model and Barney's (1991) RBV.</w:t>
            </w:r>
          </w:p>
        </w:tc>
      </w:tr>
      <w:tr w:rsidR="7C4DA529" w:rsidTr="7C4DA529" w14:paraId="3CC02B70">
        <w:trPr>
          <w:trHeight w:val="300"/>
        </w:trPr>
        <w:tc>
          <w:tcPr>
            <w:tcW w:w="3120" w:type="dxa"/>
            <w:tcMar/>
          </w:tcPr>
          <w:p w:rsidR="202DDDA1" w:rsidP="7C4DA529" w:rsidRDefault="202DDDA1" w14:paraId="1A14D4FF" w14:textId="77C68E5F">
            <w:pPr>
              <w:pStyle w:val="Normal"/>
            </w:pPr>
            <w:r w:rsidRPr="7C4DA529" w:rsidR="202DDDA1">
              <w:rPr>
                <w:rFonts w:ascii="Calibri" w:hAnsi="Calibri" w:eastAsia="Calibri" w:cs="Calibri"/>
                <w:noProof w:val="0"/>
                <w:color w:val="000000" w:themeColor="text1" w:themeTint="FF" w:themeShade="FF"/>
                <w:sz w:val="24"/>
                <w:szCs w:val="24"/>
                <w:lang w:val="en-GB"/>
              </w:rPr>
              <w:t>Weaknesses (Internal)</w:t>
            </w:r>
          </w:p>
        </w:tc>
        <w:tc>
          <w:tcPr>
            <w:tcW w:w="3120" w:type="dxa"/>
            <w:tcMar/>
          </w:tcPr>
          <w:p w:rsidR="202DDDA1" w:rsidP="7C4DA529" w:rsidRDefault="202DDDA1" w14:paraId="6C0CDD48" w14:textId="4A5D56C5">
            <w:pPr>
              <w:pStyle w:val="Normal"/>
            </w:pPr>
            <w:r w:rsidRPr="7C4DA529" w:rsidR="202DDDA1">
              <w:rPr>
                <w:rFonts w:ascii="Calibri" w:hAnsi="Calibri" w:eastAsia="Calibri" w:cs="Calibri"/>
                <w:noProof w:val="0"/>
                <w:color w:val="000000" w:themeColor="text1" w:themeTint="FF" w:themeShade="FF"/>
                <w:sz w:val="24"/>
                <w:szCs w:val="24"/>
                <w:lang w:val="en-GB"/>
              </w:rPr>
              <w:t>Initial lack of specialised clinical vocabulary, unlearned medical terminology, adjustment to non-verbal resident communication and care role ambiguity.</w:t>
            </w:r>
          </w:p>
        </w:tc>
        <w:tc>
          <w:tcPr>
            <w:tcW w:w="3120" w:type="dxa"/>
            <w:tcMar/>
          </w:tcPr>
          <w:p w:rsidR="202DDDA1" w:rsidP="7C4DA529" w:rsidRDefault="202DDDA1" w14:paraId="4B6CA85A" w14:textId="04BD262A">
            <w:pPr>
              <w:pStyle w:val="Normal"/>
            </w:pPr>
            <w:r w:rsidRPr="7C4DA529" w:rsidR="202DDDA1">
              <w:rPr>
                <w:rFonts w:ascii="Calibri" w:hAnsi="Calibri" w:eastAsia="Calibri" w:cs="Calibri"/>
                <w:noProof w:val="0"/>
                <w:color w:val="000000" w:themeColor="text1" w:themeTint="FF" w:themeShade="FF"/>
                <w:sz w:val="24"/>
                <w:szCs w:val="24"/>
                <w:lang w:val="en-GB"/>
              </w:rPr>
              <w:t xml:space="preserve">Creates temporary cognitive strain and identity dissonance during early shifts, </w:t>
            </w:r>
            <w:r w:rsidRPr="7C4DA529" w:rsidR="21BE0A9A">
              <w:rPr>
                <w:rFonts w:ascii="Calibri" w:hAnsi="Calibri" w:eastAsia="Calibri" w:cs="Calibri"/>
                <w:noProof w:val="0"/>
                <w:color w:val="000000" w:themeColor="text1" w:themeTint="FF" w:themeShade="FF"/>
                <w:sz w:val="24"/>
                <w:szCs w:val="24"/>
                <w:lang w:val="en-GB"/>
              </w:rPr>
              <w:t>analysed</w:t>
            </w:r>
            <w:r w:rsidRPr="7C4DA529" w:rsidR="202DDDA1">
              <w:rPr>
                <w:rFonts w:ascii="Calibri" w:hAnsi="Calibri" w:eastAsia="Calibri" w:cs="Calibri"/>
                <w:noProof w:val="0"/>
                <w:color w:val="000000" w:themeColor="text1" w:themeTint="FF" w:themeShade="FF"/>
                <w:sz w:val="24"/>
                <w:szCs w:val="24"/>
                <w:lang w:val="en-GB"/>
              </w:rPr>
              <w:t xml:space="preserve"> through Nicholson's (1984) Work Role Transition Theory.</w:t>
            </w:r>
          </w:p>
        </w:tc>
      </w:tr>
      <w:tr w:rsidR="7C4DA529" w:rsidTr="7C4DA529" w14:paraId="30243D39">
        <w:trPr>
          <w:trHeight w:val="300"/>
        </w:trPr>
        <w:tc>
          <w:tcPr>
            <w:tcW w:w="3120" w:type="dxa"/>
            <w:tcMar/>
          </w:tcPr>
          <w:p w:rsidR="202DDDA1" w:rsidP="7C4DA529" w:rsidRDefault="202DDDA1" w14:paraId="031139A6" w14:textId="2B660C72">
            <w:pPr>
              <w:pStyle w:val="Normal"/>
            </w:pPr>
            <w:r w:rsidRPr="7C4DA529" w:rsidR="202DDDA1">
              <w:rPr>
                <w:rFonts w:ascii="Calibri" w:hAnsi="Calibri" w:eastAsia="Calibri" w:cs="Calibri"/>
                <w:noProof w:val="0"/>
                <w:color w:val="000000" w:themeColor="text1" w:themeTint="FF" w:themeShade="FF"/>
                <w:sz w:val="24"/>
                <w:szCs w:val="24"/>
                <w:lang w:val="en-GB"/>
              </w:rPr>
              <w:t>Opportunities (External)</w:t>
            </w:r>
          </w:p>
        </w:tc>
        <w:tc>
          <w:tcPr>
            <w:tcW w:w="3120" w:type="dxa"/>
            <w:tcMar/>
          </w:tcPr>
          <w:p w:rsidR="202DDDA1" w:rsidP="7C4DA529" w:rsidRDefault="202DDDA1" w14:paraId="098803C6" w14:textId="47F9C2EB">
            <w:pPr>
              <w:pStyle w:val="Normal"/>
            </w:pPr>
            <w:r w:rsidRPr="7C4DA529" w:rsidR="202DDDA1">
              <w:rPr>
                <w:rFonts w:ascii="Calibri" w:hAnsi="Calibri" w:eastAsia="Calibri" w:cs="Calibri"/>
                <w:noProof w:val="0"/>
                <w:color w:val="000000" w:themeColor="text1" w:themeTint="FF" w:themeShade="FF"/>
                <w:sz w:val="24"/>
                <w:szCs w:val="24"/>
                <w:lang w:val="en-GB"/>
              </w:rPr>
              <w:t>Funded Level 3 and Level 5 Diplomas in Health and Social Care, internal career lattice progression to Team Leader or Management and Social Care Wales registration.</w:t>
            </w:r>
          </w:p>
        </w:tc>
        <w:tc>
          <w:tcPr>
            <w:tcW w:w="3120" w:type="dxa"/>
            <w:tcMar/>
          </w:tcPr>
          <w:p w:rsidR="202DDDA1" w:rsidP="7C4DA529" w:rsidRDefault="202DDDA1" w14:paraId="22A01EBB" w14:textId="251DD240">
            <w:pPr>
              <w:pStyle w:val="Normal"/>
            </w:pPr>
            <w:r w:rsidRPr="7C4DA529" w:rsidR="202DDDA1">
              <w:rPr>
                <w:rFonts w:ascii="Calibri" w:hAnsi="Calibri" w:eastAsia="Calibri" w:cs="Calibri"/>
                <w:noProof w:val="0"/>
                <w:color w:val="000000" w:themeColor="text1" w:themeTint="FF" w:themeShade="FF"/>
                <w:sz w:val="24"/>
                <w:szCs w:val="24"/>
                <w:lang w:val="en-GB"/>
              </w:rPr>
              <w:t>Operationalises Super's (1957) Career Lattice and Knowles' (1984) Andragogy Theory, allowing rapid clinical authority building and lifelong learning.</w:t>
            </w:r>
          </w:p>
        </w:tc>
      </w:tr>
      <w:tr w:rsidR="7C4DA529" w:rsidTr="7C4DA529" w14:paraId="1B745F12">
        <w:trPr>
          <w:trHeight w:val="300"/>
        </w:trPr>
        <w:tc>
          <w:tcPr>
            <w:tcW w:w="3120" w:type="dxa"/>
            <w:tcMar/>
          </w:tcPr>
          <w:p w:rsidR="202DDDA1" w:rsidP="7C4DA529" w:rsidRDefault="202DDDA1" w14:paraId="34DC5EC2" w14:textId="71E1181A">
            <w:pPr>
              <w:pStyle w:val="Normal"/>
            </w:pPr>
            <w:r w:rsidRPr="7C4DA529" w:rsidR="202DDDA1">
              <w:rPr>
                <w:rFonts w:ascii="Calibri" w:hAnsi="Calibri" w:eastAsia="Calibri" w:cs="Calibri"/>
                <w:noProof w:val="0"/>
                <w:color w:val="000000" w:themeColor="text1" w:themeTint="FF" w:themeShade="FF"/>
                <w:sz w:val="24"/>
                <w:szCs w:val="24"/>
                <w:lang w:val="en-GB"/>
              </w:rPr>
              <w:t>Threats (External)</w:t>
            </w:r>
          </w:p>
        </w:tc>
        <w:tc>
          <w:tcPr>
            <w:tcW w:w="3120" w:type="dxa"/>
            <w:tcMar/>
          </w:tcPr>
          <w:p w:rsidR="202DDDA1" w:rsidP="7C4DA529" w:rsidRDefault="202DDDA1" w14:paraId="74FE242A" w14:textId="7528D378">
            <w:pPr>
              <w:pStyle w:val="Normal"/>
            </w:pPr>
            <w:r w:rsidRPr="7C4DA529" w:rsidR="202DDDA1">
              <w:rPr>
                <w:rFonts w:ascii="Calibri" w:hAnsi="Calibri" w:eastAsia="Calibri" w:cs="Calibri"/>
                <w:noProof w:val="0"/>
                <w:color w:val="000000" w:themeColor="text1" w:themeTint="FF" w:themeShade="FF"/>
                <w:sz w:val="24"/>
                <w:szCs w:val="24"/>
                <w:lang w:val="en-GB"/>
              </w:rPr>
              <w:t>Sector-wide care staffing deficits, high industry turnover rates, mandatory shift overtime and potential burnout during crisis situations.</w:t>
            </w:r>
          </w:p>
        </w:tc>
        <w:tc>
          <w:tcPr>
            <w:tcW w:w="3120" w:type="dxa"/>
            <w:tcMar/>
          </w:tcPr>
          <w:p w:rsidR="202DDDA1" w:rsidP="7C4DA529" w:rsidRDefault="202DDDA1" w14:paraId="217C588F" w14:textId="0C57D3FD">
            <w:pPr>
              <w:pStyle w:val="Normal"/>
            </w:pPr>
            <w:r w:rsidRPr="7C4DA529" w:rsidR="202DDDA1">
              <w:rPr>
                <w:rFonts w:ascii="Calibri" w:hAnsi="Calibri" w:eastAsia="Calibri" w:cs="Calibri"/>
                <w:noProof w:val="0"/>
                <w:color w:val="000000" w:themeColor="text1" w:themeTint="FF" w:themeShade="FF"/>
                <w:sz w:val="24"/>
                <w:szCs w:val="24"/>
                <w:lang w:val="en-GB"/>
              </w:rPr>
              <w:t>Evaluated through Erenreich's (2001) Labour Market Crisis Theory; mitigated by Swanton Care's focus on psychological safety and Luthans' (2002) Organisational Resilience.</w:t>
            </w:r>
          </w:p>
        </w:tc>
      </w:tr>
    </w:tbl>
    <w:p w:rsidR="70845AC1" w:rsidP="6C87C940" w:rsidRDefault="70845AC1" w14:paraId="3C59FCE1" w14:textId="192A90F5">
      <w:pPr>
        <w:pStyle w:val="Normal"/>
        <w:tabs>
          <w:tab w:val="right" w:leader="dot" w:pos="9360"/>
        </w:tabs>
      </w:pPr>
    </w:p>
    <w:sectPr>
      <w:pgSz w:w="12240" w:h="15840" w:orient="portrait"/>
      <w:pgMar w:top="1440" w:right="1440" w:bottom="1440" w:left="1440" w:header="720" w:footer="720" w:gutter="0"/>
      <w:cols w:space="720"/>
      <w:docGrid w:linePitch="360"/>
      <w:headerReference w:type="default" r:id="R7a646a856cb64f16"/>
      <w:footerReference w:type="default" r:id="Rfffd769bb3a34e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D68AD2A" w:rsidTr="5EC73FA6" w14:paraId="15AA9D8E">
      <w:trPr>
        <w:trHeight w:val="300"/>
      </w:trPr>
      <w:tc>
        <w:tcPr>
          <w:tcW w:w="3120" w:type="dxa"/>
          <w:tcMar/>
        </w:tcPr>
        <w:p w:rsidR="0D68AD2A" w:rsidP="0D68AD2A" w:rsidRDefault="0D68AD2A" w14:paraId="3B97FDE5" w14:textId="68A62302">
          <w:pPr>
            <w:pStyle w:val="Header"/>
            <w:bidi w:val="0"/>
            <w:ind w:left="-115"/>
            <w:jc w:val="left"/>
          </w:pPr>
        </w:p>
      </w:tc>
      <w:tc>
        <w:tcPr>
          <w:tcW w:w="3120" w:type="dxa"/>
          <w:tcMar/>
        </w:tcPr>
        <w:p w:rsidR="0D68AD2A" w:rsidP="0D68AD2A" w:rsidRDefault="0D68AD2A" w14:paraId="54DC60EC" w14:textId="58B9D980">
          <w:pPr>
            <w:pStyle w:val="Header"/>
            <w:bidi w:val="0"/>
            <w:jc w:val="center"/>
          </w:pPr>
        </w:p>
      </w:tc>
      <w:tc>
        <w:tcPr>
          <w:tcW w:w="3120" w:type="dxa"/>
          <w:tcMar/>
        </w:tcPr>
        <w:p w:rsidR="0D68AD2A" w:rsidP="0D68AD2A" w:rsidRDefault="0D68AD2A" w14:paraId="07951A2C" w14:textId="3CF6C7FA">
          <w:pPr>
            <w:pStyle w:val="Header"/>
            <w:bidi w:val="0"/>
            <w:ind w:right="-115"/>
            <w:jc w:val="right"/>
          </w:pPr>
          <w:r>
            <w:fldChar w:fldCharType="begin"/>
          </w:r>
          <w:r>
            <w:instrText xml:space="preserve">PAGE</w:instrText>
          </w:r>
          <w:r>
            <w:fldChar w:fldCharType="separate"/>
          </w:r>
          <w:r>
            <w:fldChar w:fldCharType="end"/>
          </w:r>
        </w:p>
      </w:tc>
    </w:tr>
  </w:tbl>
  <w:p w:rsidR="0D68AD2A" w:rsidP="0D68AD2A" w:rsidRDefault="0D68AD2A" w14:paraId="0D7250DB" w14:textId="466549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D68AD2A" w:rsidTr="5EC73FA6" w14:paraId="5FF435B9">
      <w:trPr>
        <w:trHeight w:val="300"/>
      </w:trPr>
      <w:tc>
        <w:tcPr>
          <w:tcW w:w="3120" w:type="dxa"/>
          <w:tcMar/>
        </w:tcPr>
        <w:p w:rsidR="0D68AD2A" w:rsidP="0D68AD2A" w:rsidRDefault="0D68AD2A" w14:paraId="6F8A0195" w14:textId="70DA993E">
          <w:pPr>
            <w:pStyle w:val="Header"/>
            <w:bidi w:val="0"/>
            <w:ind w:left="-115"/>
            <w:jc w:val="left"/>
          </w:pPr>
        </w:p>
      </w:tc>
      <w:tc>
        <w:tcPr>
          <w:tcW w:w="3120" w:type="dxa"/>
          <w:tcMar/>
        </w:tcPr>
        <w:p w:rsidR="0D68AD2A" w:rsidP="0D68AD2A" w:rsidRDefault="0D68AD2A" w14:paraId="3C3F9500" w14:textId="5F860A5A">
          <w:pPr>
            <w:pStyle w:val="Header"/>
            <w:bidi w:val="0"/>
            <w:jc w:val="center"/>
          </w:pPr>
        </w:p>
      </w:tc>
      <w:tc>
        <w:tcPr>
          <w:tcW w:w="3120" w:type="dxa"/>
          <w:tcMar/>
        </w:tcPr>
        <w:p w:rsidR="0D68AD2A" w:rsidP="0D68AD2A" w:rsidRDefault="0D68AD2A" w14:paraId="5927EC06" w14:textId="7A1F3D03">
          <w:pPr>
            <w:pStyle w:val="Header"/>
            <w:bidi w:val="0"/>
            <w:ind w:right="-115"/>
            <w:jc w:val="right"/>
          </w:pPr>
        </w:p>
      </w:tc>
    </w:tr>
  </w:tbl>
  <w:p w:rsidR="0D68AD2A" w:rsidP="0D68AD2A" w:rsidRDefault="0D68AD2A" w14:paraId="2647A274" w14:textId="5374CF14">
    <w:pPr>
      <w:pStyle w:val="Header"/>
      <w:bidi w:val="0"/>
    </w:pPr>
  </w:p>
</w:hdr>
</file>

<file path=word/intelligence2.xml><?xml version="1.0" encoding="utf-8"?>
<int2:intelligence xmlns:int2="http://schemas.microsoft.com/office/intelligence/2020/intelligence">
  <int2:observations>
    <int2:textHash int2:hashCode="cYtyyZQQO6hiJq" int2:id="LcGssQNa">
      <int2:state int2:type="spell" int2:value="Rejected"/>
    </int2:textHash>
    <int2:textHash int2:hashCode="vt0v94lTYvIvAu" int2:id="KJ9L399j">
      <int2:state int2:type="spell" int2:value="Rejected"/>
    </int2:textHash>
    <int2:textHash int2:hashCode="mKPHPqlstRTpZr" int2:id="wk33leva">
      <int2:state int2:type="spell" int2:value="Rejected"/>
    </int2:textHash>
    <int2:textHash int2:hashCode="347l6SY5RmSQZQ" int2:id="uF7gkmnt">
      <int2:state int2:type="spell" int2:value="Rejected"/>
    </int2:textHash>
    <int2:textHash int2:hashCode="TbffNo00wmn77j" int2:id="EnRVDyNa">
      <int2:state int2:type="spell" int2:value="Rejected"/>
    </int2:textHash>
    <int2:textHash int2:hashCode="qxgqd3F4aofrEx" int2:id="fazm1s3f">
      <int2:state int2:type="spell" int2:value="Rejected"/>
    </int2:textHash>
    <int2:textHash int2:hashCode="iyyWnIY4PB0MQr" int2:id="aDFB1F74">
      <int2:state int2:type="spell" int2:value="Rejected"/>
    </int2:textHash>
    <int2:textHash int2:hashCode="XDe3ldAZdvBRZ/" int2:id="ttwFgmHa">
      <int2:state int2:type="spell" int2:value="Rejected"/>
    </int2:textHash>
    <int2:textHash int2:hashCode="q2ldL8ZnT6gUE8" int2:id="jqDhdwXz">
      <int2:state int2:type="spell" int2:value="Rejected"/>
    </int2:textHash>
    <int2:textHash int2:hashCode="Dc3DUnJLMJNn/k" int2:id="8w0kq4fA">
      <int2:state int2:type="spell" int2:value="Rejected"/>
    </int2:textHash>
    <int2:textHash int2:hashCode="xQy+KnIliT8rxm" int2:id="Wz86EPvH">
      <int2:state int2:type="spell" int2:value="Rejected"/>
    </int2:textHash>
    <int2:textHash int2:hashCode="m/C6mGJeQTWOW1" int2:id="rVCcZeFs">
      <int2:state int2:type="spell" int2:value="Rejected"/>
    </int2:textHash>
    <int2:textHash int2:hashCode="PLZtS9B8ew8ND3" int2:id="g5XcRjl9">
      <int2:state int2:type="spell" int2:value="Rejected"/>
    </int2:textHash>
    <int2:textHash int2:hashCode="DVa0ng4C1mjY4N" int2:id="wlfcb6VE">
      <int2:state int2:type="spell" int2:value="Rejected"/>
    </int2:textHash>
    <int2:textHash int2:hashCode="0tfi6OWTEe7B1K" int2:id="nNrgep0N">
      <int2:state int2:type="spell" int2:value="Rejected"/>
    </int2:textHash>
    <int2:textHash int2:hashCode="o8nQIfy/GyFsU+" int2:id="bjhAw7np">
      <int2:state int2:type="spell" int2:value="Rejected"/>
    </int2:textHash>
    <int2:textHash int2:hashCode="HEXtz+T4PyFSoL" int2:id="A3TwKACf">
      <int2:state int2:type="spell" int2:value="Rejected"/>
    </int2:textHash>
    <int2:textHash int2:hashCode="JCk9JOQHpMagbj" int2:id="zqwmKDSq">
      <int2:state int2:type="spell" int2:value="Rejected"/>
    </int2:textHash>
    <int2:textHash int2:hashCode="XSUiEPxXFZ9tOg" int2:id="QbvSG1DV">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fab773c"/>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aa9e5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53f1e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af77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394E33"/>
    <w:rsid w:val="000021AE"/>
    <w:rsid w:val="0004E0C3"/>
    <w:rsid w:val="001037FD"/>
    <w:rsid w:val="0016BDAF"/>
    <w:rsid w:val="00198F9E"/>
    <w:rsid w:val="001C8081"/>
    <w:rsid w:val="001CFB17"/>
    <w:rsid w:val="001E8402"/>
    <w:rsid w:val="001EEFA3"/>
    <w:rsid w:val="00253C78"/>
    <w:rsid w:val="00272161"/>
    <w:rsid w:val="002D151C"/>
    <w:rsid w:val="0034BE7D"/>
    <w:rsid w:val="003D34B7"/>
    <w:rsid w:val="00412871"/>
    <w:rsid w:val="004D8FD0"/>
    <w:rsid w:val="005448D9"/>
    <w:rsid w:val="0065A7B0"/>
    <w:rsid w:val="0065FAB5"/>
    <w:rsid w:val="006AC1F7"/>
    <w:rsid w:val="00712F40"/>
    <w:rsid w:val="0075C28A"/>
    <w:rsid w:val="0079CF8E"/>
    <w:rsid w:val="007A82B6"/>
    <w:rsid w:val="007D54A7"/>
    <w:rsid w:val="00813BE4"/>
    <w:rsid w:val="0081C9AD"/>
    <w:rsid w:val="00944582"/>
    <w:rsid w:val="009B74F0"/>
    <w:rsid w:val="009DFF1B"/>
    <w:rsid w:val="009F6615"/>
    <w:rsid w:val="009F9647"/>
    <w:rsid w:val="00A14594"/>
    <w:rsid w:val="00A80DB0"/>
    <w:rsid w:val="00AE7AD7"/>
    <w:rsid w:val="00AF5D60"/>
    <w:rsid w:val="00B24944"/>
    <w:rsid w:val="00B57779"/>
    <w:rsid w:val="00BDEE48"/>
    <w:rsid w:val="00C75D75"/>
    <w:rsid w:val="00D32EE2"/>
    <w:rsid w:val="00D8E551"/>
    <w:rsid w:val="00E462E2"/>
    <w:rsid w:val="00EB7256"/>
    <w:rsid w:val="00EC1B8D"/>
    <w:rsid w:val="00ED61FB"/>
    <w:rsid w:val="00EDF5D4"/>
    <w:rsid w:val="00FD8E0E"/>
    <w:rsid w:val="0100BE6C"/>
    <w:rsid w:val="0103178F"/>
    <w:rsid w:val="0104E622"/>
    <w:rsid w:val="010B63BF"/>
    <w:rsid w:val="01194FD5"/>
    <w:rsid w:val="011A17D1"/>
    <w:rsid w:val="01246496"/>
    <w:rsid w:val="0133F079"/>
    <w:rsid w:val="0135A52C"/>
    <w:rsid w:val="0140AF59"/>
    <w:rsid w:val="014E7099"/>
    <w:rsid w:val="01505AC6"/>
    <w:rsid w:val="015638CA"/>
    <w:rsid w:val="015C8843"/>
    <w:rsid w:val="0164B603"/>
    <w:rsid w:val="0165766C"/>
    <w:rsid w:val="017390A4"/>
    <w:rsid w:val="017443C0"/>
    <w:rsid w:val="0177CF7D"/>
    <w:rsid w:val="017C8BE6"/>
    <w:rsid w:val="01810280"/>
    <w:rsid w:val="01821CE7"/>
    <w:rsid w:val="018703EE"/>
    <w:rsid w:val="0188CF36"/>
    <w:rsid w:val="018A8897"/>
    <w:rsid w:val="018FA1F1"/>
    <w:rsid w:val="01903DB9"/>
    <w:rsid w:val="019C7BD1"/>
    <w:rsid w:val="01A34B38"/>
    <w:rsid w:val="01A6733B"/>
    <w:rsid w:val="01AB945A"/>
    <w:rsid w:val="01B2D698"/>
    <w:rsid w:val="01B9F9A4"/>
    <w:rsid w:val="01BAADD8"/>
    <w:rsid w:val="01C9BADC"/>
    <w:rsid w:val="01CA727C"/>
    <w:rsid w:val="01D244B8"/>
    <w:rsid w:val="01DAFED4"/>
    <w:rsid w:val="01E55ADF"/>
    <w:rsid w:val="01EDC3FC"/>
    <w:rsid w:val="01F6B86B"/>
    <w:rsid w:val="01FEAB70"/>
    <w:rsid w:val="01FECB95"/>
    <w:rsid w:val="01FF5AB5"/>
    <w:rsid w:val="01FFFFC7"/>
    <w:rsid w:val="02035B93"/>
    <w:rsid w:val="020592B5"/>
    <w:rsid w:val="02088741"/>
    <w:rsid w:val="020C31BF"/>
    <w:rsid w:val="0211D43D"/>
    <w:rsid w:val="02216D48"/>
    <w:rsid w:val="022217AC"/>
    <w:rsid w:val="022691EE"/>
    <w:rsid w:val="022BD085"/>
    <w:rsid w:val="0231693E"/>
    <w:rsid w:val="023457CC"/>
    <w:rsid w:val="02431134"/>
    <w:rsid w:val="024C0E9F"/>
    <w:rsid w:val="024C7E38"/>
    <w:rsid w:val="024D8EBE"/>
    <w:rsid w:val="025829D9"/>
    <w:rsid w:val="025CD949"/>
    <w:rsid w:val="02693170"/>
    <w:rsid w:val="026DE1FF"/>
    <w:rsid w:val="027293E7"/>
    <w:rsid w:val="0272F6C8"/>
    <w:rsid w:val="0273CC53"/>
    <w:rsid w:val="0273FCD7"/>
    <w:rsid w:val="027716CF"/>
    <w:rsid w:val="028382B3"/>
    <w:rsid w:val="0286C2BA"/>
    <w:rsid w:val="02A0E45E"/>
    <w:rsid w:val="02A33146"/>
    <w:rsid w:val="02A4FBCD"/>
    <w:rsid w:val="02AE41F2"/>
    <w:rsid w:val="02AE71A8"/>
    <w:rsid w:val="02B154F1"/>
    <w:rsid w:val="02BB130F"/>
    <w:rsid w:val="02BC8FB2"/>
    <w:rsid w:val="02C3B646"/>
    <w:rsid w:val="02CA0172"/>
    <w:rsid w:val="02D656B1"/>
    <w:rsid w:val="02DF3E08"/>
    <w:rsid w:val="02EBE04A"/>
    <w:rsid w:val="02F3E5A3"/>
    <w:rsid w:val="03027FDF"/>
    <w:rsid w:val="03059317"/>
    <w:rsid w:val="030B9A43"/>
    <w:rsid w:val="030C8435"/>
    <w:rsid w:val="030ECA58"/>
    <w:rsid w:val="03253C32"/>
    <w:rsid w:val="0328D905"/>
    <w:rsid w:val="032D405A"/>
    <w:rsid w:val="03312C78"/>
    <w:rsid w:val="033302E4"/>
    <w:rsid w:val="03351D9B"/>
    <w:rsid w:val="03414A70"/>
    <w:rsid w:val="034DBC41"/>
    <w:rsid w:val="0355A53A"/>
    <w:rsid w:val="03571F09"/>
    <w:rsid w:val="03578143"/>
    <w:rsid w:val="035EA2B6"/>
    <w:rsid w:val="036200B9"/>
    <w:rsid w:val="036A6644"/>
    <w:rsid w:val="0376DE74"/>
    <w:rsid w:val="037ABD9E"/>
    <w:rsid w:val="03832C19"/>
    <w:rsid w:val="0383B6CA"/>
    <w:rsid w:val="038709E9"/>
    <w:rsid w:val="038F01C0"/>
    <w:rsid w:val="039B9BB9"/>
    <w:rsid w:val="039F94A3"/>
    <w:rsid w:val="039FA3BE"/>
    <w:rsid w:val="03AD24E4"/>
    <w:rsid w:val="03B57E04"/>
    <w:rsid w:val="03B6E7B6"/>
    <w:rsid w:val="03BA40D7"/>
    <w:rsid w:val="03BC268A"/>
    <w:rsid w:val="03C001C1"/>
    <w:rsid w:val="03CD82BD"/>
    <w:rsid w:val="03D0B2FA"/>
    <w:rsid w:val="03E639DB"/>
    <w:rsid w:val="03E7684B"/>
    <w:rsid w:val="03E9D603"/>
    <w:rsid w:val="03F1A6EA"/>
    <w:rsid w:val="03F55B88"/>
    <w:rsid w:val="03FDDE2A"/>
    <w:rsid w:val="0403E944"/>
    <w:rsid w:val="04042B84"/>
    <w:rsid w:val="040B7AED"/>
    <w:rsid w:val="040DDAA0"/>
    <w:rsid w:val="0417267E"/>
    <w:rsid w:val="041780DF"/>
    <w:rsid w:val="04180452"/>
    <w:rsid w:val="04202CA5"/>
    <w:rsid w:val="04212CD2"/>
    <w:rsid w:val="04268889"/>
    <w:rsid w:val="04347832"/>
    <w:rsid w:val="044E1056"/>
    <w:rsid w:val="0465438D"/>
    <w:rsid w:val="046D8F97"/>
    <w:rsid w:val="04770DBE"/>
    <w:rsid w:val="047D6CCE"/>
    <w:rsid w:val="047E895A"/>
    <w:rsid w:val="04803382"/>
    <w:rsid w:val="0481C274"/>
    <w:rsid w:val="048259EC"/>
    <w:rsid w:val="048EE56D"/>
    <w:rsid w:val="048EE56D"/>
    <w:rsid w:val="04906889"/>
    <w:rsid w:val="0492ED38"/>
    <w:rsid w:val="04932DCB"/>
    <w:rsid w:val="049D45BC"/>
    <w:rsid w:val="04A12581"/>
    <w:rsid w:val="04A6D45A"/>
    <w:rsid w:val="04A80ECE"/>
    <w:rsid w:val="04A9C073"/>
    <w:rsid w:val="04B48CFA"/>
    <w:rsid w:val="04B5EE2A"/>
    <w:rsid w:val="04C01960"/>
    <w:rsid w:val="04C1E388"/>
    <w:rsid w:val="04C3D936"/>
    <w:rsid w:val="04C3EA59"/>
    <w:rsid w:val="04CADF07"/>
    <w:rsid w:val="04D4B468"/>
    <w:rsid w:val="04D7E992"/>
    <w:rsid w:val="04DE7FEE"/>
    <w:rsid w:val="04E9692D"/>
    <w:rsid w:val="04E9D2DD"/>
    <w:rsid w:val="04EAF835"/>
    <w:rsid w:val="04F01A5F"/>
    <w:rsid w:val="04F02BBA"/>
    <w:rsid w:val="04F60BF1"/>
    <w:rsid w:val="04F63FA4"/>
    <w:rsid w:val="04F9A55B"/>
    <w:rsid w:val="050B14BF"/>
    <w:rsid w:val="051135E4"/>
    <w:rsid w:val="05118412"/>
    <w:rsid w:val="0517E645"/>
    <w:rsid w:val="05222DD9"/>
    <w:rsid w:val="05233497"/>
    <w:rsid w:val="05274A45"/>
    <w:rsid w:val="053210F6"/>
    <w:rsid w:val="05361E28"/>
    <w:rsid w:val="053B3A9F"/>
    <w:rsid w:val="054526FF"/>
    <w:rsid w:val="0547858C"/>
    <w:rsid w:val="05495C74"/>
    <w:rsid w:val="054B524C"/>
    <w:rsid w:val="05526325"/>
    <w:rsid w:val="05574779"/>
    <w:rsid w:val="0576A0D4"/>
    <w:rsid w:val="057D3236"/>
    <w:rsid w:val="05824DFD"/>
    <w:rsid w:val="05837216"/>
    <w:rsid w:val="058BA8D8"/>
    <w:rsid w:val="05976703"/>
    <w:rsid w:val="059AB4CB"/>
    <w:rsid w:val="059B4093"/>
    <w:rsid w:val="05A1E691"/>
    <w:rsid w:val="05A917CA"/>
    <w:rsid w:val="05AB6CE4"/>
    <w:rsid w:val="05B55867"/>
    <w:rsid w:val="05BE3989"/>
    <w:rsid w:val="05C52242"/>
    <w:rsid w:val="05CC2B62"/>
    <w:rsid w:val="05D0AEA3"/>
    <w:rsid w:val="05D55C8F"/>
    <w:rsid w:val="05DAA24A"/>
    <w:rsid w:val="05E8229F"/>
    <w:rsid w:val="05FEDB3C"/>
    <w:rsid w:val="0604A6C8"/>
    <w:rsid w:val="06069249"/>
    <w:rsid w:val="060748D9"/>
    <w:rsid w:val="06099649"/>
    <w:rsid w:val="0610B106"/>
    <w:rsid w:val="061616E8"/>
    <w:rsid w:val="06179702"/>
    <w:rsid w:val="061C907B"/>
    <w:rsid w:val="062BDBF1"/>
    <w:rsid w:val="063E1155"/>
    <w:rsid w:val="063E5C88"/>
    <w:rsid w:val="063E72B3"/>
    <w:rsid w:val="063E74D7"/>
    <w:rsid w:val="063F6747"/>
    <w:rsid w:val="064D03D3"/>
    <w:rsid w:val="064E8374"/>
    <w:rsid w:val="0651BBE1"/>
    <w:rsid w:val="0655B939"/>
    <w:rsid w:val="065EB9F6"/>
    <w:rsid w:val="065EE285"/>
    <w:rsid w:val="065F9CB4"/>
    <w:rsid w:val="0666B03F"/>
    <w:rsid w:val="067307F7"/>
    <w:rsid w:val="0675993B"/>
    <w:rsid w:val="067B061A"/>
    <w:rsid w:val="067BC585"/>
    <w:rsid w:val="067CC092"/>
    <w:rsid w:val="06806F1E"/>
    <w:rsid w:val="0681753C"/>
    <w:rsid w:val="0681CF8F"/>
    <w:rsid w:val="06868291"/>
    <w:rsid w:val="0686ED8D"/>
    <w:rsid w:val="068CC87F"/>
    <w:rsid w:val="068F1C78"/>
    <w:rsid w:val="069C979F"/>
    <w:rsid w:val="06A1CEC1"/>
    <w:rsid w:val="06BB4A8F"/>
    <w:rsid w:val="06BE9F2B"/>
    <w:rsid w:val="06C9D556"/>
    <w:rsid w:val="06CF1929"/>
    <w:rsid w:val="06D0A1C5"/>
    <w:rsid w:val="06D1F35C"/>
    <w:rsid w:val="06D76806"/>
    <w:rsid w:val="06DA37D9"/>
    <w:rsid w:val="06DB5762"/>
    <w:rsid w:val="06DCF52C"/>
    <w:rsid w:val="06DD7682"/>
    <w:rsid w:val="06DF469E"/>
    <w:rsid w:val="06E59219"/>
    <w:rsid w:val="06F3A9E6"/>
    <w:rsid w:val="06F6AD7F"/>
    <w:rsid w:val="06F857FA"/>
    <w:rsid w:val="06FBE237"/>
    <w:rsid w:val="07053B81"/>
    <w:rsid w:val="071633F3"/>
    <w:rsid w:val="07166AB9"/>
    <w:rsid w:val="071B90D2"/>
    <w:rsid w:val="071C8875"/>
    <w:rsid w:val="071D5088"/>
    <w:rsid w:val="071DBB85"/>
    <w:rsid w:val="071FA6F6"/>
    <w:rsid w:val="07205A6E"/>
    <w:rsid w:val="07214032"/>
    <w:rsid w:val="0723ECBE"/>
    <w:rsid w:val="072A8C1A"/>
    <w:rsid w:val="072E99DD"/>
    <w:rsid w:val="0732A6A7"/>
    <w:rsid w:val="07349192"/>
    <w:rsid w:val="073BAC39"/>
    <w:rsid w:val="07400FF7"/>
    <w:rsid w:val="074CF918"/>
    <w:rsid w:val="0753A835"/>
    <w:rsid w:val="07586D4D"/>
    <w:rsid w:val="0758A71D"/>
    <w:rsid w:val="075CF0A8"/>
    <w:rsid w:val="075E81E3"/>
    <w:rsid w:val="07608172"/>
    <w:rsid w:val="07642972"/>
    <w:rsid w:val="0767D23E"/>
    <w:rsid w:val="0768D918"/>
    <w:rsid w:val="076BC207"/>
    <w:rsid w:val="076DDDA6"/>
    <w:rsid w:val="0776761C"/>
    <w:rsid w:val="0779884E"/>
    <w:rsid w:val="077DDFD0"/>
    <w:rsid w:val="078295CC"/>
    <w:rsid w:val="078F3596"/>
    <w:rsid w:val="078F3857"/>
    <w:rsid w:val="078F50A6"/>
    <w:rsid w:val="0795ECA7"/>
    <w:rsid w:val="07965B8F"/>
    <w:rsid w:val="079AE27F"/>
    <w:rsid w:val="079BA58B"/>
    <w:rsid w:val="07AADD14"/>
    <w:rsid w:val="07AB76D3"/>
    <w:rsid w:val="07B31A59"/>
    <w:rsid w:val="07B7A97D"/>
    <w:rsid w:val="07BA630A"/>
    <w:rsid w:val="07DAD1AE"/>
    <w:rsid w:val="07DB4F2B"/>
    <w:rsid w:val="07E69F4B"/>
    <w:rsid w:val="07FD2721"/>
    <w:rsid w:val="0804D304"/>
    <w:rsid w:val="0809BD9E"/>
    <w:rsid w:val="080A4624"/>
    <w:rsid w:val="080E8CA0"/>
    <w:rsid w:val="081DE9AC"/>
    <w:rsid w:val="0820B5AF"/>
    <w:rsid w:val="082FB154"/>
    <w:rsid w:val="08316FAF"/>
    <w:rsid w:val="0833C112"/>
    <w:rsid w:val="08362DC0"/>
    <w:rsid w:val="083DDF21"/>
    <w:rsid w:val="083E6C94"/>
    <w:rsid w:val="084138CF"/>
    <w:rsid w:val="084263BF"/>
    <w:rsid w:val="08458F70"/>
    <w:rsid w:val="084C1688"/>
    <w:rsid w:val="084ECB60"/>
    <w:rsid w:val="08597083"/>
    <w:rsid w:val="0859C3AE"/>
    <w:rsid w:val="086417F1"/>
    <w:rsid w:val="086A36CC"/>
    <w:rsid w:val="086CE2C6"/>
    <w:rsid w:val="08744099"/>
    <w:rsid w:val="0874993E"/>
    <w:rsid w:val="08756C51"/>
    <w:rsid w:val="0879BFC7"/>
    <w:rsid w:val="08842A06"/>
    <w:rsid w:val="088D50D3"/>
    <w:rsid w:val="089CDBD1"/>
    <w:rsid w:val="08A01792"/>
    <w:rsid w:val="08A2EFED"/>
    <w:rsid w:val="08A33E58"/>
    <w:rsid w:val="08ACC543"/>
    <w:rsid w:val="08AD5E4B"/>
    <w:rsid w:val="08B1A8E7"/>
    <w:rsid w:val="08C6105A"/>
    <w:rsid w:val="08CA1094"/>
    <w:rsid w:val="08D023ED"/>
    <w:rsid w:val="08D0F82C"/>
    <w:rsid w:val="08D56924"/>
    <w:rsid w:val="08D5C201"/>
    <w:rsid w:val="08D98D95"/>
    <w:rsid w:val="08DC0FD0"/>
    <w:rsid w:val="08F3E588"/>
    <w:rsid w:val="08FAE59A"/>
    <w:rsid w:val="08FFFF4F"/>
    <w:rsid w:val="0901551A"/>
    <w:rsid w:val="0907A6F1"/>
    <w:rsid w:val="09094E56"/>
    <w:rsid w:val="0909D030"/>
    <w:rsid w:val="090E2B12"/>
    <w:rsid w:val="0912AA06"/>
    <w:rsid w:val="09142152"/>
    <w:rsid w:val="09150C03"/>
    <w:rsid w:val="091B21AF"/>
    <w:rsid w:val="0927CD1F"/>
    <w:rsid w:val="09286FFA"/>
    <w:rsid w:val="092BDE00"/>
    <w:rsid w:val="092DC8E9"/>
    <w:rsid w:val="092F2FA4"/>
    <w:rsid w:val="09332521"/>
    <w:rsid w:val="093848B7"/>
    <w:rsid w:val="093B96F0"/>
    <w:rsid w:val="093BDE37"/>
    <w:rsid w:val="094EC8FC"/>
    <w:rsid w:val="0950AFF6"/>
    <w:rsid w:val="09585641"/>
    <w:rsid w:val="09597EE1"/>
    <w:rsid w:val="09607B71"/>
    <w:rsid w:val="0962B24C"/>
    <w:rsid w:val="09732400"/>
    <w:rsid w:val="097D2DAA"/>
    <w:rsid w:val="09889030"/>
    <w:rsid w:val="098C5972"/>
    <w:rsid w:val="09A7798E"/>
    <w:rsid w:val="09B34F78"/>
    <w:rsid w:val="09B6546E"/>
    <w:rsid w:val="09C214B4"/>
    <w:rsid w:val="09C82A8E"/>
    <w:rsid w:val="09C8EA2B"/>
    <w:rsid w:val="09CA1A9A"/>
    <w:rsid w:val="09D10874"/>
    <w:rsid w:val="09D1A7B6"/>
    <w:rsid w:val="09E2F395"/>
    <w:rsid w:val="09E3416B"/>
    <w:rsid w:val="09E7FE04"/>
    <w:rsid w:val="09EAEFD9"/>
    <w:rsid w:val="09F008D2"/>
    <w:rsid w:val="0A13B114"/>
    <w:rsid w:val="0A15C0D3"/>
    <w:rsid w:val="0A1C29B8"/>
    <w:rsid w:val="0A2076DF"/>
    <w:rsid w:val="0A2BFDC7"/>
    <w:rsid w:val="0A2C6D36"/>
    <w:rsid w:val="0A2F7CB1"/>
    <w:rsid w:val="0A2FBCD7"/>
    <w:rsid w:val="0A319AEC"/>
    <w:rsid w:val="0A3C4B1E"/>
    <w:rsid w:val="0A3F59D2"/>
    <w:rsid w:val="0A3F9272"/>
    <w:rsid w:val="0A415476"/>
    <w:rsid w:val="0A4DBD11"/>
    <w:rsid w:val="0A5BBDB7"/>
    <w:rsid w:val="0A616F1D"/>
    <w:rsid w:val="0A705C78"/>
    <w:rsid w:val="0A7308F9"/>
    <w:rsid w:val="0A73E011"/>
    <w:rsid w:val="0A744633"/>
    <w:rsid w:val="0A745851"/>
    <w:rsid w:val="0A7A623D"/>
    <w:rsid w:val="0A93314F"/>
    <w:rsid w:val="0A954F18"/>
    <w:rsid w:val="0AA282CE"/>
    <w:rsid w:val="0AA35306"/>
    <w:rsid w:val="0AA56077"/>
    <w:rsid w:val="0AA63121"/>
    <w:rsid w:val="0AA68D9B"/>
    <w:rsid w:val="0AA79CD1"/>
    <w:rsid w:val="0AAD4628"/>
    <w:rsid w:val="0AAD973E"/>
    <w:rsid w:val="0AB4CDC8"/>
    <w:rsid w:val="0AB5267E"/>
    <w:rsid w:val="0ABE1D2F"/>
    <w:rsid w:val="0AC269F3"/>
    <w:rsid w:val="0AC948C5"/>
    <w:rsid w:val="0ACB576F"/>
    <w:rsid w:val="0ACB8AB8"/>
    <w:rsid w:val="0AD25316"/>
    <w:rsid w:val="0ADC4BE1"/>
    <w:rsid w:val="0AEDC22C"/>
    <w:rsid w:val="0AFAB824"/>
    <w:rsid w:val="0AFB2817"/>
    <w:rsid w:val="0B14CC93"/>
    <w:rsid w:val="0B14D9E5"/>
    <w:rsid w:val="0B23AC89"/>
    <w:rsid w:val="0B2F4A87"/>
    <w:rsid w:val="0B2FE662"/>
    <w:rsid w:val="0B3816CD"/>
    <w:rsid w:val="0B403F11"/>
    <w:rsid w:val="0B40B7D8"/>
    <w:rsid w:val="0B540278"/>
    <w:rsid w:val="0B57B775"/>
    <w:rsid w:val="0B6C0996"/>
    <w:rsid w:val="0B6C16F8"/>
    <w:rsid w:val="0B708B41"/>
    <w:rsid w:val="0B7C510F"/>
    <w:rsid w:val="0B8FA3B0"/>
    <w:rsid w:val="0B915A5E"/>
    <w:rsid w:val="0B93452B"/>
    <w:rsid w:val="0B9404F2"/>
    <w:rsid w:val="0B99326E"/>
    <w:rsid w:val="0BA58337"/>
    <w:rsid w:val="0BA58E28"/>
    <w:rsid w:val="0BA9F38B"/>
    <w:rsid w:val="0BAED273"/>
    <w:rsid w:val="0BC58FFC"/>
    <w:rsid w:val="0BC714C3"/>
    <w:rsid w:val="0BCB8615"/>
    <w:rsid w:val="0BDC3B1D"/>
    <w:rsid w:val="0BE09934"/>
    <w:rsid w:val="0BE9DEB6"/>
    <w:rsid w:val="0BF2E09E"/>
    <w:rsid w:val="0BFB3F99"/>
    <w:rsid w:val="0BFE3D78"/>
    <w:rsid w:val="0C0B4D28"/>
    <w:rsid w:val="0C0F18DF"/>
    <w:rsid w:val="0C1201DE"/>
    <w:rsid w:val="0C231ED3"/>
    <w:rsid w:val="0C25790D"/>
    <w:rsid w:val="0C374209"/>
    <w:rsid w:val="0C39E46B"/>
    <w:rsid w:val="0C490430"/>
    <w:rsid w:val="0C4F08CF"/>
    <w:rsid w:val="0C50D6E6"/>
    <w:rsid w:val="0C5480EF"/>
    <w:rsid w:val="0C575119"/>
    <w:rsid w:val="0C5A67D5"/>
    <w:rsid w:val="0C6240B2"/>
    <w:rsid w:val="0C645C25"/>
    <w:rsid w:val="0C6AA9AF"/>
    <w:rsid w:val="0C6AFBF3"/>
    <w:rsid w:val="0C6F8970"/>
    <w:rsid w:val="0C7361A8"/>
    <w:rsid w:val="0C777822"/>
    <w:rsid w:val="0C81FA1A"/>
    <w:rsid w:val="0C861533"/>
    <w:rsid w:val="0C88990B"/>
    <w:rsid w:val="0C88BB53"/>
    <w:rsid w:val="0C89CF3C"/>
    <w:rsid w:val="0C91D5A3"/>
    <w:rsid w:val="0CA577DA"/>
    <w:rsid w:val="0CABE40A"/>
    <w:rsid w:val="0CB0B570"/>
    <w:rsid w:val="0CB33497"/>
    <w:rsid w:val="0CB747E1"/>
    <w:rsid w:val="0CCA4C12"/>
    <w:rsid w:val="0CCBC948"/>
    <w:rsid w:val="0CD13DF7"/>
    <w:rsid w:val="0CDD54C2"/>
    <w:rsid w:val="0CDF8062"/>
    <w:rsid w:val="0CE2AB2D"/>
    <w:rsid w:val="0CEC1351"/>
    <w:rsid w:val="0CEF6759"/>
    <w:rsid w:val="0CF56A07"/>
    <w:rsid w:val="0CF720A3"/>
    <w:rsid w:val="0D0152AB"/>
    <w:rsid w:val="0D03E886"/>
    <w:rsid w:val="0D0C590E"/>
    <w:rsid w:val="0D175082"/>
    <w:rsid w:val="0D1834D2"/>
    <w:rsid w:val="0D19BA59"/>
    <w:rsid w:val="0D1B2E1F"/>
    <w:rsid w:val="0D1D4492"/>
    <w:rsid w:val="0D1E394D"/>
    <w:rsid w:val="0D203303"/>
    <w:rsid w:val="0D2277DD"/>
    <w:rsid w:val="0D25B6B7"/>
    <w:rsid w:val="0D2618FB"/>
    <w:rsid w:val="0D276726"/>
    <w:rsid w:val="0D35AA24"/>
    <w:rsid w:val="0D3AE675"/>
    <w:rsid w:val="0D4412C7"/>
    <w:rsid w:val="0D4606CA"/>
    <w:rsid w:val="0D51454A"/>
    <w:rsid w:val="0D53110C"/>
    <w:rsid w:val="0D57E4E8"/>
    <w:rsid w:val="0D5946A9"/>
    <w:rsid w:val="0D5D3C1D"/>
    <w:rsid w:val="0D652C95"/>
    <w:rsid w:val="0D683639"/>
    <w:rsid w:val="0D68AD2A"/>
    <w:rsid w:val="0D68C0DD"/>
    <w:rsid w:val="0D6D7E87"/>
    <w:rsid w:val="0D817428"/>
    <w:rsid w:val="0D8B9A61"/>
    <w:rsid w:val="0D939A5A"/>
    <w:rsid w:val="0D9C5C81"/>
    <w:rsid w:val="0DA14369"/>
    <w:rsid w:val="0DA2B33F"/>
    <w:rsid w:val="0DA7853D"/>
    <w:rsid w:val="0DA86933"/>
    <w:rsid w:val="0DACC3F0"/>
    <w:rsid w:val="0DBFC79F"/>
    <w:rsid w:val="0DC714C0"/>
    <w:rsid w:val="0DC9567D"/>
    <w:rsid w:val="0DD0E59A"/>
    <w:rsid w:val="0DD4D050"/>
    <w:rsid w:val="0DD97B6B"/>
    <w:rsid w:val="0DDF3E7D"/>
    <w:rsid w:val="0DE006B9"/>
    <w:rsid w:val="0DE57B53"/>
    <w:rsid w:val="0DEBCEC7"/>
    <w:rsid w:val="0DEBCEC7"/>
    <w:rsid w:val="0DF0A15D"/>
    <w:rsid w:val="0DFC4774"/>
    <w:rsid w:val="0E013355"/>
    <w:rsid w:val="0E02F03B"/>
    <w:rsid w:val="0E03E258"/>
    <w:rsid w:val="0E095CC7"/>
    <w:rsid w:val="0E11A7AC"/>
    <w:rsid w:val="0E14BFD6"/>
    <w:rsid w:val="0E14DEA4"/>
    <w:rsid w:val="0E2CDC7F"/>
    <w:rsid w:val="0E333DE8"/>
    <w:rsid w:val="0E339C82"/>
    <w:rsid w:val="0E340F56"/>
    <w:rsid w:val="0E355434"/>
    <w:rsid w:val="0E36901B"/>
    <w:rsid w:val="0E37E39C"/>
    <w:rsid w:val="0E4B7CD0"/>
    <w:rsid w:val="0E57E107"/>
    <w:rsid w:val="0E5AEB63"/>
    <w:rsid w:val="0E64E2FB"/>
    <w:rsid w:val="0E65706F"/>
    <w:rsid w:val="0E699FD0"/>
    <w:rsid w:val="0E6AF920"/>
    <w:rsid w:val="0E6C84B2"/>
    <w:rsid w:val="0E6FB288"/>
    <w:rsid w:val="0E7123D7"/>
    <w:rsid w:val="0E744F30"/>
    <w:rsid w:val="0E78B2DD"/>
    <w:rsid w:val="0E798BBF"/>
    <w:rsid w:val="0E7C462C"/>
    <w:rsid w:val="0E81A615"/>
    <w:rsid w:val="0E825CB2"/>
    <w:rsid w:val="0E883FCB"/>
    <w:rsid w:val="0E89CD9E"/>
    <w:rsid w:val="0E900D12"/>
    <w:rsid w:val="0E9065E7"/>
    <w:rsid w:val="0E90C0DA"/>
    <w:rsid w:val="0E91531A"/>
    <w:rsid w:val="0E916E9A"/>
    <w:rsid w:val="0E9C41BA"/>
    <w:rsid w:val="0E9CFEBF"/>
    <w:rsid w:val="0E9F43D1"/>
    <w:rsid w:val="0EA4153D"/>
    <w:rsid w:val="0EA9A528"/>
    <w:rsid w:val="0EB7C725"/>
    <w:rsid w:val="0EC67BE6"/>
    <w:rsid w:val="0ED7DAD6"/>
    <w:rsid w:val="0ED926C6"/>
    <w:rsid w:val="0EDDCA51"/>
    <w:rsid w:val="0EEF69F7"/>
    <w:rsid w:val="0EF9E379"/>
    <w:rsid w:val="0EFAD469"/>
    <w:rsid w:val="0EFD5EEA"/>
    <w:rsid w:val="0EFF657A"/>
    <w:rsid w:val="0F121D7B"/>
    <w:rsid w:val="0F1612B3"/>
    <w:rsid w:val="0F18203B"/>
    <w:rsid w:val="0F1CBB53"/>
    <w:rsid w:val="0F1E682A"/>
    <w:rsid w:val="0F1EA77D"/>
    <w:rsid w:val="0F2109D2"/>
    <w:rsid w:val="0F28C201"/>
    <w:rsid w:val="0F299619"/>
    <w:rsid w:val="0F2B88DF"/>
    <w:rsid w:val="0F40AA6F"/>
    <w:rsid w:val="0F419F79"/>
    <w:rsid w:val="0F444EBF"/>
    <w:rsid w:val="0F54F188"/>
    <w:rsid w:val="0F566D52"/>
    <w:rsid w:val="0F5A3C21"/>
    <w:rsid w:val="0F5DF439"/>
    <w:rsid w:val="0F6BC672"/>
    <w:rsid w:val="0F6C3EF6"/>
    <w:rsid w:val="0F6FDE7B"/>
    <w:rsid w:val="0F7188BF"/>
    <w:rsid w:val="0F7E9029"/>
    <w:rsid w:val="0F83D0B1"/>
    <w:rsid w:val="0F8CFFDB"/>
    <w:rsid w:val="0F96CBA3"/>
    <w:rsid w:val="0F9E548F"/>
    <w:rsid w:val="0F9ECEA3"/>
    <w:rsid w:val="0FA46FCC"/>
    <w:rsid w:val="0FA55BFF"/>
    <w:rsid w:val="0FA6438B"/>
    <w:rsid w:val="0FB19471"/>
    <w:rsid w:val="0FB2F569"/>
    <w:rsid w:val="0FC5DBA2"/>
    <w:rsid w:val="0FD35300"/>
    <w:rsid w:val="0FD6DF6C"/>
    <w:rsid w:val="0FD9C1BB"/>
    <w:rsid w:val="0FE8DE50"/>
    <w:rsid w:val="0FEB62BB"/>
    <w:rsid w:val="0FEF6572"/>
    <w:rsid w:val="0FF15008"/>
    <w:rsid w:val="0FF9DDF3"/>
    <w:rsid w:val="0FFB4AC2"/>
    <w:rsid w:val="0FFD1C45"/>
    <w:rsid w:val="10005946"/>
    <w:rsid w:val="1012D9F2"/>
    <w:rsid w:val="1012E13F"/>
    <w:rsid w:val="101BF463"/>
    <w:rsid w:val="102B7B91"/>
    <w:rsid w:val="10371C7F"/>
    <w:rsid w:val="103A4EB9"/>
    <w:rsid w:val="103EF9B6"/>
    <w:rsid w:val="10433BE7"/>
    <w:rsid w:val="104EAA16"/>
    <w:rsid w:val="1055F00C"/>
    <w:rsid w:val="105C248C"/>
    <w:rsid w:val="1063A4DD"/>
    <w:rsid w:val="10666153"/>
    <w:rsid w:val="10692DFA"/>
    <w:rsid w:val="106CE9B0"/>
    <w:rsid w:val="107B4456"/>
    <w:rsid w:val="107C5031"/>
    <w:rsid w:val="107F33B2"/>
    <w:rsid w:val="10894A83"/>
    <w:rsid w:val="109227E8"/>
    <w:rsid w:val="1094C27B"/>
    <w:rsid w:val="10B36668"/>
    <w:rsid w:val="10B391AE"/>
    <w:rsid w:val="10C2378B"/>
    <w:rsid w:val="10C2F3D8"/>
    <w:rsid w:val="10C30292"/>
    <w:rsid w:val="10DC39B5"/>
    <w:rsid w:val="10DDCC7A"/>
    <w:rsid w:val="10E69FA4"/>
    <w:rsid w:val="10E7B85E"/>
    <w:rsid w:val="10E87C55"/>
    <w:rsid w:val="10EEDF07"/>
    <w:rsid w:val="10EFED0B"/>
    <w:rsid w:val="10F416C9"/>
    <w:rsid w:val="10FDD159"/>
    <w:rsid w:val="10FDE9C6"/>
    <w:rsid w:val="110047A9"/>
    <w:rsid w:val="110596AF"/>
    <w:rsid w:val="11081221"/>
    <w:rsid w:val="110866D7"/>
    <w:rsid w:val="110B56EA"/>
    <w:rsid w:val="110B861F"/>
    <w:rsid w:val="110BE4D5"/>
    <w:rsid w:val="11153703"/>
    <w:rsid w:val="112A0EC4"/>
    <w:rsid w:val="11350367"/>
    <w:rsid w:val="1136FEBA"/>
    <w:rsid w:val="11380AC7"/>
    <w:rsid w:val="1142E8C3"/>
    <w:rsid w:val="11456BFE"/>
    <w:rsid w:val="11617954"/>
    <w:rsid w:val="1164A801"/>
    <w:rsid w:val="1169519E"/>
    <w:rsid w:val="1169519E"/>
    <w:rsid w:val="116A4325"/>
    <w:rsid w:val="1171D0BC"/>
    <w:rsid w:val="117B03B5"/>
    <w:rsid w:val="118233C8"/>
    <w:rsid w:val="118253F4"/>
    <w:rsid w:val="11865128"/>
    <w:rsid w:val="11871CC7"/>
    <w:rsid w:val="1189C2AF"/>
    <w:rsid w:val="118BD157"/>
    <w:rsid w:val="11A5D8D8"/>
    <w:rsid w:val="11A6D32E"/>
    <w:rsid w:val="11B38CDD"/>
    <w:rsid w:val="11B8EA72"/>
    <w:rsid w:val="11BA5F94"/>
    <w:rsid w:val="11BCCA39"/>
    <w:rsid w:val="11C00435"/>
    <w:rsid w:val="11C39865"/>
    <w:rsid w:val="11CDA286"/>
    <w:rsid w:val="11D19188"/>
    <w:rsid w:val="11D23145"/>
    <w:rsid w:val="11D3F9FA"/>
    <w:rsid w:val="11DB62AE"/>
    <w:rsid w:val="11DD365B"/>
    <w:rsid w:val="11DF504A"/>
    <w:rsid w:val="11E54835"/>
    <w:rsid w:val="11E810E8"/>
    <w:rsid w:val="11EAC6B7"/>
    <w:rsid w:val="11EEBB0E"/>
    <w:rsid w:val="11F0CFDE"/>
    <w:rsid w:val="11F6E1D2"/>
    <w:rsid w:val="11FBDF2B"/>
    <w:rsid w:val="11FD5E52"/>
    <w:rsid w:val="11FFAAF7"/>
    <w:rsid w:val="1209AEDE"/>
    <w:rsid w:val="120FC3E4"/>
    <w:rsid w:val="121A4AA4"/>
    <w:rsid w:val="121DA475"/>
    <w:rsid w:val="122AAF51"/>
    <w:rsid w:val="122D9DD0"/>
    <w:rsid w:val="12344ED3"/>
    <w:rsid w:val="1236A44B"/>
    <w:rsid w:val="1237061C"/>
    <w:rsid w:val="123F8770"/>
    <w:rsid w:val="1243F1B0"/>
    <w:rsid w:val="124F5F65"/>
    <w:rsid w:val="12504207"/>
    <w:rsid w:val="12572137"/>
    <w:rsid w:val="125BAEE7"/>
    <w:rsid w:val="125E3698"/>
    <w:rsid w:val="126B2EFF"/>
    <w:rsid w:val="12755FEF"/>
    <w:rsid w:val="127BBC30"/>
    <w:rsid w:val="12832CC8"/>
    <w:rsid w:val="128513DC"/>
    <w:rsid w:val="1285EE29"/>
    <w:rsid w:val="128F070A"/>
    <w:rsid w:val="12928F7D"/>
    <w:rsid w:val="12945429"/>
    <w:rsid w:val="129B2A74"/>
    <w:rsid w:val="129D13DC"/>
    <w:rsid w:val="12A642DC"/>
    <w:rsid w:val="12A715A6"/>
    <w:rsid w:val="12A745CF"/>
    <w:rsid w:val="12A9D76B"/>
    <w:rsid w:val="12B07B52"/>
    <w:rsid w:val="12B17978"/>
    <w:rsid w:val="12B31446"/>
    <w:rsid w:val="12BA2E17"/>
    <w:rsid w:val="12C556FA"/>
    <w:rsid w:val="12CF7BB0"/>
    <w:rsid w:val="12CFDDF2"/>
    <w:rsid w:val="12D1511C"/>
    <w:rsid w:val="12DB5693"/>
    <w:rsid w:val="12E9317E"/>
    <w:rsid w:val="12F61091"/>
    <w:rsid w:val="12F8C6E5"/>
    <w:rsid w:val="1304F1E6"/>
    <w:rsid w:val="1306EC5E"/>
    <w:rsid w:val="130B26F6"/>
    <w:rsid w:val="13163284"/>
    <w:rsid w:val="131741E3"/>
    <w:rsid w:val="13206D78"/>
    <w:rsid w:val="13251A48"/>
    <w:rsid w:val="13271953"/>
    <w:rsid w:val="1327B346"/>
    <w:rsid w:val="13384483"/>
    <w:rsid w:val="133FBB51"/>
    <w:rsid w:val="134E21E2"/>
    <w:rsid w:val="134F5404"/>
    <w:rsid w:val="1351B34B"/>
    <w:rsid w:val="13583103"/>
    <w:rsid w:val="135C9F8B"/>
    <w:rsid w:val="13611499"/>
    <w:rsid w:val="1366BE62"/>
    <w:rsid w:val="136A7C10"/>
    <w:rsid w:val="136D75FD"/>
    <w:rsid w:val="136F8ACA"/>
    <w:rsid w:val="137ED0C2"/>
    <w:rsid w:val="138992AD"/>
    <w:rsid w:val="138A819F"/>
    <w:rsid w:val="1393CCD4"/>
    <w:rsid w:val="13944224"/>
    <w:rsid w:val="1399EEF7"/>
    <w:rsid w:val="139D1E9E"/>
    <w:rsid w:val="13A584CE"/>
    <w:rsid w:val="13AD043A"/>
    <w:rsid w:val="13AEA829"/>
    <w:rsid w:val="13AF8BFD"/>
    <w:rsid w:val="13B00A0E"/>
    <w:rsid w:val="13BBA7FC"/>
    <w:rsid w:val="13C7B2C1"/>
    <w:rsid w:val="13D4AB9E"/>
    <w:rsid w:val="13D8212C"/>
    <w:rsid w:val="13E4344F"/>
    <w:rsid w:val="13E540FA"/>
    <w:rsid w:val="13ED36BA"/>
    <w:rsid w:val="13F25F3C"/>
    <w:rsid w:val="13F4F7C8"/>
    <w:rsid w:val="13F5F66E"/>
    <w:rsid w:val="140033F2"/>
    <w:rsid w:val="140304DD"/>
    <w:rsid w:val="140857AA"/>
    <w:rsid w:val="1410F609"/>
    <w:rsid w:val="14138E83"/>
    <w:rsid w:val="142DCA36"/>
    <w:rsid w:val="14305BC9"/>
    <w:rsid w:val="1432ABE4"/>
    <w:rsid w:val="1437DA1D"/>
    <w:rsid w:val="143C4B63"/>
    <w:rsid w:val="143E27AF"/>
    <w:rsid w:val="143FC789"/>
    <w:rsid w:val="144237A2"/>
    <w:rsid w:val="1442395A"/>
    <w:rsid w:val="1444E73B"/>
    <w:rsid w:val="144EF41D"/>
    <w:rsid w:val="1453499B"/>
    <w:rsid w:val="14613E37"/>
    <w:rsid w:val="14675D52"/>
    <w:rsid w:val="146C1609"/>
    <w:rsid w:val="1472D964"/>
    <w:rsid w:val="14759126"/>
    <w:rsid w:val="14855F1D"/>
    <w:rsid w:val="1490312F"/>
    <w:rsid w:val="14919AC4"/>
    <w:rsid w:val="149DD724"/>
    <w:rsid w:val="14A1BE71"/>
    <w:rsid w:val="14B4D3FA"/>
    <w:rsid w:val="14BFEE36"/>
    <w:rsid w:val="14C55ACF"/>
    <w:rsid w:val="14C6B281"/>
    <w:rsid w:val="14C83997"/>
    <w:rsid w:val="14C84FC1"/>
    <w:rsid w:val="14DF4326"/>
    <w:rsid w:val="14DF7340"/>
    <w:rsid w:val="14EC8D36"/>
    <w:rsid w:val="14EC9890"/>
    <w:rsid w:val="14F44349"/>
    <w:rsid w:val="1513A6B6"/>
    <w:rsid w:val="151907AA"/>
    <w:rsid w:val="15278E6D"/>
    <w:rsid w:val="15302380"/>
    <w:rsid w:val="15360B2B"/>
    <w:rsid w:val="153D0369"/>
    <w:rsid w:val="15485B52"/>
    <w:rsid w:val="1549FF5D"/>
    <w:rsid w:val="154AC760"/>
    <w:rsid w:val="155050B7"/>
    <w:rsid w:val="155392B7"/>
    <w:rsid w:val="15553D4C"/>
    <w:rsid w:val="1555D24F"/>
    <w:rsid w:val="15570F77"/>
    <w:rsid w:val="155BED31"/>
    <w:rsid w:val="156099EE"/>
    <w:rsid w:val="156BE2AE"/>
    <w:rsid w:val="156CB6D6"/>
    <w:rsid w:val="156E52A1"/>
    <w:rsid w:val="15736593"/>
    <w:rsid w:val="15760D80"/>
    <w:rsid w:val="15843CB2"/>
    <w:rsid w:val="158A8E4B"/>
    <w:rsid w:val="158ABC88"/>
    <w:rsid w:val="158D9C17"/>
    <w:rsid w:val="15970391"/>
    <w:rsid w:val="159D1E63"/>
    <w:rsid w:val="15A00297"/>
    <w:rsid w:val="15A9005F"/>
    <w:rsid w:val="15B1505E"/>
    <w:rsid w:val="15B8A03A"/>
    <w:rsid w:val="15B90D81"/>
    <w:rsid w:val="15BA092B"/>
    <w:rsid w:val="15BE24D7"/>
    <w:rsid w:val="15C0155C"/>
    <w:rsid w:val="15C27071"/>
    <w:rsid w:val="15C75FDD"/>
    <w:rsid w:val="15CF18A0"/>
    <w:rsid w:val="15D27A93"/>
    <w:rsid w:val="15D40FB1"/>
    <w:rsid w:val="15D497A8"/>
    <w:rsid w:val="15DEEADA"/>
    <w:rsid w:val="15E538C1"/>
    <w:rsid w:val="15EB9736"/>
    <w:rsid w:val="15EFD978"/>
    <w:rsid w:val="15F3E21F"/>
    <w:rsid w:val="16006A6D"/>
    <w:rsid w:val="16038630"/>
    <w:rsid w:val="160C8BC3"/>
    <w:rsid w:val="160CF2DE"/>
    <w:rsid w:val="160E8544"/>
    <w:rsid w:val="1611DDB9"/>
    <w:rsid w:val="16122E0B"/>
    <w:rsid w:val="1622184F"/>
    <w:rsid w:val="16250ACC"/>
    <w:rsid w:val="16284369"/>
    <w:rsid w:val="162A5959"/>
    <w:rsid w:val="1633877D"/>
    <w:rsid w:val="16340DE1"/>
    <w:rsid w:val="1634DF60"/>
    <w:rsid w:val="16390160"/>
    <w:rsid w:val="163AC898"/>
    <w:rsid w:val="163EA906"/>
    <w:rsid w:val="164137E9"/>
    <w:rsid w:val="165759D2"/>
    <w:rsid w:val="1659DA23"/>
    <w:rsid w:val="165DF6A9"/>
    <w:rsid w:val="166820F1"/>
    <w:rsid w:val="16708EE7"/>
    <w:rsid w:val="167118D5"/>
    <w:rsid w:val="1671E126"/>
    <w:rsid w:val="1674EEC9"/>
    <w:rsid w:val="1676B38F"/>
    <w:rsid w:val="167EEC3E"/>
    <w:rsid w:val="16861BED"/>
    <w:rsid w:val="168903B4"/>
    <w:rsid w:val="168BC281"/>
    <w:rsid w:val="168CC8F6"/>
    <w:rsid w:val="16918A17"/>
    <w:rsid w:val="169411A6"/>
    <w:rsid w:val="16975D8B"/>
    <w:rsid w:val="169EF840"/>
    <w:rsid w:val="16AB2E97"/>
    <w:rsid w:val="16B3E49A"/>
    <w:rsid w:val="16B4B068"/>
    <w:rsid w:val="16C84D4D"/>
    <w:rsid w:val="16D2EE63"/>
    <w:rsid w:val="16D3E957"/>
    <w:rsid w:val="16DA0856"/>
    <w:rsid w:val="16DC7FB1"/>
    <w:rsid w:val="16E1F158"/>
    <w:rsid w:val="16E458B6"/>
    <w:rsid w:val="16E53773"/>
    <w:rsid w:val="16E9CA9A"/>
    <w:rsid w:val="16EB281B"/>
    <w:rsid w:val="16EB69F0"/>
    <w:rsid w:val="16EDAA70"/>
    <w:rsid w:val="16F5923B"/>
    <w:rsid w:val="16FC191B"/>
    <w:rsid w:val="16FFA465"/>
    <w:rsid w:val="17033F85"/>
    <w:rsid w:val="170A0394"/>
    <w:rsid w:val="170B30BE"/>
    <w:rsid w:val="17128804"/>
    <w:rsid w:val="1716A334"/>
    <w:rsid w:val="1717797B"/>
    <w:rsid w:val="1717EB67"/>
    <w:rsid w:val="1723FDC5"/>
    <w:rsid w:val="1728C557"/>
    <w:rsid w:val="17311301"/>
    <w:rsid w:val="1733E3D4"/>
    <w:rsid w:val="1734A739"/>
    <w:rsid w:val="1736E553"/>
    <w:rsid w:val="173BAD56"/>
    <w:rsid w:val="1746F659"/>
    <w:rsid w:val="1768FF12"/>
    <w:rsid w:val="176E698E"/>
    <w:rsid w:val="176EBF57"/>
    <w:rsid w:val="176F168F"/>
    <w:rsid w:val="17791071"/>
    <w:rsid w:val="177A2E85"/>
    <w:rsid w:val="177FC29B"/>
    <w:rsid w:val="17838F3D"/>
    <w:rsid w:val="1784D2B6"/>
    <w:rsid w:val="178BAAFA"/>
    <w:rsid w:val="178BE813"/>
    <w:rsid w:val="17965BEB"/>
    <w:rsid w:val="179C5F99"/>
    <w:rsid w:val="17AEF32E"/>
    <w:rsid w:val="17B815F4"/>
    <w:rsid w:val="17C206FB"/>
    <w:rsid w:val="17C77189"/>
    <w:rsid w:val="17CCDD44"/>
    <w:rsid w:val="17D3C645"/>
    <w:rsid w:val="17D43798"/>
    <w:rsid w:val="17D5A70B"/>
    <w:rsid w:val="17D7A41A"/>
    <w:rsid w:val="17DC2FA9"/>
    <w:rsid w:val="17DE3266"/>
    <w:rsid w:val="17E0DA06"/>
    <w:rsid w:val="17E7F5E4"/>
    <w:rsid w:val="17EB059F"/>
    <w:rsid w:val="17ED0799"/>
    <w:rsid w:val="17F46F58"/>
    <w:rsid w:val="17F725B6"/>
    <w:rsid w:val="1801717D"/>
    <w:rsid w:val="1802092A"/>
    <w:rsid w:val="180260F3"/>
    <w:rsid w:val="182FB22E"/>
    <w:rsid w:val="183353BE"/>
    <w:rsid w:val="185214DF"/>
    <w:rsid w:val="1856CBF9"/>
    <w:rsid w:val="185D0A3F"/>
    <w:rsid w:val="1861D838"/>
    <w:rsid w:val="1869AA54"/>
    <w:rsid w:val="186BF05B"/>
    <w:rsid w:val="187BA740"/>
    <w:rsid w:val="18816DCD"/>
    <w:rsid w:val="18845DC6"/>
    <w:rsid w:val="188592F1"/>
    <w:rsid w:val="18881DAE"/>
    <w:rsid w:val="1888BEAA"/>
    <w:rsid w:val="188C1018"/>
    <w:rsid w:val="1891EE6B"/>
    <w:rsid w:val="18931B39"/>
    <w:rsid w:val="18A2A1CD"/>
    <w:rsid w:val="18A9535B"/>
    <w:rsid w:val="18AA00C3"/>
    <w:rsid w:val="18ABBCED"/>
    <w:rsid w:val="18AC0927"/>
    <w:rsid w:val="18BCA051"/>
    <w:rsid w:val="18C5C3B1"/>
    <w:rsid w:val="18CA1E25"/>
    <w:rsid w:val="18D8D83C"/>
    <w:rsid w:val="18E1D806"/>
    <w:rsid w:val="18E756EB"/>
    <w:rsid w:val="18E96ECE"/>
    <w:rsid w:val="18EA807F"/>
    <w:rsid w:val="18EA8869"/>
    <w:rsid w:val="18F7E26E"/>
    <w:rsid w:val="18FA6248"/>
    <w:rsid w:val="18FB0770"/>
    <w:rsid w:val="18FB0770"/>
    <w:rsid w:val="18FD0003"/>
    <w:rsid w:val="19045586"/>
    <w:rsid w:val="190F99C3"/>
    <w:rsid w:val="1919AA1C"/>
    <w:rsid w:val="1919AA1C"/>
    <w:rsid w:val="191F08D8"/>
    <w:rsid w:val="19249D43"/>
    <w:rsid w:val="19263BA4"/>
    <w:rsid w:val="192A9A85"/>
    <w:rsid w:val="192B44C8"/>
    <w:rsid w:val="1932E298"/>
    <w:rsid w:val="1934DB73"/>
    <w:rsid w:val="193A8181"/>
    <w:rsid w:val="1940E344"/>
    <w:rsid w:val="1947F898"/>
    <w:rsid w:val="194BD8D7"/>
    <w:rsid w:val="19523AFE"/>
    <w:rsid w:val="19579733"/>
    <w:rsid w:val="19579733"/>
    <w:rsid w:val="19588F6C"/>
    <w:rsid w:val="195B558C"/>
    <w:rsid w:val="195C85C8"/>
    <w:rsid w:val="196576A5"/>
    <w:rsid w:val="19658ADA"/>
    <w:rsid w:val="196690DB"/>
    <w:rsid w:val="1969B305"/>
    <w:rsid w:val="19719E6B"/>
    <w:rsid w:val="1971DF0A"/>
    <w:rsid w:val="19731DCE"/>
    <w:rsid w:val="19763F16"/>
    <w:rsid w:val="1983ED34"/>
    <w:rsid w:val="19885A45"/>
    <w:rsid w:val="198E5B92"/>
    <w:rsid w:val="1999A134"/>
    <w:rsid w:val="19A28FC4"/>
    <w:rsid w:val="19A82885"/>
    <w:rsid w:val="19B2B251"/>
    <w:rsid w:val="19B4D855"/>
    <w:rsid w:val="19B95E99"/>
    <w:rsid w:val="19BB68D6"/>
    <w:rsid w:val="19C2DB6F"/>
    <w:rsid w:val="19C43FF9"/>
    <w:rsid w:val="19CF19EF"/>
    <w:rsid w:val="19D10429"/>
    <w:rsid w:val="19D9FFD5"/>
    <w:rsid w:val="19DB1BE3"/>
    <w:rsid w:val="19DB73B1"/>
    <w:rsid w:val="19DFD3F2"/>
    <w:rsid w:val="19E1DEFB"/>
    <w:rsid w:val="19E372FF"/>
    <w:rsid w:val="19E9D7FC"/>
    <w:rsid w:val="19EBCA9E"/>
    <w:rsid w:val="19EF6B9C"/>
    <w:rsid w:val="1A0428C5"/>
    <w:rsid w:val="1A0C133C"/>
    <w:rsid w:val="1A0D0E30"/>
    <w:rsid w:val="1A0D1BE4"/>
    <w:rsid w:val="1A16CE5E"/>
    <w:rsid w:val="1A16EB07"/>
    <w:rsid w:val="1A177823"/>
    <w:rsid w:val="1A182BBD"/>
    <w:rsid w:val="1A1C6226"/>
    <w:rsid w:val="1A1C9DA8"/>
    <w:rsid w:val="1A2758E0"/>
    <w:rsid w:val="1A289219"/>
    <w:rsid w:val="1A2F1FC7"/>
    <w:rsid w:val="1A36E52C"/>
    <w:rsid w:val="1A38BB86"/>
    <w:rsid w:val="1A399B15"/>
    <w:rsid w:val="1A3EFCC0"/>
    <w:rsid w:val="1A4645F6"/>
    <w:rsid w:val="1A492591"/>
    <w:rsid w:val="1A4C3F36"/>
    <w:rsid w:val="1A4D2B4F"/>
    <w:rsid w:val="1A4EBF74"/>
    <w:rsid w:val="1A5E4B07"/>
    <w:rsid w:val="1A636C17"/>
    <w:rsid w:val="1A642706"/>
    <w:rsid w:val="1A73053D"/>
    <w:rsid w:val="1A78177B"/>
    <w:rsid w:val="1A797AE5"/>
    <w:rsid w:val="1A7D9AD5"/>
    <w:rsid w:val="1A859745"/>
    <w:rsid w:val="1A87B366"/>
    <w:rsid w:val="1A97DFF8"/>
    <w:rsid w:val="1A9A2A94"/>
    <w:rsid w:val="1AA4000B"/>
    <w:rsid w:val="1AA8B185"/>
    <w:rsid w:val="1AAB1CAF"/>
    <w:rsid w:val="1AABBA85"/>
    <w:rsid w:val="1AB173D5"/>
    <w:rsid w:val="1AB30418"/>
    <w:rsid w:val="1AB9339F"/>
    <w:rsid w:val="1ACA9608"/>
    <w:rsid w:val="1ACB1300"/>
    <w:rsid w:val="1ACCD249"/>
    <w:rsid w:val="1AD0B8AD"/>
    <w:rsid w:val="1AE3E48B"/>
    <w:rsid w:val="1AEE073C"/>
    <w:rsid w:val="1AEEC02A"/>
    <w:rsid w:val="1AF2BDD9"/>
    <w:rsid w:val="1AF3E798"/>
    <w:rsid w:val="1AF8244C"/>
    <w:rsid w:val="1AFA0AFB"/>
    <w:rsid w:val="1B0096CB"/>
    <w:rsid w:val="1B04A02C"/>
    <w:rsid w:val="1B058751"/>
    <w:rsid w:val="1B05C740"/>
    <w:rsid w:val="1B0E7CA3"/>
    <w:rsid w:val="1B1155EB"/>
    <w:rsid w:val="1B1BE11C"/>
    <w:rsid w:val="1B2570AB"/>
    <w:rsid w:val="1B284086"/>
    <w:rsid w:val="1B299D5B"/>
    <w:rsid w:val="1B29DEFC"/>
    <w:rsid w:val="1B2BF9CD"/>
    <w:rsid w:val="1B33E421"/>
    <w:rsid w:val="1B3C1B10"/>
    <w:rsid w:val="1B3D505B"/>
    <w:rsid w:val="1B425F70"/>
    <w:rsid w:val="1B44E007"/>
    <w:rsid w:val="1B4E629F"/>
    <w:rsid w:val="1B4EE8D1"/>
    <w:rsid w:val="1B51A5B4"/>
    <w:rsid w:val="1B635C70"/>
    <w:rsid w:val="1B6745DB"/>
    <w:rsid w:val="1B678FD4"/>
    <w:rsid w:val="1B711CF1"/>
    <w:rsid w:val="1B79FFC4"/>
    <w:rsid w:val="1B841036"/>
    <w:rsid w:val="1B846A3C"/>
    <w:rsid w:val="1B882BB9"/>
    <w:rsid w:val="1B882BB9"/>
    <w:rsid w:val="1B9C305C"/>
    <w:rsid w:val="1B9C93B6"/>
    <w:rsid w:val="1B9EC4D1"/>
    <w:rsid w:val="1BA45721"/>
    <w:rsid w:val="1BA6CF94"/>
    <w:rsid w:val="1BAFD6E6"/>
    <w:rsid w:val="1BB101B2"/>
    <w:rsid w:val="1BB1F0FC"/>
    <w:rsid w:val="1BBA5E8A"/>
    <w:rsid w:val="1BBDA83E"/>
    <w:rsid w:val="1BC0241E"/>
    <w:rsid w:val="1BC3A4AD"/>
    <w:rsid w:val="1BC42647"/>
    <w:rsid w:val="1BC74A06"/>
    <w:rsid w:val="1BCABA1F"/>
    <w:rsid w:val="1BCF698D"/>
    <w:rsid w:val="1BD4E9F3"/>
    <w:rsid w:val="1BD6472F"/>
    <w:rsid w:val="1BE2E3A7"/>
    <w:rsid w:val="1BE57A89"/>
    <w:rsid w:val="1BE70505"/>
    <w:rsid w:val="1BEC08DE"/>
    <w:rsid w:val="1BEEC669"/>
    <w:rsid w:val="1BF360A4"/>
    <w:rsid w:val="1BF6679D"/>
    <w:rsid w:val="1BFA2ABB"/>
    <w:rsid w:val="1BFCA20D"/>
    <w:rsid w:val="1C00FB7E"/>
    <w:rsid w:val="1C07A4D3"/>
    <w:rsid w:val="1C131867"/>
    <w:rsid w:val="1C146757"/>
    <w:rsid w:val="1C1D2612"/>
    <w:rsid w:val="1C252C11"/>
    <w:rsid w:val="1C2C7443"/>
    <w:rsid w:val="1C2EE2A1"/>
    <w:rsid w:val="1C2FB0FE"/>
    <w:rsid w:val="1C32BE4F"/>
    <w:rsid w:val="1C342AFA"/>
    <w:rsid w:val="1C3B62FE"/>
    <w:rsid w:val="1C3BF188"/>
    <w:rsid w:val="1C42386D"/>
    <w:rsid w:val="1C441817"/>
    <w:rsid w:val="1C5C1E19"/>
    <w:rsid w:val="1C6613BC"/>
    <w:rsid w:val="1C69F849"/>
    <w:rsid w:val="1C6A8734"/>
    <w:rsid w:val="1C6E962F"/>
    <w:rsid w:val="1C765894"/>
    <w:rsid w:val="1C848320"/>
    <w:rsid w:val="1C8AE637"/>
    <w:rsid w:val="1C8BF7EC"/>
    <w:rsid w:val="1C8E1263"/>
    <w:rsid w:val="1C8F891C"/>
    <w:rsid w:val="1C918F76"/>
    <w:rsid w:val="1C96FEE2"/>
    <w:rsid w:val="1CA5E397"/>
    <w:rsid w:val="1CA7CEFB"/>
    <w:rsid w:val="1CAA264B"/>
    <w:rsid w:val="1CAA6703"/>
    <w:rsid w:val="1CAC0C02"/>
    <w:rsid w:val="1CB34F7D"/>
    <w:rsid w:val="1CB7109B"/>
    <w:rsid w:val="1CBE8E93"/>
    <w:rsid w:val="1CC28410"/>
    <w:rsid w:val="1CCDE281"/>
    <w:rsid w:val="1CCDE281"/>
    <w:rsid w:val="1CD313B5"/>
    <w:rsid w:val="1CDFFCBA"/>
    <w:rsid w:val="1CE8CE32"/>
    <w:rsid w:val="1CEB1B93"/>
    <w:rsid w:val="1CEDE66D"/>
    <w:rsid w:val="1CF4BD3C"/>
    <w:rsid w:val="1CF73306"/>
    <w:rsid w:val="1CF991D2"/>
    <w:rsid w:val="1D0A5B3B"/>
    <w:rsid w:val="1D0AA611"/>
    <w:rsid w:val="1D0F97C2"/>
    <w:rsid w:val="1D120C01"/>
    <w:rsid w:val="1D1485A3"/>
    <w:rsid w:val="1D19851B"/>
    <w:rsid w:val="1D1CCB43"/>
    <w:rsid w:val="1D2380AB"/>
    <w:rsid w:val="1D23B319"/>
    <w:rsid w:val="1D24D8C0"/>
    <w:rsid w:val="1D264EB4"/>
    <w:rsid w:val="1D2EF1F5"/>
    <w:rsid w:val="1D357A63"/>
    <w:rsid w:val="1D374F5B"/>
    <w:rsid w:val="1D3753B0"/>
    <w:rsid w:val="1D4978A1"/>
    <w:rsid w:val="1D518480"/>
    <w:rsid w:val="1D575BCB"/>
    <w:rsid w:val="1D599EE2"/>
    <w:rsid w:val="1D59C77D"/>
    <w:rsid w:val="1D5AF6BF"/>
    <w:rsid w:val="1D7A61E5"/>
    <w:rsid w:val="1D8BA543"/>
    <w:rsid w:val="1D8CBA45"/>
    <w:rsid w:val="1D8D727E"/>
    <w:rsid w:val="1D9262E3"/>
    <w:rsid w:val="1D9A4457"/>
    <w:rsid w:val="1D9F34AB"/>
    <w:rsid w:val="1DA08D70"/>
    <w:rsid w:val="1DADE29C"/>
    <w:rsid w:val="1DB00F71"/>
    <w:rsid w:val="1DB94D11"/>
    <w:rsid w:val="1DBFA705"/>
    <w:rsid w:val="1DC5A629"/>
    <w:rsid w:val="1DC5A629"/>
    <w:rsid w:val="1DC7D1AE"/>
    <w:rsid w:val="1DCBDB4A"/>
    <w:rsid w:val="1DD177EC"/>
    <w:rsid w:val="1DD59670"/>
    <w:rsid w:val="1DD80BA0"/>
    <w:rsid w:val="1DD84404"/>
    <w:rsid w:val="1DDAE29E"/>
    <w:rsid w:val="1DDC8A5F"/>
    <w:rsid w:val="1DE0C02F"/>
    <w:rsid w:val="1DE723FB"/>
    <w:rsid w:val="1DEA87BD"/>
    <w:rsid w:val="1DED93DC"/>
    <w:rsid w:val="1DEF2E43"/>
    <w:rsid w:val="1DF63736"/>
    <w:rsid w:val="1E03928C"/>
    <w:rsid w:val="1E116258"/>
    <w:rsid w:val="1E1AD536"/>
    <w:rsid w:val="1E1B1AE0"/>
    <w:rsid w:val="1E1D2AC2"/>
    <w:rsid w:val="1E257301"/>
    <w:rsid w:val="1E2B0351"/>
    <w:rsid w:val="1E2DF463"/>
    <w:rsid w:val="1E360FC3"/>
    <w:rsid w:val="1E4AAC14"/>
    <w:rsid w:val="1E4FF96D"/>
    <w:rsid w:val="1E54450C"/>
    <w:rsid w:val="1E59872B"/>
    <w:rsid w:val="1E59BBEE"/>
    <w:rsid w:val="1E59D861"/>
    <w:rsid w:val="1E60970B"/>
    <w:rsid w:val="1E6E81D5"/>
    <w:rsid w:val="1E7612FF"/>
    <w:rsid w:val="1E7A8FE8"/>
    <w:rsid w:val="1E7FE97C"/>
    <w:rsid w:val="1E80CEFB"/>
    <w:rsid w:val="1E84572D"/>
    <w:rsid w:val="1E9180E6"/>
    <w:rsid w:val="1E987991"/>
    <w:rsid w:val="1E9F5696"/>
    <w:rsid w:val="1EA6C830"/>
    <w:rsid w:val="1EAD4DB2"/>
    <w:rsid w:val="1EB7F267"/>
    <w:rsid w:val="1EB86AF6"/>
    <w:rsid w:val="1EC0AB65"/>
    <w:rsid w:val="1EC1B605"/>
    <w:rsid w:val="1EC33101"/>
    <w:rsid w:val="1EC4CF5C"/>
    <w:rsid w:val="1EC78B96"/>
    <w:rsid w:val="1EC9BB79"/>
    <w:rsid w:val="1ECAA74D"/>
    <w:rsid w:val="1ECC1B0D"/>
    <w:rsid w:val="1ED39323"/>
    <w:rsid w:val="1EE042F1"/>
    <w:rsid w:val="1EE26FC2"/>
    <w:rsid w:val="1EE4BA35"/>
    <w:rsid w:val="1EEA4EDD"/>
    <w:rsid w:val="1EFF42D3"/>
    <w:rsid w:val="1F033454"/>
    <w:rsid w:val="1F08C670"/>
    <w:rsid w:val="1F0E546D"/>
    <w:rsid w:val="1F1299DA"/>
    <w:rsid w:val="1F145C13"/>
    <w:rsid w:val="1F1720F0"/>
    <w:rsid w:val="1F195907"/>
    <w:rsid w:val="1F2D30F2"/>
    <w:rsid w:val="1F35FF7E"/>
    <w:rsid w:val="1F3B42CD"/>
    <w:rsid w:val="1F4B0669"/>
    <w:rsid w:val="1F68716E"/>
    <w:rsid w:val="1F70E055"/>
    <w:rsid w:val="1F757296"/>
    <w:rsid w:val="1F7BC87C"/>
    <w:rsid w:val="1F81EA39"/>
    <w:rsid w:val="1F864452"/>
    <w:rsid w:val="1F8B758A"/>
    <w:rsid w:val="1F924D7C"/>
    <w:rsid w:val="1F9AFA80"/>
    <w:rsid w:val="1F9EA8A1"/>
    <w:rsid w:val="1FAA7CAD"/>
    <w:rsid w:val="1FAB8587"/>
    <w:rsid w:val="1FB4E639"/>
    <w:rsid w:val="1FB52932"/>
    <w:rsid w:val="1FC05409"/>
    <w:rsid w:val="1FC0BC49"/>
    <w:rsid w:val="1FD01A12"/>
    <w:rsid w:val="1FD932D7"/>
    <w:rsid w:val="1FDFE040"/>
    <w:rsid w:val="1FE13B6E"/>
    <w:rsid w:val="1FE42218"/>
    <w:rsid w:val="1FE5AAAA"/>
    <w:rsid w:val="1FE6426E"/>
    <w:rsid w:val="1FE9C474"/>
    <w:rsid w:val="1FEBD5B1"/>
    <w:rsid w:val="1FED776F"/>
    <w:rsid w:val="1FF33CCB"/>
    <w:rsid w:val="1FF5F895"/>
    <w:rsid w:val="1FF703B5"/>
    <w:rsid w:val="1FFD2883"/>
    <w:rsid w:val="1FFEE4A6"/>
    <w:rsid w:val="20084A72"/>
    <w:rsid w:val="200A714D"/>
    <w:rsid w:val="2010B0AE"/>
    <w:rsid w:val="20118938"/>
    <w:rsid w:val="20166A4B"/>
    <w:rsid w:val="20176A13"/>
    <w:rsid w:val="202DDDA1"/>
    <w:rsid w:val="2030331E"/>
    <w:rsid w:val="20326C34"/>
    <w:rsid w:val="20344DBC"/>
    <w:rsid w:val="20353794"/>
    <w:rsid w:val="2036307C"/>
    <w:rsid w:val="203A44A3"/>
    <w:rsid w:val="20455DBC"/>
    <w:rsid w:val="2047837B"/>
    <w:rsid w:val="2047C743"/>
    <w:rsid w:val="204EFFF2"/>
    <w:rsid w:val="204FEF37"/>
    <w:rsid w:val="205721B4"/>
    <w:rsid w:val="20591453"/>
    <w:rsid w:val="2063EDC3"/>
    <w:rsid w:val="2068A3D0"/>
    <w:rsid w:val="206E384F"/>
    <w:rsid w:val="2070D22D"/>
    <w:rsid w:val="2073F78D"/>
    <w:rsid w:val="20776305"/>
    <w:rsid w:val="207A74C3"/>
    <w:rsid w:val="207B6ACD"/>
    <w:rsid w:val="207ECA04"/>
    <w:rsid w:val="208C8D47"/>
    <w:rsid w:val="2091BF80"/>
    <w:rsid w:val="209C223E"/>
    <w:rsid w:val="20A19794"/>
    <w:rsid w:val="20A33163"/>
    <w:rsid w:val="20AF39AD"/>
    <w:rsid w:val="20B5E924"/>
    <w:rsid w:val="20B73A2E"/>
    <w:rsid w:val="20D01288"/>
    <w:rsid w:val="20D07B74"/>
    <w:rsid w:val="20D73BBA"/>
    <w:rsid w:val="20DF135B"/>
    <w:rsid w:val="20E39679"/>
    <w:rsid w:val="20EB2397"/>
    <w:rsid w:val="20EB8AF3"/>
    <w:rsid w:val="20EE6886"/>
    <w:rsid w:val="20F15A51"/>
    <w:rsid w:val="20F1BCB9"/>
    <w:rsid w:val="20F9659C"/>
    <w:rsid w:val="20F9D65E"/>
    <w:rsid w:val="20FFECD0"/>
    <w:rsid w:val="21046014"/>
    <w:rsid w:val="21078E69"/>
    <w:rsid w:val="2112E2A3"/>
    <w:rsid w:val="21195773"/>
    <w:rsid w:val="211CC030"/>
    <w:rsid w:val="21208D1C"/>
    <w:rsid w:val="2124F9C4"/>
    <w:rsid w:val="2125E4D5"/>
    <w:rsid w:val="21424C87"/>
    <w:rsid w:val="21487AE1"/>
    <w:rsid w:val="215C4A8E"/>
    <w:rsid w:val="215F1ABE"/>
    <w:rsid w:val="216651AC"/>
    <w:rsid w:val="21721B08"/>
    <w:rsid w:val="2174B18E"/>
    <w:rsid w:val="21751140"/>
    <w:rsid w:val="21862DBA"/>
    <w:rsid w:val="2189724A"/>
    <w:rsid w:val="218D7676"/>
    <w:rsid w:val="218F6E56"/>
    <w:rsid w:val="21A57A52"/>
    <w:rsid w:val="21B0469F"/>
    <w:rsid w:val="21BA8A1B"/>
    <w:rsid w:val="21BE0A9A"/>
    <w:rsid w:val="21CC23CC"/>
    <w:rsid w:val="21D2EF81"/>
    <w:rsid w:val="21D41437"/>
    <w:rsid w:val="21D63491"/>
    <w:rsid w:val="21DAA4A4"/>
    <w:rsid w:val="21DB322F"/>
    <w:rsid w:val="21DCB15F"/>
    <w:rsid w:val="21DF8C07"/>
    <w:rsid w:val="21E034E2"/>
    <w:rsid w:val="21E1F48D"/>
    <w:rsid w:val="21E5CAA9"/>
    <w:rsid w:val="21EB201D"/>
    <w:rsid w:val="21EC59AF"/>
    <w:rsid w:val="21EDDED5"/>
    <w:rsid w:val="21F16D34"/>
    <w:rsid w:val="21F80639"/>
    <w:rsid w:val="2201E026"/>
    <w:rsid w:val="2204EADE"/>
    <w:rsid w:val="22091C23"/>
    <w:rsid w:val="220EAA0D"/>
    <w:rsid w:val="221913F7"/>
    <w:rsid w:val="221FBEFF"/>
    <w:rsid w:val="22227F88"/>
    <w:rsid w:val="222620C6"/>
    <w:rsid w:val="2229D564"/>
    <w:rsid w:val="222B63FD"/>
    <w:rsid w:val="222C7EE8"/>
    <w:rsid w:val="22308A61"/>
    <w:rsid w:val="223882A2"/>
    <w:rsid w:val="223A90D5"/>
    <w:rsid w:val="223CF030"/>
    <w:rsid w:val="223F88A0"/>
    <w:rsid w:val="2240F2C1"/>
    <w:rsid w:val="224693F4"/>
    <w:rsid w:val="224EA95C"/>
    <w:rsid w:val="2252E95B"/>
    <w:rsid w:val="225D97F0"/>
    <w:rsid w:val="226268FD"/>
    <w:rsid w:val="2267DA55"/>
    <w:rsid w:val="2268E441"/>
    <w:rsid w:val="226D7EDA"/>
    <w:rsid w:val="2274B895"/>
    <w:rsid w:val="227A4986"/>
    <w:rsid w:val="2281BF7E"/>
    <w:rsid w:val="2287E83A"/>
    <w:rsid w:val="228A0A77"/>
    <w:rsid w:val="22A87149"/>
    <w:rsid w:val="22D5357A"/>
    <w:rsid w:val="22D8DC52"/>
    <w:rsid w:val="22DE9E01"/>
    <w:rsid w:val="22E6A527"/>
    <w:rsid w:val="22F340C0"/>
    <w:rsid w:val="23047996"/>
    <w:rsid w:val="23130AA1"/>
    <w:rsid w:val="2325857E"/>
    <w:rsid w:val="232B19FF"/>
    <w:rsid w:val="232C8E23"/>
    <w:rsid w:val="232CADD1"/>
    <w:rsid w:val="233750AF"/>
    <w:rsid w:val="2338A5A5"/>
    <w:rsid w:val="2340610C"/>
    <w:rsid w:val="234DDFD7"/>
    <w:rsid w:val="235BDC41"/>
    <w:rsid w:val="235D16ED"/>
    <w:rsid w:val="235DA517"/>
    <w:rsid w:val="2360C7EE"/>
    <w:rsid w:val="23640CAF"/>
    <w:rsid w:val="23684D20"/>
    <w:rsid w:val="236BA754"/>
    <w:rsid w:val="23765F46"/>
    <w:rsid w:val="2379ECE9"/>
    <w:rsid w:val="237DF2D2"/>
    <w:rsid w:val="23832282"/>
    <w:rsid w:val="23833D80"/>
    <w:rsid w:val="238DEC9D"/>
    <w:rsid w:val="23AAECFB"/>
    <w:rsid w:val="23B08F5A"/>
    <w:rsid w:val="23BA9E90"/>
    <w:rsid w:val="23C03D41"/>
    <w:rsid w:val="23C19624"/>
    <w:rsid w:val="23C2BC35"/>
    <w:rsid w:val="23C55D10"/>
    <w:rsid w:val="23C626FB"/>
    <w:rsid w:val="23CC7EAA"/>
    <w:rsid w:val="23CE5E4E"/>
    <w:rsid w:val="23CF7485"/>
    <w:rsid w:val="23DA2FB2"/>
    <w:rsid w:val="23DD3992"/>
    <w:rsid w:val="23DD9983"/>
    <w:rsid w:val="23EA6A18"/>
    <w:rsid w:val="23EA8A77"/>
    <w:rsid w:val="23FB1283"/>
    <w:rsid w:val="23FD4014"/>
    <w:rsid w:val="23FD4CD2"/>
    <w:rsid w:val="2402AC2D"/>
    <w:rsid w:val="24041143"/>
    <w:rsid w:val="240A1D69"/>
    <w:rsid w:val="24159BFE"/>
    <w:rsid w:val="24164879"/>
    <w:rsid w:val="2419AD78"/>
    <w:rsid w:val="241CF22C"/>
    <w:rsid w:val="242204F9"/>
    <w:rsid w:val="2424B32F"/>
    <w:rsid w:val="242BBE65"/>
    <w:rsid w:val="242C208D"/>
    <w:rsid w:val="242C5AB2"/>
    <w:rsid w:val="24302BAB"/>
    <w:rsid w:val="243C4233"/>
    <w:rsid w:val="244C6F21"/>
    <w:rsid w:val="24563A61"/>
    <w:rsid w:val="246105C7"/>
    <w:rsid w:val="246635D0"/>
    <w:rsid w:val="247E2E2D"/>
    <w:rsid w:val="24865025"/>
    <w:rsid w:val="248CE22F"/>
    <w:rsid w:val="249AF0CC"/>
    <w:rsid w:val="249CCB36"/>
    <w:rsid w:val="249DCD39"/>
    <w:rsid w:val="249E545F"/>
    <w:rsid w:val="24A81FFC"/>
    <w:rsid w:val="24A9BE68"/>
    <w:rsid w:val="24AB65BC"/>
    <w:rsid w:val="24B897D5"/>
    <w:rsid w:val="24BBE534"/>
    <w:rsid w:val="24CC1CFF"/>
    <w:rsid w:val="24D15427"/>
    <w:rsid w:val="24DBBCAF"/>
    <w:rsid w:val="24DF94FD"/>
    <w:rsid w:val="24E11C64"/>
    <w:rsid w:val="24E85B95"/>
    <w:rsid w:val="24E86BB9"/>
    <w:rsid w:val="24E88C00"/>
    <w:rsid w:val="24F57125"/>
    <w:rsid w:val="24F6B9E8"/>
    <w:rsid w:val="24FD4F87"/>
    <w:rsid w:val="25057DA5"/>
    <w:rsid w:val="250871A7"/>
    <w:rsid w:val="250B8E98"/>
    <w:rsid w:val="250FA72E"/>
    <w:rsid w:val="251BCD53"/>
    <w:rsid w:val="251C1AEA"/>
    <w:rsid w:val="251EE01E"/>
    <w:rsid w:val="2521A7D3"/>
    <w:rsid w:val="252202AB"/>
    <w:rsid w:val="25222D75"/>
    <w:rsid w:val="2528C8EC"/>
    <w:rsid w:val="252DD22F"/>
    <w:rsid w:val="2537AFEE"/>
    <w:rsid w:val="253C42A2"/>
    <w:rsid w:val="253D7761"/>
    <w:rsid w:val="2540FF0A"/>
    <w:rsid w:val="254218D2"/>
    <w:rsid w:val="2542CF3D"/>
    <w:rsid w:val="255CD7C4"/>
    <w:rsid w:val="256B6CAA"/>
    <w:rsid w:val="257559BE"/>
    <w:rsid w:val="257B2647"/>
    <w:rsid w:val="258B7922"/>
    <w:rsid w:val="258C58BB"/>
    <w:rsid w:val="2595BBBB"/>
    <w:rsid w:val="2595E427"/>
    <w:rsid w:val="259B82BE"/>
    <w:rsid w:val="259EAA59"/>
    <w:rsid w:val="25A07C8D"/>
    <w:rsid w:val="25ABE13C"/>
    <w:rsid w:val="25AD2947"/>
    <w:rsid w:val="25B653BE"/>
    <w:rsid w:val="25BC12D7"/>
    <w:rsid w:val="25C4F921"/>
    <w:rsid w:val="25C602FD"/>
    <w:rsid w:val="25C81477"/>
    <w:rsid w:val="25C91AD1"/>
    <w:rsid w:val="25CD1FD8"/>
    <w:rsid w:val="25CE2875"/>
    <w:rsid w:val="25D2E32C"/>
    <w:rsid w:val="25DD0DE2"/>
    <w:rsid w:val="25E5754B"/>
    <w:rsid w:val="25E69148"/>
    <w:rsid w:val="25E76385"/>
    <w:rsid w:val="25EDA01E"/>
    <w:rsid w:val="25F2B230"/>
    <w:rsid w:val="25FD36CB"/>
    <w:rsid w:val="260631AD"/>
    <w:rsid w:val="2609D713"/>
    <w:rsid w:val="260A6D9D"/>
    <w:rsid w:val="261C633D"/>
    <w:rsid w:val="261FEA61"/>
    <w:rsid w:val="26244085"/>
    <w:rsid w:val="2629298F"/>
    <w:rsid w:val="262B96F2"/>
    <w:rsid w:val="26330DE1"/>
    <w:rsid w:val="26399DC0"/>
    <w:rsid w:val="26421857"/>
    <w:rsid w:val="2642B1F7"/>
    <w:rsid w:val="264958D2"/>
    <w:rsid w:val="265AC5E5"/>
    <w:rsid w:val="265C2720"/>
    <w:rsid w:val="26606F73"/>
    <w:rsid w:val="2663C57A"/>
    <w:rsid w:val="266CAA44"/>
    <w:rsid w:val="2671BD3B"/>
    <w:rsid w:val="26750E4F"/>
    <w:rsid w:val="267A7195"/>
    <w:rsid w:val="2681E76D"/>
    <w:rsid w:val="2686A4EB"/>
    <w:rsid w:val="269062A6"/>
    <w:rsid w:val="269B9BC6"/>
    <w:rsid w:val="269D89AE"/>
    <w:rsid w:val="269EBC82"/>
    <w:rsid w:val="269F34CD"/>
    <w:rsid w:val="26A1F787"/>
    <w:rsid w:val="26A89ED8"/>
    <w:rsid w:val="26ACCC06"/>
    <w:rsid w:val="26AF54A8"/>
    <w:rsid w:val="26B6FF45"/>
    <w:rsid w:val="26CB2D7C"/>
    <w:rsid w:val="26CFF9DA"/>
    <w:rsid w:val="26D84B78"/>
    <w:rsid w:val="26DD9DE1"/>
    <w:rsid w:val="26E10EF6"/>
    <w:rsid w:val="26E67885"/>
    <w:rsid w:val="26E75E10"/>
    <w:rsid w:val="26E9521A"/>
    <w:rsid w:val="26EAD808"/>
    <w:rsid w:val="26EC0C62"/>
    <w:rsid w:val="26EE8FB3"/>
    <w:rsid w:val="26F09478"/>
    <w:rsid w:val="26F19FAD"/>
    <w:rsid w:val="26F86F11"/>
    <w:rsid w:val="26FF3A47"/>
    <w:rsid w:val="2701BBE6"/>
    <w:rsid w:val="27041220"/>
    <w:rsid w:val="2705F84E"/>
    <w:rsid w:val="27061F0E"/>
    <w:rsid w:val="2716C70A"/>
    <w:rsid w:val="271C32C7"/>
    <w:rsid w:val="2727ED51"/>
    <w:rsid w:val="272F6557"/>
    <w:rsid w:val="27325BDD"/>
    <w:rsid w:val="27357C8E"/>
    <w:rsid w:val="274329F6"/>
    <w:rsid w:val="27467E92"/>
    <w:rsid w:val="274B31CD"/>
    <w:rsid w:val="274B918E"/>
    <w:rsid w:val="274DB90B"/>
    <w:rsid w:val="2758AB29"/>
    <w:rsid w:val="27623D9D"/>
    <w:rsid w:val="27758C46"/>
    <w:rsid w:val="277A014C"/>
    <w:rsid w:val="27866379"/>
    <w:rsid w:val="279A97D8"/>
    <w:rsid w:val="279B43B2"/>
    <w:rsid w:val="27A43A39"/>
    <w:rsid w:val="27A8E394"/>
    <w:rsid w:val="27AE4FB8"/>
    <w:rsid w:val="27B969AA"/>
    <w:rsid w:val="27BEE16F"/>
    <w:rsid w:val="27CC457A"/>
    <w:rsid w:val="27CEEE5C"/>
    <w:rsid w:val="27CFB89C"/>
    <w:rsid w:val="27D2D3BE"/>
    <w:rsid w:val="27D96301"/>
    <w:rsid w:val="27DB6A59"/>
    <w:rsid w:val="27F73766"/>
    <w:rsid w:val="28051059"/>
    <w:rsid w:val="281082AB"/>
    <w:rsid w:val="2826B755"/>
    <w:rsid w:val="282E0D9D"/>
    <w:rsid w:val="282EADC5"/>
    <w:rsid w:val="28317DDE"/>
    <w:rsid w:val="28334153"/>
    <w:rsid w:val="283FB67D"/>
    <w:rsid w:val="284017CF"/>
    <w:rsid w:val="2840FF91"/>
    <w:rsid w:val="2841E7FD"/>
    <w:rsid w:val="2846704B"/>
    <w:rsid w:val="2846CB34"/>
    <w:rsid w:val="28471046"/>
    <w:rsid w:val="285E1D91"/>
    <w:rsid w:val="286FF202"/>
    <w:rsid w:val="287E1FCD"/>
    <w:rsid w:val="287E589F"/>
    <w:rsid w:val="287EB5E8"/>
    <w:rsid w:val="28825CCD"/>
    <w:rsid w:val="28829EEA"/>
    <w:rsid w:val="2884B57E"/>
    <w:rsid w:val="2886D236"/>
    <w:rsid w:val="288C310A"/>
    <w:rsid w:val="289D9889"/>
    <w:rsid w:val="28A100B7"/>
    <w:rsid w:val="28AE1A50"/>
    <w:rsid w:val="28B2DC09"/>
    <w:rsid w:val="28B454C8"/>
    <w:rsid w:val="28B714D4"/>
    <w:rsid w:val="28BA5FD4"/>
    <w:rsid w:val="28CF83F0"/>
    <w:rsid w:val="28D0961A"/>
    <w:rsid w:val="28D287C9"/>
    <w:rsid w:val="28DA24A0"/>
    <w:rsid w:val="28E16DA8"/>
    <w:rsid w:val="28E32B2F"/>
    <w:rsid w:val="28E8D3CE"/>
    <w:rsid w:val="28F707AA"/>
    <w:rsid w:val="28F819E5"/>
    <w:rsid w:val="28F9D22C"/>
    <w:rsid w:val="28FDF0A1"/>
    <w:rsid w:val="2900FD31"/>
    <w:rsid w:val="29050249"/>
    <w:rsid w:val="2908E19A"/>
    <w:rsid w:val="2913BF86"/>
    <w:rsid w:val="291BC9FA"/>
    <w:rsid w:val="29277C0E"/>
    <w:rsid w:val="292AC55A"/>
    <w:rsid w:val="292E9F82"/>
    <w:rsid w:val="29305F8F"/>
    <w:rsid w:val="2931A3EC"/>
    <w:rsid w:val="293BB95A"/>
    <w:rsid w:val="293D34B3"/>
    <w:rsid w:val="293EF379"/>
    <w:rsid w:val="294AD67E"/>
    <w:rsid w:val="2952FB1A"/>
    <w:rsid w:val="295BFD10"/>
    <w:rsid w:val="295F179D"/>
    <w:rsid w:val="29641E76"/>
    <w:rsid w:val="2965517C"/>
    <w:rsid w:val="296AD19B"/>
    <w:rsid w:val="297297BA"/>
    <w:rsid w:val="2974C4AC"/>
    <w:rsid w:val="297CFB8E"/>
    <w:rsid w:val="297D2DFF"/>
    <w:rsid w:val="297E608A"/>
    <w:rsid w:val="29836B2E"/>
    <w:rsid w:val="2989C931"/>
    <w:rsid w:val="298AA021"/>
    <w:rsid w:val="298D6BEE"/>
    <w:rsid w:val="29908579"/>
    <w:rsid w:val="29958FBD"/>
    <w:rsid w:val="299E01A7"/>
    <w:rsid w:val="299F4C33"/>
    <w:rsid w:val="29A274A3"/>
    <w:rsid w:val="29A7999B"/>
    <w:rsid w:val="29ACA659"/>
    <w:rsid w:val="29AD180B"/>
    <w:rsid w:val="29B7FFCB"/>
    <w:rsid w:val="29B9AED5"/>
    <w:rsid w:val="29BCBB71"/>
    <w:rsid w:val="29C0CDE6"/>
    <w:rsid w:val="29CAF033"/>
    <w:rsid w:val="29D57597"/>
    <w:rsid w:val="29DFAC00"/>
    <w:rsid w:val="29E0B4DE"/>
    <w:rsid w:val="29E27027"/>
    <w:rsid w:val="29F19FF6"/>
    <w:rsid w:val="29F50336"/>
    <w:rsid w:val="29FAC58D"/>
    <w:rsid w:val="2A00B5F5"/>
    <w:rsid w:val="2A02A317"/>
    <w:rsid w:val="2A04F7B4"/>
    <w:rsid w:val="2A0727DD"/>
    <w:rsid w:val="2A084AF3"/>
    <w:rsid w:val="2A0B3282"/>
    <w:rsid w:val="2A0BB23C"/>
    <w:rsid w:val="2A1238C2"/>
    <w:rsid w:val="2A1F1B49"/>
    <w:rsid w:val="2A220662"/>
    <w:rsid w:val="2A2441F5"/>
    <w:rsid w:val="2A2591D0"/>
    <w:rsid w:val="2A2BD70D"/>
    <w:rsid w:val="2A393442"/>
    <w:rsid w:val="2A3B16C2"/>
    <w:rsid w:val="2A3CF5F5"/>
    <w:rsid w:val="2A423C75"/>
    <w:rsid w:val="2A42937F"/>
    <w:rsid w:val="2A459038"/>
    <w:rsid w:val="2A4590E8"/>
    <w:rsid w:val="2A467671"/>
    <w:rsid w:val="2A4AA1F9"/>
    <w:rsid w:val="2A4DF356"/>
    <w:rsid w:val="2A537635"/>
    <w:rsid w:val="2A570FC6"/>
    <w:rsid w:val="2A5DEF75"/>
    <w:rsid w:val="2A669DF1"/>
    <w:rsid w:val="2A69F051"/>
    <w:rsid w:val="2A6D68DD"/>
    <w:rsid w:val="2A708CAB"/>
    <w:rsid w:val="2A710E7D"/>
    <w:rsid w:val="2A73E132"/>
    <w:rsid w:val="2A85F7F7"/>
    <w:rsid w:val="2A91AF29"/>
    <w:rsid w:val="2A968AAF"/>
    <w:rsid w:val="2A98EC12"/>
    <w:rsid w:val="2A9BF4D7"/>
    <w:rsid w:val="2AA08E65"/>
    <w:rsid w:val="2AA57017"/>
    <w:rsid w:val="2AAF0EBC"/>
    <w:rsid w:val="2AB1A4C2"/>
    <w:rsid w:val="2AB4DC60"/>
    <w:rsid w:val="2AB72048"/>
    <w:rsid w:val="2AB95A0F"/>
    <w:rsid w:val="2ACF9874"/>
    <w:rsid w:val="2AD0230A"/>
    <w:rsid w:val="2AD46BC3"/>
    <w:rsid w:val="2AE0FA20"/>
    <w:rsid w:val="2AE92567"/>
    <w:rsid w:val="2AEBACCD"/>
    <w:rsid w:val="2AEEB679"/>
    <w:rsid w:val="2AF563E4"/>
    <w:rsid w:val="2AFDE5BE"/>
    <w:rsid w:val="2AFF8C5F"/>
    <w:rsid w:val="2B0142A0"/>
    <w:rsid w:val="2B04BA9E"/>
    <w:rsid w:val="2B127DE5"/>
    <w:rsid w:val="2B12812C"/>
    <w:rsid w:val="2B1437EC"/>
    <w:rsid w:val="2B1A6730"/>
    <w:rsid w:val="2B1F3D8C"/>
    <w:rsid w:val="2B213D18"/>
    <w:rsid w:val="2B28A90E"/>
    <w:rsid w:val="2B28CFAC"/>
    <w:rsid w:val="2B2ABC33"/>
    <w:rsid w:val="2B306AE5"/>
    <w:rsid w:val="2B3728A3"/>
    <w:rsid w:val="2B4603A4"/>
    <w:rsid w:val="2B4B1441"/>
    <w:rsid w:val="2B5754E1"/>
    <w:rsid w:val="2B58F447"/>
    <w:rsid w:val="2B597770"/>
    <w:rsid w:val="2B5A9353"/>
    <w:rsid w:val="2B633955"/>
    <w:rsid w:val="2B640E2F"/>
    <w:rsid w:val="2B704B17"/>
    <w:rsid w:val="2B72F703"/>
    <w:rsid w:val="2B73DFE1"/>
    <w:rsid w:val="2B7AA6A3"/>
    <w:rsid w:val="2B7E7898"/>
    <w:rsid w:val="2B818DC5"/>
    <w:rsid w:val="2B82C10E"/>
    <w:rsid w:val="2B8816FE"/>
    <w:rsid w:val="2B8E7B6A"/>
    <w:rsid w:val="2B968861"/>
    <w:rsid w:val="2B97CD9E"/>
    <w:rsid w:val="2BAB9FEB"/>
    <w:rsid w:val="2BB75802"/>
    <w:rsid w:val="2BBA1E69"/>
    <w:rsid w:val="2BC2B8E6"/>
    <w:rsid w:val="2BCAAF54"/>
    <w:rsid w:val="2BCF0391"/>
    <w:rsid w:val="2BE35AD1"/>
    <w:rsid w:val="2BE3F7F1"/>
    <w:rsid w:val="2BE592EF"/>
    <w:rsid w:val="2BE90919"/>
    <w:rsid w:val="2BEEF577"/>
    <w:rsid w:val="2BF01406"/>
    <w:rsid w:val="2BFAAC67"/>
    <w:rsid w:val="2BFE2E6D"/>
    <w:rsid w:val="2C0BDCB4"/>
    <w:rsid w:val="2C0C86BF"/>
    <w:rsid w:val="2C10A058"/>
    <w:rsid w:val="2C12E2CD"/>
    <w:rsid w:val="2C156FE9"/>
    <w:rsid w:val="2C17B8E6"/>
    <w:rsid w:val="2C184AE5"/>
    <w:rsid w:val="2C1AA57E"/>
    <w:rsid w:val="2C1DEEAA"/>
    <w:rsid w:val="2C20B7E2"/>
    <w:rsid w:val="2C21BDEA"/>
    <w:rsid w:val="2C27A5FB"/>
    <w:rsid w:val="2C3D8971"/>
    <w:rsid w:val="2C3FD054"/>
    <w:rsid w:val="2C474DDB"/>
    <w:rsid w:val="2C48B334"/>
    <w:rsid w:val="2C511EC8"/>
    <w:rsid w:val="2C580926"/>
    <w:rsid w:val="2C58CC14"/>
    <w:rsid w:val="2C653C2C"/>
    <w:rsid w:val="2C69B86B"/>
    <w:rsid w:val="2C772E64"/>
    <w:rsid w:val="2C7F284A"/>
    <w:rsid w:val="2C80CF0A"/>
    <w:rsid w:val="2C867C74"/>
    <w:rsid w:val="2C99CAC1"/>
    <w:rsid w:val="2C9C295A"/>
    <w:rsid w:val="2C9E1A73"/>
    <w:rsid w:val="2CA02F5B"/>
    <w:rsid w:val="2CA443F0"/>
    <w:rsid w:val="2CADBD28"/>
    <w:rsid w:val="2CB183F2"/>
    <w:rsid w:val="2CB21369"/>
    <w:rsid w:val="2CB4710B"/>
    <w:rsid w:val="2CBB64BE"/>
    <w:rsid w:val="2CBE1B06"/>
    <w:rsid w:val="2CC82831"/>
    <w:rsid w:val="2CD9E96D"/>
    <w:rsid w:val="2CDAFA28"/>
    <w:rsid w:val="2CE5847C"/>
    <w:rsid w:val="2CE5847C"/>
    <w:rsid w:val="2CE885F9"/>
    <w:rsid w:val="2CE9D1C3"/>
    <w:rsid w:val="2CEA24C7"/>
    <w:rsid w:val="2CEB8FD3"/>
    <w:rsid w:val="2CEBE4DA"/>
    <w:rsid w:val="2CF143D1"/>
    <w:rsid w:val="2D013070"/>
    <w:rsid w:val="2D046F1A"/>
    <w:rsid w:val="2D06E0E1"/>
    <w:rsid w:val="2D0DCF96"/>
    <w:rsid w:val="2D299EA5"/>
    <w:rsid w:val="2D31247B"/>
    <w:rsid w:val="2D3CDF33"/>
    <w:rsid w:val="2D3D1CFF"/>
    <w:rsid w:val="2D3E3B41"/>
    <w:rsid w:val="2D44FF36"/>
    <w:rsid w:val="2D5514B7"/>
    <w:rsid w:val="2D5A9966"/>
    <w:rsid w:val="2D5FF3E9"/>
    <w:rsid w:val="2D6558FC"/>
    <w:rsid w:val="2D6A3AC4"/>
    <w:rsid w:val="2D751758"/>
    <w:rsid w:val="2D77E2CE"/>
    <w:rsid w:val="2D7B20F7"/>
    <w:rsid w:val="2D82B625"/>
    <w:rsid w:val="2D9AD657"/>
    <w:rsid w:val="2D9B14B3"/>
    <w:rsid w:val="2DB0364E"/>
    <w:rsid w:val="2DB075A9"/>
    <w:rsid w:val="2DB35C27"/>
    <w:rsid w:val="2DB760BD"/>
    <w:rsid w:val="2DB826F9"/>
    <w:rsid w:val="2DC6F63B"/>
    <w:rsid w:val="2DCF3805"/>
    <w:rsid w:val="2DD3700B"/>
    <w:rsid w:val="2DD8DFC2"/>
    <w:rsid w:val="2DD951EA"/>
    <w:rsid w:val="2DD9BF67"/>
    <w:rsid w:val="2DD9E222"/>
    <w:rsid w:val="2DED5B61"/>
    <w:rsid w:val="2DF0ED6F"/>
    <w:rsid w:val="2DF4F014"/>
    <w:rsid w:val="2DF6FFAD"/>
    <w:rsid w:val="2DF732BB"/>
    <w:rsid w:val="2E04EB5A"/>
    <w:rsid w:val="2E0A7D4B"/>
    <w:rsid w:val="2E0C9EB9"/>
    <w:rsid w:val="2E0CF840"/>
    <w:rsid w:val="2E15F19E"/>
    <w:rsid w:val="2E168ACE"/>
    <w:rsid w:val="2E17EC86"/>
    <w:rsid w:val="2E1FBA59"/>
    <w:rsid w:val="2E253DF8"/>
    <w:rsid w:val="2E27175E"/>
    <w:rsid w:val="2E28E4F7"/>
    <w:rsid w:val="2E2C0BC1"/>
    <w:rsid w:val="2E36B703"/>
    <w:rsid w:val="2E3C1884"/>
    <w:rsid w:val="2E413816"/>
    <w:rsid w:val="2E42D438"/>
    <w:rsid w:val="2E477C5C"/>
    <w:rsid w:val="2E50C24F"/>
    <w:rsid w:val="2E54C332"/>
    <w:rsid w:val="2E5BA7E7"/>
    <w:rsid w:val="2E6050BE"/>
    <w:rsid w:val="2E64666E"/>
    <w:rsid w:val="2E6DEDEA"/>
    <w:rsid w:val="2E6E6022"/>
    <w:rsid w:val="2E703186"/>
    <w:rsid w:val="2E737672"/>
    <w:rsid w:val="2E857384"/>
    <w:rsid w:val="2E8B1F7F"/>
    <w:rsid w:val="2E8D9EB4"/>
    <w:rsid w:val="2E90902F"/>
    <w:rsid w:val="2E926F6C"/>
    <w:rsid w:val="2E9459C8"/>
    <w:rsid w:val="2E949299"/>
    <w:rsid w:val="2E977188"/>
    <w:rsid w:val="2E9DEFFE"/>
    <w:rsid w:val="2EA2E758"/>
    <w:rsid w:val="2EABC405"/>
    <w:rsid w:val="2EADE028"/>
    <w:rsid w:val="2EBAB3A7"/>
    <w:rsid w:val="2ECBAB6A"/>
    <w:rsid w:val="2ECEB2B7"/>
    <w:rsid w:val="2ED9E16B"/>
    <w:rsid w:val="2EDD249F"/>
    <w:rsid w:val="2EE203A5"/>
    <w:rsid w:val="2EE504EF"/>
    <w:rsid w:val="2EF9EF98"/>
    <w:rsid w:val="2F026C7E"/>
    <w:rsid w:val="2F0B7016"/>
    <w:rsid w:val="2F120800"/>
    <w:rsid w:val="2F167398"/>
    <w:rsid w:val="2F2E7F68"/>
    <w:rsid w:val="2F2E8D4F"/>
    <w:rsid w:val="2F33CEC7"/>
    <w:rsid w:val="2F37739B"/>
    <w:rsid w:val="2F3A6FCE"/>
    <w:rsid w:val="2F4250BF"/>
    <w:rsid w:val="2F433AC5"/>
    <w:rsid w:val="2F4ECC1F"/>
    <w:rsid w:val="2F56F961"/>
    <w:rsid w:val="2F5FCFD8"/>
    <w:rsid w:val="2F69BC8D"/>
    <w:rsid w:val="2F6FF386"/>
    <w:rsid w:val="2F71868C"/>
    <w:rsid w:val="2F74BE8F"/>
    <w:rsid w:val="2F7EC401"/>
    <w:rsid w:val="2F80A4C1"/>
    <w:rsid w:val="2F850FD6"/>
    <w:rsid w:val="2F9460B2"/>
    <w:rsid w:val="2F9743BC"/>
    <w:rsid w:val="2F9C6D8C"/>
    <w:rsid w:val="2F9D9EC0"/>
    <w:rsid w:val="2F9EE5E3"/>
    <w:rsid w:val="2FA19518"/>
    <w:rsid w:val="2FA916CB"/>
    <w:rsid w:val="2FAF7454"/>
    <w:rsid w:val="2FB7AC54"/>
    <w:rsid w:val="2FB7B024"/>
    <w:rsid w:val="2FB824BC"/>
    <w:rsid w:val="2FBA2D43"/>
    <w:rsid w:val="2FBA306D"/>
    <w:rsid w:val="2FBA5719"/>
    <w:rsid w:val="2FBBB2D4"/>
    <w:rsid w:val="2FBD24B9"/>
    <w:rsid w:val="2FBFF72F"/>
    <w:rsid w:val="2FC2387F"/>
    <w:rsid w:val="2FC5D8A0"/>
    <w:rsid w:val="2FD70D13"/>
    <w:rsid w:val="2FE011E2"/>
    <w:rsid w:val="2FEE0616"/>
    <w:rsid w:val="2FEFBD3D"/>
    <w:rsid w:val="2FF39CA4"/>
    <w:rsid w:val="2FF3D920"/>
    <w:rsid w:val="2FFBF12D"/>
    <w:rsid w:val="2FFD345E"/>
    <w:rsid w:val="3004C4C2"/>
    <w:rsid w:val="300FCA70"/>
    <w:rsid w:val="3010746E"/>
    <w:rsid w:val="301148BE"/>
    <w:rsid w:val="301174C8"/>
    <w:rsid w:val="30136D34"/>
    <w:rsid w:val="3013ED52"/>
    <w:rsid w:val="3018A160"/>
    <w:rsid w:val="301AB38E"/>
    <w:rsid w:val="301CDDB4"/>
    <w:rsid w:val="3031E50C"/>
    <w:rsid w:val="30359AB7"/>
    <w:rsid w:val="303A4797"/>
    <w:rsid w:val="303C03D3"/>
    <w:rsid w:val="303C03D3"/>
    <w:rsid w:val="3040DAFC"/>
    <w:rsid w:val="3043FF10"/>
    <w:rsid w:val="304609A5"/>
    <w:rsid w:val="305241CA"/>
    <w:rsid w:val="3057F2BF"/>
    <w:rsid w:val="3074AD65"/>
    <w:rsid w:val="3077B81A"/>
    <w:rsid w:val="307BB677"/>
    <w:rsid w:val="307EDC3D"/>
    <w:rsid w:val="3083C925"/>
    <w:rsid w:val="3090F32B"/>
    <w:rsid w:val="30969B62"/>
    <w:rsid w:val="30A35013"/>
    <w:rsid w:val="30B2C1F4"/>
    <w:rsid w:val="30B440D3"/>
    <w:rsid w:val="30B5956B"/>
    <w:rsid w:val="30BB028A"/>
    <w:rsid w:val="30CE0091"/>
    <w:rsid w:val="30D0C4F7"/>
    <w:rsid w:val="30D21AB1"/>
    <w:rsid w:val="30D5264B"/>
    <w:rsid w:val="30D629E4"/>
    <w:rsid w:val="30D6D741"/>
    <w:rsid w:val="30EB4B9B"/>
    <w:rsid w:val="30F0D991"/>
    <w:rsid w:val="30F2C850"/>
    <w:rsid w:val="30F579A5"/>
    <w:rsid w:val="31008A6C"/>
    <w:rsid w:val="3102FD9C"/>
    <w:rsid w:val="31042366"/>
    <w:rsid w:val="310439C5"/>
    <w:rsid w:val="3109228B"/>
    <w:rsid w:val="3111B090"/>
    <w:rsid w:val="31130592"/>
    <w:rsid w:val="3118AECB"/>
    <w:rsid w:val="311E793E"/>
    <w:rsid w:val="3129466F"/>
    <w:rsid w:val="3131343F"/>
    <w:rsid w:val="313704D7"/>
    <w:rsid w:val="3139B235"/>
    <w:rsid w:val="3139B235"/>
    <w:rsid w:val="314374B5"/>
    <w:rsid w:val="314759F7"/>
    <w:rsid w:val="3150F120"/>
    <w:rsid w:val="31528673"/>
    <w:rsid w:val="3162192B"/>
    <w:rsid w:val="3165B67F"/>
    <w:rsid w:val="3165EBC0"/>
    <w:rsid w:val="317EF66C"/>
    <w:rsid w:val="31834B89"/>
    <w:rsid w:val="3187EEB4"/>
    <w:rsid w:val="31927664"/>
    <w:rsid w:val="319843D8"/>
    <w:rsid w:val="319DAC25"/>
    <w:rsid w:val="31C57EB5"/>
    <w:rsid w:val="31C5B9C0"/>
    <w:rsid w:val="31CBC064"/>
    <w:rsid w:val="31D1B1ED"/>
    <w:rsid w:val="31D64DB8"/>
    <w:rsid w:val="31DA52FE"/>
    <w:rsid w:val="31E2FDC7"/>
    <w:rsid w:val="31E5EF9E"/>
    <w:rsid w:val="31E8BFED"/>
    <w:rsid w:val="31F3BC8B"/>
    <w:rsid w:val="31F44C9A"/>
    <w:rsid w:val="31F5E569"/>
    <w:rsid w:val="31FDEBD5"/>
    <w:rsid w:val="32168425"/>
    <w:rsid w:val="321EF7DC"/>
    <w:rsid w:val="3221399D"/>
    <w:rsid w:val="322226DD"/>
    <w:rsid w:val="32276BF5"/>
    <w:rsid w:val="32287A31"/>
    <w:rsid w:val="322D6630"/>
    <w:rsid w:val="3235D826"/>
    <w:rsid w:val="3239877A"/>
    <w:rsid w:val="32422033"/>
    <w:rsid w:val="32430334"/>
    <w:rsid w:val="32446DE6"/>
    <w:rsid w:val="3244B541"/>
    <w:rsid w:val="324E5C68"/>
    <w:rsid w:val="324FF011"/>
    <w:rsid w:val="32500B09"/>
    <w:rsid w:val="3251C2AA"/>
    <w:rsid w:val="3251EFBE"/>
    <w:rsid w:val="32545A93"/>
    <w:rsid w:val="32571C35"/>
    <w:rsid w:val="3258089B"/>
    <w:rsid w:val="325C0CE2"/>
    <w:rsid w:val="325C887F"/>
    <w:rsid w:val="326DC498"/>
    <w:rsid w:val="326FBF4D"/>
    <w:rsid w:val="3276A9D3"/>
    <w:rsid w:val="327BED02"/>
    <w:rsid w:val="328077E6"/>
    <w:rsid w:val="3290468D"/>
    <w:rsid w:val="32999DBA"/>
    <w:rsid w:val="32B2F6D6"/>
    <w:rsid w:val="32B491FD"/>
    <w:rsid w:val="32C72622"/>
    <w:rsid w:val="32CAE776"/>
    <w:rsid w:val="32CDA02D"/>
    <w:rsid w:val="32D69D2F"/>
    <w:rsid w:val="32EC51F5"/>
    <w:rsid w:val="32EE0E68"/>
    <w:rsid w:val="32F2F5A2"/>
    <w:rsid w:val="32F8A9E4"/>
    <w:rsid w:val="32FEFB5B"/>
    <w:rsid w:val="330084D0"/>
    <w:rsid w:val="33062723"/>
    <w:rsid w:val="33078B2B"/>
    <w:rsid w:val="330A3A98"/>
    <w:rsid w:val="33116D6B"/>
    <w:rsid w:val="33138D33"/>
    <w:rsid w:val="3317C25C"/>
    <w:rsid w:val="3317E591"/>
    <w:rsid w:val="3317F30C"/>
    <w:rsid w:val="3319F202"/>
    <w:rsid w:val="33281149"/>
    <w:rsid w:val="332BBD3C"/>
    <w:rsid w:val="332F75BF"/>
    <w:rsid w:val="33312AC1"/>
    <w:rsid w:val="33338425"/>
    <w:rsid w:val="333C7E3C"/>
    <w:rsid w:val="333EB8DB"/>
    <w:rsid w:val="33448AA5"/>
    <w:rsid w:val="33481005"/>
    <w:rsid w:val="334D21AA"/>
    <w:rsid w:val="334EA4E2"/>
    <w:rsid w:val="3358A87A"/>
    <w:rsid w:val="335A8EF4"/>
    <w:rsid w:val="335AE763"/>
    <w:rsid w:val="336050CD"/>
    <w:rsid w:val="3360A2A5"/>
    <w:rsid w:val="336A5367"/>
    <w:rsid w:val="336D145F"/>
    <w:rsid w:val="3372AB69"/>
    <w:rsid w:val="33739098"/>
    <w:rsid w:val="337456E0"/>
    <w:rsid w:val="3381CF4D"/>
    <w:rsid w:val="3385E80E"/>
    <w:rsid w:val="339326FE"/>
    <w:rsid w:val="33A52E40"/>
    <w:rsid w:val="33A68C2B"/>
    <w:rsid w:val="33A70757"/>
    <w:rsid w:val="33B25F7A"/>
    <w:rsid w:val="33B2D4E4"/>
    <w:rsid w:val="33BD2AE0"/>
    <w:rsid w:val="33CDF542"/>
    <w:rsid w:val="33D2F432"/>
    <w:rsid w:val="33E1D5D7"/>
    <w:rsid w:val="33E22103"/>
    <w:rsid w:val="33E82E1F"/>
    <w:rsid w:val="33EBBD68"/>
    <w:rsid w:val="33EC0F8D"/>
    <w:rsid w:val="33EC6667"/>
    <w:rsid w:val="33EEFC85"/>
    <w:rsid w:val="33F62B5A"/>
    <w:rsid w:val="33FDF6BF"/>
    <w:rsid w:val="33FFC382"/>
    <w:rsid w:val="340A9F6F"/>
    <w:rsid w:val="340E8B67"/>
    <w:rsid w:val="34128EBD"/>
    <w:rsid w:val="34160D50"/>
    <w:rsid w:val="341EF107"/>
    <w:rsid w:val="3429BC19"/>
    <w:rsid w:val="342E799D"/>
    <w:rsid w:val="34315548"/>
    <w:rsid w:val="3439712E"/>
    <w:rsid w:val="344B28BD"/>
    <w:rsid w:val="344BD815"/>
    <w:rsid w:val="344F1B7D"/>
    <w:rsid w:val="344FA80A"/>
    <w:rsid w:val="345674FD"/>
    <w:rsid w:val="345ADB3B"/>
    <w:rsid w:val="345DCE09"/>
    <w:rsid w:val="346895E8"/>
    <w:rsid w:val="347C1290"/>
    <w:rsid w:val="347E7F2A"/>
    <w:rsid w:val="348325E7"/>
    <w:rsid w:val="348C3D49"/>
    <w:rsid w:val="348D6694"/>
    <w:rsid w:val="3490DC87"/>
    <w:rsid w:val="34942C65"/>
    <w:rsid w:val="349C2831"/>
    <w:rsid w:val="349E9F68"/>
    <w:rsid w:val="34A02758"/>
    <w:rsid w:val="34A4491F"/>
    <w:rsid w:val="34B06D0B"/>
    <w:rsid w:val="34CF282C"/>
    <w:rsid w:val="34D08437"/>
    <w:rsid w:val="34E08CDF"/>
    <w:rsid w:val="34E6177E"/>
    <w:rsid w:val="34E9EDE1"/>
    <w:rsid w:val="34F5CFEE"/>
    <w:rsid w:val="34FE1504"/>
    <w:rsid w:val="35004B79"/>
    <w:rsid w:val="35011A62"/>
    <w:rsid w:val="3508D3A8"/>
    <w:rsid w:val="350996B5"/>
    <w:rsid w:val="3515CB44"/>
    <w:rsid w:val="351AA9F8"/>
    <w:rsid w:val="352A15F1"/>
    <w:rsid w:val="3535B063"/>
    <w:rsid w:val="35394E33"/>
    <w:rsid w:val="35464816"/>
    <w:rsid w:val="354BDA24"/>
    <w:rsid w:val="354BF0E5"/>
    <w:rsid w:val="355A1BE8"/>
    <w:rsid w:val="355D4AB8"/>
    <w:rsid w:val="35664032"/>
    <w:rsid w:val="3566903F"/>
    <w:rsid w:val="356794A3"/>
    <w:rsid w:val="3569F21D"/>
    <w:rsid w:val="356E9C8E"/>
    <w:rsid w:val="3577D0E7"/>
    <w:rsid w:val="357980A5"/>
    <w:rsid w:val="3580D460"/>
    <w:rsid w:val="3582573D"/>
    <w:rsid w:val="3582BC99"/>
    <w:rsid w:val="35867851"/>
    <w:rsid w:val="35894F54"/>
    <w:rsid w:val="358A56A0"/>
    <w:rsid w:val="35919CBF"/>
    <w:rsid w:val="359475B7"/>
    <w:rsid w:val="359C706B"/>
    <w:rsid w:val="359DDC8F"/>
    <w:rsid w:val="359F28D6"/>
    <w:rsid w:val="35A49BFE"/>
    <w:rsid w:val="35A51E28"/>
    <w:rsid w:val="35AFC868"/>
    <w:rsid w:val="35BE3E92"/>
    <w:rsid w:val="35BE3E92"/>
    <w:rsid w:val="35BF63E7"/>
    <w:rsid w:val="35C06A3A"/>
    <w:rsid w:val="35C305BD"/>
    <w:rsid w:val="35C47764"/>
    <w:rsid w:val="35D0BE4F"/>
    <w:rsid w:val="35D0CFD0"/>
    <w:rsid w:val="35D19E8D"/>
    <w:rsid w:val="35D2454F"/>
    <w:rsid w:val="35DA30AA"/>
    <w:rsid w:val="35E01162"/>
    <w:rsid w:val="35E520A7"/>
    <w:rsid w:val="35E9EB5C"/>
    <w:rsid w:val="35ED8BA8"/>
    <w:rsid w:val="35F00E89"/>
    <w:rsid w:val="35F5C747"/>
    <w:rsid w:val="35F8382E"/>
    <w:rsid w:val="35FB80C6"/>
    <w:rsid w:val="35FE2956"/>
    <w:rsid w:val="35FEC11D"/>
    <w:rsid w:val="35FFA2B4"/>
    <w:rsid w:val="360ED18C"/>
    <w:rsid w:val="36116BF9"/>
    <w:rsid w:val="361337AF"/>
    <w:rsid w:val="3618EEE4"/>
    <w:rsid w:val="3622EE0D"/>
    <w:rsid w:val="362514AC"/>
    <w:rsid w:val="362BD841"/>
    <w:rsid w:val="363405EA"/>
    <w:rsid w:val="363622EF"/>
    <w:rsid w:val="363B074F"/>
    <w:rsid w:val="363FE6AD"/>
    <w:rsid w:val="36425EA3"/>
    <w:rsid w:val="36432281"/>
    <w:rsid w:val="364FEE60"/>
    <w:rsid w:val="365A60DF"/>
    <w:rsid w:val="3668DBDA"/>
    <w:rsid w:val="366D3326"/>
    <w:rsid w:val="366E72A3"/>
    <w:rsid w:val="3672131F"/>
    <w:rsid w:val="3673A465"/>
    <w:rsid w:val="367D3B45"/>
    <w:rsid w:val="36872773"/>
    <w:rsid w:val="368FA020"/>
    <w:rsid w:val="3693BBF7"/>
    <w:rsid w:val="36953E52"/>
    <w:rsid w:val="36976412"/>
    <w:rsid w:val="36983156"/>
    <w:rsid w:val="369C19A6"/>
    <w:rsid w:val="36A0B052"/>
    <w:rsid w:val="36A1CC97"/>
    <w:rsid w:val="36A4C151"/>
    <w:rsid w:val="36AB370D"/>
    <w:rsid w:val="36ACC306"/>
    <w:rsid w:val="36AEE823"/>
    <w:rsid w:val="36B3E0CE"/>
    <w:rsid w:val="36BE43B8"/>
    <w:rsid w:val="36BE8868"/>
    <w:rsid w:val="36BEEC4E"/>
    <w:rsid w:val="36C38C46"/>
    <w:rsid w:val="36D29FCB"/>
    <w:rsid w:val="36D373C7"/>
    <w:rsid w:val="36D64E88"/>
    <w:rsid w:val="36DA7A31"/>
    <w:rsid w:val="36E5F56B"/>
    <w:rsid w:val="36E8A199"/>
    <w:rsid w:val="36EA3FE6"/>
    <w:rsid w:val="36EBAE0E"/>
    <w:rsid w:val="36EC0AA8"/>
    <w:rsid w:val="36F9DF07"/>
    <w:rsid w:val="3701510D"/>
    <w:rsid w:val="3703B1D5"/>
    <w:rsid w:val="37048AA2"/>
    <w:rsid w:val="370F601C"/>
    <w:rsid w:val="371A647F"/>
    <w:rsid w:val="371D6375"/>
    <w:rsid w:val="37208C2F"/>
    <w:rsid w:val="37240615"/>
    <w:rsid w:val="3729B7DC"/>
    <w:rsid w:val="372BC0BC"/>
    <w:rsid w:val="37325914"/>
    <w:rsid w:val="373AC505"/>
    <w:rsid w:val="373E822E"/>
    <w:rsid w:val="374CE84D"/>
    <w:rsid w:val="374DBCD7"/>
    <w:rsid w:val="375A2593"/>
    <w:rsid w:val="3769D972"/>
    <w:rsid w:val="376FB796"/>
    <w:rsid w:val="377ACBF8"/>
    <w:rsid w:val="377C0ABC"/>
    <w:rsid w:val="37805323"/>
    <w:rsid w:val="378AEFAB"/>
    <w:rsid w:val="378CB01A"/>
    <w:rsid w:val="3791C99A"/>
    <w:rsid w:val="37928A5E"/>
    <w:rsid w:val="379D42AA"/>
    <w:rsid w:val="37A4773C"/>
    <w:rsid w:val="37A913F4"/>
    <w:rsid w:val="37AFF9ED"/>
    <w:rsid w:val="37B03ACF"/>
    <w:rsid w:val="37B8A613"/>
    <w:rsid w:val="37BA20E9"/>
    <w:rsid w:val="37BE246A"/>
    <w:rsid w:val="37CB81C0"/>
    <w:rsid w:val="37E26BEA"/>
    <w:rsid w:val="37F2BCAC"/>
    <w:rsid w:val="37F42986"/>
    <w:rsid w:val="37F64C1D"/>
    <w:rsid w:val="37F9CCCC"/>
    <w:rsid w:val="37FB46F7"/>
    <w:rsid w:val="37FDB4B4"/>
    <w:rsid w:val="38090464"/>
    <w:rsid w:val="380DDBF8"/>
    <w:rsid w:val="38143B76"/>
    <w:rsid w:val="38257585"/>
    <w:rsid w:val="3828596F"/>
    <w:rsid w:val="3834A46E"/>
    <w:rsid w:val="38392CDB"/>
    <w:rsid w:val="383BFF32"/>
    <w:rsid w:val="383DC5C0"/>
    <w:rsid w:val="384332CA"/>
    <w:rsid w:val="3843E7A2"/>
    <w:rsid w:val="3846D49F"/>
    <w:rsid w:val="384A3C9B"/>
    <w:rsid w:val="38566550"/>
    <w:rsid w:val="3858A46C"/>
    <w:rsid w:val="385B5039"/>
    <w:rsid w:val="38647D49"/>
    <w:rsid w:val="387568D4"/>
    <w:rsid w:val="387727FB"/>
    <w:rsid w:val="3878D4B1"/>
    <w:rsid w:val="38790E59"/>
    <w:rsid w:val="3879663B"/>
    <w:rsid w:val="387BE946"/>
    <w:rsid w:val="387C412D"/>
    <w:rsid w:val="387DA72D"/>
    <w:rsid w:val="38813E88"/>
    <w:rsid w:val="38818ECF"/>
    <w:rsid w:val="3897A055"/>
    <w:rsid w:val="38980808"/>
    <w:rsid w:val="38997CBD"/>
    <w:rsid w:val="389A42CB"/>
    <w:rsid w:val="38A55C0D"/>
    <w:rsid w:val="38A82374"/>
    <w:rsid w:val="38A87D39"/>
    <w:rsid w:val="38A8E206"/>
    <w:rsid w:val="38AB42B2"/>
    <w:rsid w:val="38B11E7D"/>
    <w:rsid w:val="38B8694B"/>
    <w:rsid w:val="38BAD420"/>
    <w:rsid w:val="38BB5E1C"/>
    <w:rsid w:val="38D6D214"/>
    <w:rsid w:val="38E1E442"/>
    <w:rsid w:val="38E482C5"/>
    <w:rsid w:val="38E745A9"/>
    <w:rsid w:val="38E77187"/>
    <w:rsid w:val="38F4CE9E"/>
    <w:rsid w:val="38F7594E"/>
    <w:rsid w:val="38FC25B0"/>
    <w:rsid w:val="390072EE"/>
    <w:rsid w:val="390187BD"/>
    <w:rsid w:val="39045F8C"/>
    <w:rsid w:val="39045FA2"/>
    <w:rsid w:val="39081AEE"/>
    <w:rsid w:val="390A37DA"/>
    <w:rsid w:val="391035A4"/>
    <w:rsid w:val="391362DF"/>
    <w:rsid w:val="391D5049"/>
    <w:rsid w:val="391EE398"/>
    <w:rsid w:val="39272FC6"/>
    <w:rsid w:val="392B5B17"/>
    <w:rsid w:val="392E57D9"/>
    <w:rsid w:val="392ED5EA"/>
    <w:rsid w:val="3931ECDB"/>
    <w:rsid w:val="393B30B6"/>
    <w:rsid w:val="393F8693"/>
    <w:rsid w:val="39417472"/>
    <w:rsid w:val="39443C8E"/>
    <w:rsid w:val="3947E5C4"/>
    <w:rsid w:val="395E5919"/>
    <w:rsid w:val="3963E50C"/>
    <w:rsid w:val="3965BCBB"/>
    <w:rsid w:val="396735B9"/>
    <w:rsid w:val="396FE52E"/>
    <w:rsid w:val="3974C1E5"/>
    <w:rsid w:val="39793C74"/>
    <w:rsid w:val="397FE914"/>
    <w:rsid w:val="398529D6"/>
    <w:rsid w:val="398A6CFE"/>
    <w:rsid w:val="398E2CE0"/>
    <w:rsid w:val="398E7321"/>
    <w:rsid w:val="39917555"/>
    <w:rsid w:val="39981352"/>
    <w:rsid w:val="399E7033"/>
    <w:rsid w:val="39AC7F37"/>
    <w:rsid w:val="39ACCD3B"/>
    <w:rsid w:val="39AD6CA3"/>
    <w:rsid w:val="39B03C49"/>
    <w:rsid w:val="39B0A642"/>
    <w:rsid w:val="39B9D5FD"/>
    <w:rsid w:val="39BA4812"/>
    <w:rsid w:val="39BCA0C2"/>
    <w:rsid w:val="39BE38A8"/>
    <w:rsid w:val="39BF6400"/>
    <w:rsid w:val="39C4FB62"/>
    <w:rsid w:val="39C7FAD2"/>
    <w:rsid w:val="39D366BB"/>
    <w:rsid w:val="39D5F34A"/>
    <w:rsid w:val="39DD7EFA"/>
    <w:rsid w:val="39E69A84"/>
    <w:rsid w:val="39E8B18C"/>
    <w:rsid w:val="39ED8EF4"/>
    <w:rsid w:val="39FD6788"/>
    <w:rsid w:val="39FDF3AA"/>
    <w:rsid w:val="3A0013DC"/>
    <w:rsid w:val="3A0C0E16"/>
    <w:rsid w:val="3A1ACC31"/>
    <w:rsid w:val="3A1BF404"/>
    <w:rsid w:val="3A206FDF"/>
    <w:rsid w:val="3A2E1B5B"/>
    <w:rsid w:val="3A31CE48"/>
    <w:rsid w:val="3A39AF52"/>
    <w:rsid w:val="3A3DB983"/>
    <w:rsid w:val="3A4A43AD"/>
    <w:rsid w:val="3A4B43FA"/>
    <w:rsid w:val="3A4F4BA0"/>
    <w:rsid w:val="3A52D072"/>
    <w:rsid w:val="3A557F99"/>
    <w:rsid w:val="3A598049"/>
    <w:rsid w:val="3A60E448"/>
    <w:rsid w:val="3A67F7B7"/>
    <w:rsid w:val="3A6B6469"/>
    <w:rsid w:val="3A6D210E"/>
    <w:rsid w:val="3A720B99"/>
    <w:rsid w:val="3A72F81C"/>
    <w:rsid w:val="3A7CBE6A"/>
    <w:rsid w:val="3A83FC34"/>
    <w:rsid w:val="3A8E8783"/>
    <w:rsid w:val="3A9344DF"/>
    <w:rsid w:val="3A9861CE"/>
    <w:rsid w:val="3AA3ED35"/>
    <w:rsid w:val="3AA3ED35"/>
    <w:rsid w:val="3AABCB2F"/>
    <w:rsid w:val="3AB1C713"/>
    <w:rsid w:val="3AB33241"/>
    <w:rsid w:val="3AB7B94F"/>
    <w:rsid w:val="3AB871F2"/>
    <w:rsid w:val="3ABBC262"/>
    <w:rsid w:val="3AC82CFC"/>
    <w:rsid w:val="3AC9A63A"/>
    <w:rsid w:val="3AD11943"/>
    <w:rsid w:val="3ADC937C"/>
    <w:rsid w:val="3AE07940"/>
    <w:rsid w:val="3AE542BD"/>
    <w:rsid w:val="3AE6D7BF"/>
    <w:rsid w:val="3AEC4FA1"/>
    <w:rsid w:val="3AED7CCE"/>
    <w:rsid w:val="3AF08D37"/>
    <w:rsid w:val="3AF200EA"/>
    <w:rsid w:val="3AF9BEC5"/>
    <w:rsid w:val="3AFAE379"/>
    <w:rsid w:val="3AFC4020"/>
    <w:rsid w:val="3AFE9DB2"/>
    <w:rsid w:val="3B0531D7"/>
    <w:rsid w:val="3B059DD0"/>
    <w:rsid w:val="3B06FCF2"/>
    <w:rsid w:val="3B09BD0A"/>
    <w:rsid w:val="3B0CF025"/>
    <w:rsid w:val="3B0EFF8B"/>
    <w:rsid w:val="3B0F6461"/>
    <w:rsid w:val="3B1B7920"/>
    <w:rsid w:val="3B1CB687"/>
    <w:rsid w:val="3B25E311"/>
    <w:rsid w:val="3B2E3F98"/>
    <w:rsid w:val="3B31D21C"/>
    <w:rsid w:val="3B32864E"/>
    <w:rsid w:val="3B3479B5"/>
    <w:rsid w:val="3B482CA6"/>
    <w:rsid w:val="3B5154DE"/>
    <w:rsid w:val="3B554864"/>
    <w:rsid w:val="3B5EAE91"/>
    <w:rsid w:val="3B616805"/>
    <w:rsid w:val="3B702D3C"/>
    <w:rsid w:val="3B788004"/>
    <w:rsid w:val="3B872E32"/>
    <w:rsid w:val="3B9B1B2C"/>
    <w:rsid w:val="3B9BE369"/>
    <w:rsid w:val="3BAFFC28"/>
    <w:rsid w:val="3BB6E08F"/>
    <w:rsid w:val="3BB7D7FC"/>
    <w:rsid w:val="3BBE3696"/>
    <w:rsid w:val="3BC6344A"/>
    <w:rsid w:val="3BD63B68"/>
    <w:rsid w:val="3BDA2334"/>
    <w:rsid w:val="3BDAC495"/>
    <w:rsid w:val="3BE4A143"/>
    <w:rsid w:val="3BE4C5D0"/>
    <w:rsid w:val="3BEDB76C"/>
    <w:rsid w:val="3BF21AD9"/>
    <w:rsid w:val="3BF38ED1"/>
    <w:rsid w:val="3BF50F5A"/>
    <w:rsid w:val="3BF64470"/>
    <w:rsid w:val="3BF659CC"/>
    <w:rsid w:val="3BF7980B"/>
    <w:rsid w:val="3C0B76D9"/>
    <w:rsid w:val="3C0BD7F3"/>
    <w:rsid w:val="3C0FF1E3"/>
    <w:rsid w:val="3C183150"/>
    <w:rsid w:val="3C27A5B4"/>
    <w:rsid w:val="3C29583F"/>
    <w:rsid w:val="3C2B3D6F"/>
    <w:rsid w:val="3C3195A6"/>
    <w:rsid w:val="3C436E2B"/>
    <w:rsid w:val="3C45468A"/>
    <w:rsid w:val="3C4768C3"/>
    <w:rsid w:val="3C47B5CF"/>
    <w:rsid w:val="3C4A6042"/>
    <w:rsid w:val="3C4D04F7"/>
    <w:rsid w:val="3C4E157E"/>
    <w:rsid w:val="3C4F1CDF"/>
    <w:rsid w:val="3C52197A"/>
    <w:rsid w:val="3C54DB5B"/>
    <w:rsid w:val="3C56CE55"/>
    <w:rsid w:val="3C58E3CF"/>
    <w:rsid w:val="3C5FC16D"/>
    <w:rsid w:val="3C5FD708"/>
    <w:rsid w:val="3C6310EC"/>
    <w:rsid w:val="3C64A05B"/>
    <w:rsid w:val="3C660A4E"/>
    <w:rsid w:val="3C6B0485"/>
    <w:rsid w:val="3C6F1D9F"/>
    <w:rsid w:val="3C6F8A55"/>
    <w:rsid w:val="3C71E0AC"/>
    <w:rsid w:val="3C75FB62"/>
    <w:rsid w:val="3C798B54"/>
    <w:rsid w:val="3C7D713F"/>
    <w:rsid w:val="3C7E2DD1"/>
    <w:rsid w:val="3C808B05"/>
    <w:rsid w:val="3C959195"/>
    <w:rsid w:val="3C9B7DF9"/>
    <w:rsid w:val="3CA425C5"/>
    <w:rsid w:val="3CA6A6ED"/>
    <w:rsid w:val="3CAE62A2"/>
    <w:rsid w:val="3CAEF248"/>
    <w:rsid w:val="3CB3561B"/>
    <w:rsid w:val="3CBBD126"/>
    <w:rsid w:val="3CBD0A3B"/>
    <w:rsid w:val="3CBE4602"/>
    <w:rsid w:val="3CC1CE27"/>
    <w:rsid w:val="3CC23D44"/>
    <w:rsid w:val="3CC813EF"/>
    <w:rsid w:val="3CC99EA8"/>
    <w:rsid w:val="3CDD1EF3"/>
    <w:rsid w:val="3CE0E81E"/>
    <w:rsid w:val="3CE12A0D"/>
    <w:rsid w:val="3CE1B352"/>
    <w:rsid w:val="3CE3D02B"/>
    <w:rsid w:val="3CE60ACE"/>
    <w:rsid w:val="3CEB14C0"/>
    <w:rsid w:val="3CEBC6EC"/>
    <w:rsid w:val="3CF3B442"/>
    <w:rsid w:val="3CF8E257"/>
    <w:rsid w:val="3CFB89D0"/>
    <w:rsid w:val="3D009B81"/>
    <w:rsid w:val="3D010868"/>
    <w:rsid w:val="3D07C3A6"/>
    <w:rsid w:val="3D13F78B"/>
    <w:rsid w:val="3D2842A8"/>
    <w:rsid w:val="3D2DB7D3"/>
    <w:rsid w:val="3D2DB7D3"/>
    <w:rsid w:val="3D2F3104"/>
    <w:rsid w:val="3D372D54"/>
    <w:rsid w:val="3D3805E0"/>
    <w:rsid w:val="3D38210F"/>
    <w:rsid w:val="3D3A40CE"/>
    <w:rsid w:val="3D3DE6BF"/>
    <w:rsid w:val="3D3EFA85"/>
    <w:rsid w:val="3D42ACA2"/>
    <w:rsid w:val="3D526AA5"/>
    <w:rsid w:val="3D561B29"/>
    <w:rsid w:val="3D561B29"/>
    <w:rsid w:val="3D5AB002"/>
    <w:rsid w:val="3D5C059A"/>
    <w:rsid w:val="3D64F5F6"/>
    <w:rsid w:val="3D66283F"/>
    <w:rsid w:val="3D6D9100"/>
    <w:rsid w:val="3D7062AA"/>
    <w:rsid w:val="3D711663"/>
    <w:rsid w:val="3D729937"/>
    <w:rsid w:val="3D73B113"/>
    <w:rsid w:val="3D742A4C"/>
    <w:rsid w:val="3D7529DA"/>
    <w:rsid w:val="3D7AF7D3"/>
    <w:rsid w:val="3D84677A"/>
    <w:rsid w:val="3D8D5ECE"/>
    <w:rsid w:val="3D998504"/>
    <w:rsid w:val="3DA026BB"/>
    <w:rsid w:val="3DA39197"/>
    <w:rsid w:val="3DA4D867"/>
    <w:rsid w:val="3DA5082B"/>
    <w:rsid w:val="3DB423D7"/>
    <w:rsid w:val="3DBCADD9"/>
    <w:rsid w:val="3DBD835F"/>
    <w:rsid w:val="3DBDD33E"/>
    <w:rsid w:val="3DC18702"/>
    <w:rsid w:val="3DC2321B"/>
    <w:rsid w:val="3DCBB23E"/>
    <w:rsid w:val="3DCEF6DE"/>
    <w:rsid w:val="3DCFC89A"/>
    <w:rsid w:val="3DCFC89A"/>
    <w:rsid w:val="3DD6186E"/>
    <w:rsid w:val="3DD8F1B0"/>
    <w:rsid w:val="3DDA568D"/>
    <w:rsid w:val="3DDDD930"/>
    <w:rsid w:val="3DDDD930"/>
    <w:rsid w:val="3DE1779F"/>
    <w:rsid w:val="3DE416FB"/>
    <w:rsid w:val="3DE46022"/>
    <w:rsid w:val="3DEB1ACD"/>
    <w:rsid w:val="3DEB50E9"/>
    <w:rsid w:val="3DEE6449"/>
    <w:rsid w:val="3DF30B27"/>
    <w:rsid w:val="3DF50BFA"/>
    <w:rsid w:val="3DF6ECB2"/>
    <w:rsid w:val="3DFE457C"/>
    <w:rsid w:val="3E044047"/>
    <w:rsid w:val="3E061125"/>
    <w:rsid w:val="3E0B5C9B"/>
    <w:rsid w:val="3E14B7E4"/>
    <w:rsid w:val="3E218865"/>
    <w:rsid w:val="3E25CEAF"/>
    <w:rsid w:val="3E2DBE44"/>
    <w:rsid w:val="3E330515"/>
    <w:rsid w:val="3E346288"/>
    <w:rsid w:val="3E4A4A6D"/>
    <w:rsid w:val="3E4BABD8"/>
    <w:rsid w:val="3E524E63"/>
    <w:rsid w:val="3E54923B"/>
    <w:rsid w:val="3E606F0B"/>
    <w:rsid w:val="3E643E8D"/>
    <w:rsid w:val="3E6ADFC6"/>
    <w:rsid w:val="3E6F608D"/>
    <w:rsid w:val="3E77207A"/>
    <w:rsid w:val="3E79017B"/>
    <w:rsid w:val="3E7F59BB"/>
    <w:rsid w:val="3E8008F0"/>
    <w:rsid w:val="3E833D73"/>
    <w:rsid w:val="3E838649"/>
    <w:rsid w:val="3E840E95"/>
    <w:rsid w:val="3E8A1BC7"/>
    <w:rsid w:val="3E8C5F18"/>
    <w:rsid w:val="3E8E55BB"/>
    <w:rsid w:val="3E8E80FC"/>
    <w:rsid w:val="3E923541"/>
    <w:rsid w:val="3E9446ED"/>
    <w:rsid w:val="3E9821FC"/>
    <w:rsid w:val="3E9AACDF"/>
    <w:rsid w:val="3E9B87BF"/>
    <w:rsid w:val="3E9BEBB8"/>
    <w:rsid w:val="3EA4EF2D"/>
    <w:rsid w:val="3EA9B1F2"/>
    <w:rsid w:val="3EAA53CD"/>
    <w:rsid w:val="3EAB4B03"/>
    <w:rsid w:val="3EB282F6"/>
    <w:rsid w:val="3EBD167C"/>
    <w:rsid w:val="3EBEBBAD"/>
    <w:rsid w:val="3ECD375A"/>
    <w:rsid w:val="3ECE2716"/>
    <w:rsid w:val="3ECE951C"/>
    <w:rsid w:val="3ECFEB7C"/>
    <w:rsid w:val="3ED7D445"/>
    <w:rsid w:val="3EE198A1"/>
    <w:rsid w:val="3EE6F310"/>
    <w:rsid w:val="3EED46F5"/>
    <w:rsid w:val="3EEF6293"/>
    <w:rsid w:val="3EF2BE68"/>
    <w:rsid w:val="3EF489E9"/>
    <w:rsid w:val="3EF90A91"/>
    <w:rsid w:val="3EF91623"/>
    <w:rsid w:val="3EFD19C0"/>
    <w:rsid w:val="3EFDDDF0"/>
    <w:rsid w:val="3F00C062"/>
    <w:rsid w:val="3F019653"/>
    <w:rsid w:val="3F061CF0"/>
    <w:rsid w:val="3F0873C6"/>
    <w:rsid w:val="3F121CA1"/>
    <w:rsid w:val="3F13AE01"/>
    <w:rsid w:val="3F151BE8"/>
    <w:rsid w:val="3F1689F1"/>
    <w:rsid w:val="3F17A8ED"/>
    <w:rsid w:val="3F1884DD"/>
    <w:rsid w:val="3F18A1D9"/>
    <w:rsid w:val="3F21FA10"/>
    <w:rsid w:val="3F29FAE9"/>
    <w:rsid w:val="3F2CAECD"/>
    <w:rsid w:val="3F3940F4"/>
    <w:rsid w:val="3F3A0B9D"/>
    <w:rsid w:val="3F3E096F"/>
    <w:rsid w:val="3F4510EB"/>
    <w:rsid w:val="3F4DA3E9"/>
    <w:rsid w:val="3F57E13E"/>
    <w:rsid w:val="3F5D679A"/>
    <w:rsid w:val="3F6925E2"/>
    <w:rsid w:val="3F6EE5EE"/>
    <w:rsid w:val="3F741170"/>
    <w:rsid w:val="3F779979"/>
    <w:rsid w:val="3F7D7C33"/>
    <w:rsid w:val="3F7EAA08"/>
    <w:rsid w:val="3F851C69"/>
    <w:rsid w:val="3F9FA779"/>
    <w:rsid w:val="3F9FF230"/>
    <w:rsid w:val="3FA2BC00"/>
    <w:rsid w:val="3FA31865"/>
    <w:rsid w:val="3FA36FAE"/>
    <w:rsid w:val="3FA54EE2"/>
    <w:rsid w:val="3FAF0D19"/>
    <w:rsid w:val="3FB14D05"/>
    <w:rsid w:val="3FB29F79"/>
    <w:rsid w:val="3FB386A5"/>
    <w:rsid w:val="3FBE4D18"/>
    <w:rsid w:val="3FC2D4A2"/>
    <w:rsid w:val="3FC827E4"/>
    <w:rsid w:val="3FC8A991"/>
    <w:rsid w:val="3FD07D49"/>
    <w:rsid w:val="3FD40F2E"/>
    <w:rsid w:val="3FD445D1"/>
    <w:rsid w:val="3FDEB073"/>
    <w:rsid w:val="3FE0FAAC"/>
    <w:rsid w:val="3FE6F79D"/>
    <w:rsid w:val="3FE7E731"/>
    <w:rsid w:val="3FE99DCB"/>
    <w:rsid w:val="3FEE47FB"/>
    <w:rsid w:val="3FEE8EE1"/>
    <w:rsid w:val="3FF0890A"/>
    <w:rsid w:val="3FFE02E4"/>
    <w:rsid w:val="400B67EC"/>
    <w:rsid w:val="401A7A20"/>
    <w:rsid w:val="401DF603"/>
    <w:rsid w:val="401F12DA"/>
    <w:rsid w:val="40219EAA"/>
    <w:rsid w:val="402D7108"/>
    <w:rsid w:val="4034633F"/>
    <w:rsid w:val="4036DFEF"/>
    <w:rsid w:val="403727E0"/>
    <w:rsid w:val="403837FC"/>
    <w:rsid w:val="403BD0A4"/>
    <w:rsid w:val="40401A54"/>
    <w:rsid w:val="40433819"/>
    <w:rsid w:val="4046A359"/>
    <w:rsid w:val="405549D6"/>
    <w:rsid w:val="40743A4D"/>
    <w:rsid w:val="407A7E93"/>
    <w:rsid w:val="407C3A13"/>
    <w:rsid w:val="408AECDB"/>
    <w:rsid w:val="408B04CA"/>
    <w:rsid w:val="408CFB06"/>
    <w:rsid w:val="4094274A"/>
    <w:rsid w:val="40945731"/>
    <w:rsid w:val="40982545"/>
    <w:rsid w:val="40A18B45"/>
    <w:rsid w:val="40A1C1F4"/>
    <w:rsid w:val="40A35BA7"/>
    <w:rsid w:val="40A62C92"/>
    <w:rsid w:val="40AD767A"/>
    <w:rsid w:val="40AECEC2"/>
    <w:rsid w:val="40BBB2E0"/>
    <w:rsid w:val="40BD5E79"/>
    <w:rsid w:val="40C0E59D"/>
    <w:rsid w:val="40CD4006"/>
    <w:rsid w:val="40CE28E6"/>
    <w:rsid w:val="40D3EAEB"/>
    <w:rsid w:val="40DEB29E"/>
    <w:rsid w:val="40E3E495"/>
    <w:rsid w:val="40E42AB1"/>
    <w:rsid w:val="40F1C1D1"/>
    <w:rsid w:val="40F771BE"/>
    <w:rsid w:val="4103B7BA"/>
    <w:rsid w:val="41050E3B"/>
    <w:rsid w:val="41051707"/>
    <w:rsid w:val="41063660"/>
    <w:rsid w:val="41115CFF"/>
    <w:rsid w:val="41213A77"/>
    <w:rsid w:val="4121DE2A"/>
    <w:rsid w:val="4123B213"/>
    <w:rsid w:val="412B9D8E"/>
    <w:rsid w:val="412BEAD2"/>
    <w:rsid w:val="413C2169"/>
    <w:rsid w:val="41452710"/>
    <w:rsid w:val="414B286B"/>
    <w:rsid w:val="414C45AD"/>
    <w:rsid w:val="4156BC13"/>
    <w:rsid w:val="4156F47D"/>
    <w:rsid w:val="41680AFF"/>
    <w:rsid w:val="4169AC62"/>
    <w:rsid w:val="417C836A"/>
    <w:rsid w:val="41842B6F"/>
    <w:rsid w:val="418773EE"/>
    <w:rsid w:val="4188CDA7"/>
    <w:rsid w:val="41898786"/>
    <w:rsid w:val="418D082D"/>
    <w:rsid w:val="4197E308"/>
    <w:rsid w:val="41A17B03"/>
    <w:rsid w:val="41A28326"/>
    <w:rsid w:val="41A80F3E"/>
    <w:rsid w:val="41B2CC07"/>
    <w:rsid w:val="41B90473"/>
    <w:rsid w:val="41BB7D5E"/>
    <w:rsid w:val="41BC1FFC"/>
    <w:rsid w:val="41C5AF9E"/>
    <w:rsid w:val="41C8BDBE"/>
    <w:rsid w:val="41CA9817"/>
    <w:rsid w:val="41CBE158"/>
    <w:rsid w:val="41CCF653"/>
    <w:rsid w:val="41D0F887"/>
    <w:rsid w:val="41D1700E"/>
    <w:rsid w:val="41D1DF9C"/>
    <w:rsid w:val="41D6E73D"/>
    <w:rsid w:val="41D8883A"/>
    <w:rsid w:val="41D8E8FF"/>
    <w:rsid w:val="41DD6202"/>
    <w:rsid w:val="41E9D392"/>
    <w:rsid w:val="41EDAA17"/>
    <w:rsid w:val="41EEE2F2"/>
    <w:rsid w:val="41F23240"/>
    <w:rsid w:val="41F25E49"/>
    <w:rsid w:val="41FEEB0E"/>
    <w:rsid w:val="420029A4"/>
    <w:rsid w:val="4212DFBD"/>
    <w:rsid w:val="421CFB67"/>
    <w:rsid w:val="42264856"/>
    <w:rsid w:val="422693AB"/>
    <w:rsid w:val="422A2817"/>
    <w:rsid w:val="422F2E8C"/>
    <w:rsid w:val="42319172"/>
    <w:rsid w:val="423BEDF0"/>
    <w:rsid w:val="4240BFEC"/>
    <w:rsid w:val="4241E9E8"/>
    <w:rsid w:val="42454CDF"/>
    <w:rsid w:val="4249A8BD"/>
    <w:rsid w:val="424B5B3A"/>
    <w:rsid w:val="424E96D1"/>
    <w:rsid w:val="42557E61"/>
    <w:rsid w:val="425D7F8A"/>
    <w:rsid w:val="426A2543"/>
    <w:rsid w:val="4272AD5F"/>
    <w:rsid w:val="427DDB42"/>
    <w:rsid w:val="4281EA9D"/>
    <w:rsid w:val="4285A976"/>
    <w:rsid w:val="428AE7B3"/>
    <w:rsid w:val="4290FC0F"/>
    <w:rsid w:val="4292DF21"/>
    <w:rsid w:val="42AAB184"/>
    <w:rsid w:val="42AB75AB"/>
    <w:rsid w:val="42B4EB36"/>
    <w:rsid w:val="42BD626D"/>
    <w:rsid w:val="42C2286A"/>
    <w:rsid w:val="42C308C8"/>
    <w:rsid w:val="42C358D7"/>
    <w:rsid w:val="42CC3295"/>
    <w:rsid w:val="42CD5B71"/>
    <w:rsid w:val="42CD79EF"/>
    <w:rsid w:val="42D3B24F"/>
    <w:rsid w:val="42DA8CD0"/>
    <w:rsid w:val="42DB44ED"/>
    <w:rsid w:val="42DDF610"/>
    <w:rsid w:val="42E24F8C"/>
    <w:rsid w:val="42E5BFFD"/>
    <w:rsid w:val="42E74A62"/>
    <w:rsid w:val="42F17A9D"/>
    <w:rsid w:val="42F63DD6"/>
    <w:rsid w:val="42F70070"/>
    <w:rsid w:val="430C261A"/>
    <w:rsid w:val="430F3682"/>
    <w:rsid w:val="4322F409"/>
    <w:rsid w:val="4323D4B3"/>
    <w:rsid w:val="4323ED8E"/>
    <w:rsid w:val="432F3AE7"/>
    <w:rsid w:val="4337F934"/>
    <w:rsid w:val="4349E4BD"/>
    <w:rsid w:val="435914AF"/>
    <w:rsid w:val="435F50B1"/>
    <w:rsid w:val="435FCC6B"/>
    <w:rsid w:val="43666048"/>
    <w:rsid w:val="436FF597"/>
    <w:rsid w:val="437ED927"/>
    <w:rsid w:val="437FC6F1"/>
    <w:rsid w:val="4380BA52"/>
    <w:rsid w:val="4380E959"/>
    <w:rsid w:val="438260AD"/>
    <w:rsid w:val="4383C57B"/>
    <w:rsid w:val="4389E70B"/>
    <w:rsid w:val="439B1744"/>
    <w:rsid w:val="43A15DFB"/>
    <w:rsid w:val="43A2ADEE"/>
    <w:rsid w:val="43A46640"/>
    <w:rsid w:val="43A8B365"/>
    <w:rsid w:val="43AAB4AE"/>
    <w:rsid w:val="43B3D01E"/>
    <w:rsid w:val="43B5943D"/>
    <w:rsid w:val="43B7A471"/>
    <w:rsid w:val="43BD1C20"/>
    <w:rsid w:val="43D34432"/>
    <w:rsid w:val="43D6FB35"/>
    <w:rsid w:val="43D6FB35"/>
    <w:rsid w:val="43DC5FFE"/>
    <w:rsid w:val="43E70BF4"/>
    <w:rsid w:val="43E72C84"/>
    <w:rsid w:val="43EB130F"/>
    <w:rsid w:val="43F2FBBC"/>
    <w:rsid w:val="43F73337"/>
    <w:rsid w:val="43FE4422"/>
    <w:rsid w:val="44068866"/>
    <w:rsid w:val="440D5126"/>
    <w:rsid w:val="441FB7A0"/>
    <w:rsid w:val="44213127"/>
    <w:rsid w:val="44218492"/>
    <w:rsid w:val="44276698"/>
    <w:rsid w:val="443BA8CB"/>
    <w:rsid w:val="444666E2"/>
    <w:rsid w:val="444CE2C3"/>
    <w:rsid w:val="444D1524"/>
    <w:rsid w:val="44566F4E"/>
    <w:rsid w:val="445ABFF6"/>
    <w:rsid w:val="4469D2F8"/>
    <w:rsid w:val="44749EC4"/>
    <w:rsid w:val="447549ED"/>
    <w:rsid w:val="44792D93"/>
    <w:rsid w:val="447D9745"/>
    <w:rsid w:val="448906C5"/>
    <w:rsid w:val="4490FAD6"/>
    <w:rsid w:val="4491FB71"/>
    <w:rsid w:val="4492D639"/>
    <w:rsid w:val="4492E197"/>
    <w:rsid w:val="44A750EF"/>
    <w:rsid w:val="44A93F10"/>
    <w:rsid w:val="44AC07F3"/>
    <w:rsid w:val="44B550FD"/>
    <w:rsid w:val="44B6F3F5"/>
    <w:rsid w:val="44BB26BE"/>
    <w:rsid w:val="44BE5914"/>
    <w:rsid w:val="44C79C5E"/>
    <w:rsid w:val="44CD20A3"/>
    <w:rsid w:val="44CFC4A6"/>
    <w:rsid w:val="44D238A3"/>
    <w:rsid w:val="44D7C74F"/>
    <w:rsid w:val="44DE6059"/>
    <w:rsid w:val="44F4528E"/>
    <w:rsid w:val="44F4AA1A"/>
    <w:rsid w:val="44F7B993"/>
    <w:rsid w:val="44FE9B3E"/>
    <w:rsid w:val="44FF16E3"/>
    <w:rsid w:val="450D9D6A"/>
    <w:rsid w:val="4512CD0F"/>
    <w:rsid w:val="4512DF73"/>
    <w:rsid w:val="451B3100"/>
    <w:rsid w:val="45224EAE"/>
    <w:rsid w:val="45287994"/>
    <w:rsid w:val="4529BF0E"/>
    <w:rsid w:val="4529BFC6"/>
    <w:rsid w:val="452F0FA1"/>
    <w:rsid w:val="453B32DA"/>
    <w:rsid w:val="453B56FE"/>
    <w:rsid w:val="453B98BE"/>
    <w:rsid w:val="453BFFCE"/>
    <w:rsid w:val="453C7254"/>
    <w:rsid w:val="453E0677"/>
    <w:rsid w:val="453FFD85"/>
    <w:rsid w:val="454B0768"/>
    <w:rsid w:val="454EA9B5"/>
    <w:rsid w:val="454F4105"/>
    <w:rsid w:val="4559DEBF"/>
    <w:rsid w:val="455DD542"/>
    <w:rsid w:val="455F41E3"/>
    <w:rsid w:val="4566822D"/>
    <w:rsid w:val="456ABA08"/>
    <w:rsid w:val="456F9A25"/>
    <w:rsid w:val="456FAC9E"/>
    <w:rsid w:val="4571DC26"/>
    <w:rsid w:val="45731217"/>
    <w:rsid w:val="4579D671"/>
    <w:rsid w:val="458E406F"/>
    <w:rsid w:val="459A18E9"/>
    <w:rsid w:val="45AAE41D"/>
    <w:rsid w:val="45ABF340"/>
    <w:rsid w:val="45B242DA"/>
    <w:rsid w:val="45B296F9"/>
    <w:rsid w:val="45B31D0E"/>
    <w:rsid w:val="45B63598"/>
    <w:rsid w:val="45BF36A0"/>
    <w:rsid w:val="45BFBCC2"/>
    <w:rsid w:val="45C00BA4"/>
    <w:rsid w:val="45C34D5C"/>
    <w:rsid w:val="45D6588B"/>
    <w:rsid w:val="45D6772D"/>
    <w:rsid w:val="45E39F34"/>
    <w:rsid w:val="45EB3DC9"/>
    <w:rsid w:val="45EE9DF4"/>
    <w:rsid w:val="45F08426"/>
    <w:rsid w:val="460D44FF"/>
    <w:rsid w:val="46133575"/>
    <w:rsid w:val="4619905F"/>
    <w:rsid w:val="4619905F"/>
    <w:rsid w:val="46261390"/>
    <w:rsid w:val="46274B6C"/>
    <w:rsid w:val="462752FE"/>
    <w:rsid w:val="462A743A"/>
    <w:rsid w:val="462C5EDE"/>
    <w:rsid w:val="46371810"/>
    <w:rsid w:val="463B76B0"/>
    <w:rsid w:val="46400576"/>
    <w:rsid w:val="464A178F"/>
    <w:rsid w:val="464AE36C"/>
    <w:rsid w:val="464E14FE"/>
    <w:rsid w:val="4653AC93"/>
    <w:rsid w:val="465BF49F"/>
    <w:rsid w:val="465E9F15"/>
    <w:rsid w:val="465F085D"/>
    <w:rsid w:val="466D5CFB"/>
    <w:rsid w:val="46735C33"/>
    <w:rsid w:val="467E64C5"/>
    <w:rsid w:val="4686CEEF"/>
    <w:rsid w:val="4687EA23"/>
    <w:rsid w:val="46893FC6"/>
    <w:rsid w:val="4693322F"/>
    <w:rsid w:val="4696222B"/>
    <w:rsid w:val="4699D998"/>
    <w:rsid w:val="469E203F"/>
    <w:rsid w:val="46A16460"/>
    <w:rsid w:val="46A1FC87"/>
    <w:rsid w:val="46A3A9FE"/>
    <w:rsid w:val="46A58EA6"/>
    <w:rsid w:val="46AC45DA"/>
    <w:rsid w:val="46AF0CF9"/>
    <w:rsid w:val="46B6D42C"/>
    <w:rsid w:val="46B8E96C"/>
    <w:rsid w:val="46BA7F0A"/>
    <w:rsid w:val="46BAA1E7"/>
    <w:rsid w:val="46C4098D"/>
    <w:rsid w:val="46CA08BA"/>
    <w:rsid w:val="46CD2110"/>
    <w:rsid w:val="46CFF7BC"/>
    <w:rsid w:val="46D1BDAF"/>
    <w:rsid w:val="46D27B2E"/>
    <w:rsid w:val="46D961E7"/>
    <w:rsid w:val="46DE207C"/>
    <w:rsid w:val="46E4D640"/>
    <w:rsid w:val="46E618E4"/>
    <w:rsid w:val="46EEFBC0"/>
    <w:rsid w:val="46F0930E"/>
    <w:rsid w:val="46FACC6A"/>
    <w:rsid w:val="470D758D"/>
    <w:rsid w:val="470EE4D6"/>
    <w:rsid w:val="471DF76D"/>
    <w:rsid w:val="472CE424"/>
    <w:rsid w:val="472CFECD"/>
    <w:rsid w:val="4738BF82"/>
    <w:rsid w:val="4741B284"/>
    <w:rsid w:val="4743F682"/>
    <w:rsid w:val="474A98D3"/>
    <w:rsid w:val="474CE464"/>
    <w:rsid w:val="474D8E54"/>
    <w:rsid w:val="4754B81A"/>
    <w:rsid w:val="4758182E"/>
    <w:rsid w:val="475B701B"/>
    <w:rsid w:val="475E99C0"/>
    <w:rsid w:val="4762366B"/>
    <w:rsid w:val="4762AB22"/>
    <w:rsid w:val="47784ED4"/>
    <w:rsid w:val="47799E85"/>
    <w:rsid w:val="47864D81"/>
    <w:rsid w:val="4789F322"/>
    <w:rsid w:val="478C9E4F"/>
    <w:rsid w:val="478C9EAD"/>
    <w:rsid w:val="479C6DF8"/>
    <w:rsid w:val="47AA7194"/>
    <w:rsid w:val="47ACCFE6"/>
    <w:rsid w:val="47C3F520"/>
    <w:rsid w:val="47CFD568"/>
    <w:rsid w:val="47D6DE40"/>
    <w:rsid w:val="47D7C955"/>
    <w:rsid w:val="47E1E2F8"/>
    <w:rsid w:val="47E28240"/>
    <w:rsid w:val="47E2E1B6"/>
    <w:rsid w:val="47F6CB68"/>
    <w:rsid w:val="4812089E"/>
    <w:rsid w:val="48123D5E"/>
    <w:rsid w:val="48160B47"/>
    <w:rsid w:val="48190F75"/>
    <w:rsid w:val="481A9ECE"/>
    <w:rsid w:val="481CCEAF"/>
    <w:rsid w:val="4821B92B"/>
    <w:rsid w:val="4833A21F"/>
    <w:rsid w:val="4836E439"/>
    <w:rsid w:val="483CDDCA"/>
    <w:rsid w:val="483F3B81"/>
    <w:rsid w:val="48420FB5"/>
    <w:rsid w:val="4845236C"/>
    <w:rsid w:val="484B0DB2"/>
    <w:rsid w:val="484ED8A0"/>
    <w:rsid w:val="48541752"/>
    <w:rsid w:val="4856DEC4"/>
    <w:rsid w:val="4863504E"/>
    <w:rsid w:val="486ADCFD"/>
    <w:rsid w:val="487060AB"/>
    <w:rsid w:val="48850180"/>
    <w:rsid w:val="48869EE0"/>
    <w:rsid w:val="488B8617"/>
    <w:rsid w:val="48922D94"/>
    <w:rsid w:val="48958E5B"/>
    <w:rsid w:val="4895F3D0"/>
    <w:rsid w:val="48965B91"/>
    <w:rsid w:val="48A57C77"/>
    <w:rsid w:val="48A5DB1E"/>
    <w:rsid w:val="48AB1394"/>
    <w:rsid w:val="48B3DDCA"/>
    <w:rsid w:val="48BCD399"/>
    <w:rsid w:val="48BD729F"/>
    <w:rsid w:val="48BDB2E1"/>
    <w:rsid w:val="48C4D980"/>
    <w:rsid w:val="48C81320"/>
    <w:rsid w:val="48CF4BB5"/>
    <w:rsid w:val="48D63537"/>
    <w:rsid w:val="48DF0D81"/>
    <w:rsid w:val="48E0162B"/>
    <w:rsid w:val="48E4466A"/>
    <w:rsid w:val="48E47607"/>
    <w:rsid w:val="48E74EF3"/>
    <w:rsid w:val="48F995EF"/>
    <w:rsid w:val="49016A45"/>
    <w:rsid w:val="490388DA"/>
    <w:rsid w:val="490478B9"/>
    <w:rsid w:val="49072062"/>
    <w:rsid w:val="4911E289"/>
    <w:rsid w:val="4919FCA7"/>
    <w:rsid w:val="49200280"/>
    <w:rsid w:val="493ED321"/>
    <w:rsid w:val="4948CF4D"/>
    <w:rsid w:val="494A8901"/>
    <w:rsid w:val="494E2ACA"/>
    <w:rsid w:val="494E6AA5"/>
    <w:rsid w:val="49506ADC"/>
    <w:rsid w:val="496CACCC"/>
    <w:rsid w:val="496EEF64"/>
    <w:rsid w:val="49708F06"/>
    <w:rsid w:val="4971E1D2"/>
    <w:rsid w:val="49750564"/>
    <w:rsid w:val="497666FE"/>
    <w:rsid w:val="49847CAD"/>
    <w:rsid w:val="4988B5DA"/>
    <w:rsid w:val="499648E1"/>
    <w:rsid w:val="4996673C"/>
    <w:rsid w:val="4998F491"/>
    <w:rsid w:val="49995652"/>
    <w:rsid w:val="499A09E6"/>
    <w:rsid w:val="499E7560"/>
    <w:rsid w:val="49A076A8"/>
    <w:rsid w:val="49A447DA"/>
    <w:rsid w:val="49A974B5"/>
    <w:rsid w:val="49ABA5AC"/>
    <w:rsid w:val="49BB8DC1"/>
    <w:rsid w:val="49CB16D7"/>
    <w:rsid w:val="49CC2BC6"/>
    <w:rsid w:val="49CFB563"/>
    <w:rsid w:val="49D06E44"/>
    <w:rsid w:val="49DD438A"/>
    <w:rsid w:val="49F237CD"/>
    <w:rsid w:val="49F41ED4"/>
    <w:rsid w:val="49FD3D3D"/>
    <w:rsid w:val="49FE73F6"/>
    <w:rsid w:val="4A0777E5"/>
    <w:rsid w:val="4A1577F0"/>
    <w:rsid w:val="4A188030"/>
    <w:rsid w:val="4A19A641"/>
    <w:rsid w:val="4A1D574E"/>
    <w:rsid w:val="4A2B6376"/>
    <w:rsid w:val="4A2CA544"/>
    <w:rsid w:val="4A35887A"/>
    <w:rsid w:val="4A38DF04"/>
    <w:rsid w:val="4A395DA9"/>
    <w:rsid w:val="4A3B4696"/>
    <w:rsid w:val="4A482A3E"/>
    <w:rsid w:val="4A4C17BF"/>
    <w:rsid w:val="4A4E3EAF"/>
    <w:rsid w:val="4A519DDD"/>
    <w:rsid w:val="4A52B236"/>
    <w:rsid w:val="4A58A77A"/>
    <w:rsid w:val="4A596F16"/>
    <w:rsid w:val="4A62A603"/>
    <w:rsid w:val="4A644C0C"/>
    <w:rsid w:val="4A6A82CE"/>
    <w:rsid w:val="4A6AC838"/>
    <w:rsid w:val="4A7236AC"/>
    <w:rsid w:val="4A75A7C3"/>
    <w:rsid w:val="4A77FC07"/>
    <w:rsid w:val="4A7CC35D"/>
    <w:rsid w:val="4A8412EA"/>
    <w:rsid w:val="4A86480E"/>
    <w:rsid w:val="4A87F04F"/>
    <w:rsid w:val="4A8FDB8A"/>
    <w:rsid w:val="4A91AB94"/>
    <w:rsid w:val="4A9F94B1"/>
    <w:rsid w:val="4AA29616"/>
    <w:rsid w:val="4AA4C1AC"/>
    <w:rsid w:val="4AA99078"/>
    <w:rsid w:val="4AACB90F"/>
    <w:rsid w:val="4AAD3A48"/>
    <w:rsid w:val="4AAD9002"/>
    <w:rsid w:val="4AB3FF7B"/>
    <w:rsid w:val="4AB7C2E1"/>
    <w:rsid w:val="4AC12471"/>
    <w:rsid w:val="4AC15DB0"/>
    <w:rsid w:val="4AC1ED6B"/>
    <w:rsid w:val="4AC375BA"/>
    <w:rsid w:val="4AC50632"/>
    <w:rsid w:val="4AC581F8"/>
    <w:rsid w:val="4AC79BF3"/>
    <w:rsid w:val="4AC8F685"/>
    <w:rsid w:val="4ACAA217"/>
    <w:rsid w:val="4ACE8ABE"/>
    <w:rsid w:val="4ADFF0DF"/>
    <w:rsid w:val="4AE01483"/>
    <w:rsid w:val="4AE0E756"/>
    <w:rsid w:val="4AE8669A"/>
    <w:rsid w:val="4AEE9A1C"/>
    <w:rsid w:val="4AF28A6D"/>
    <w:rsid w:val="4AF55075"/>
    <w:rsid w:val="4AF9D103"/>
    <w:rsid w:val="4AFC75F7"/>
    <w:rsid w:val="4B1750C7"/>
    <w:rsid w:val="4B1D3562"/>
    <w:rsid w:val="4B1F016D"/>
    <w:rsid w:val="4B21AD81"/>
    <w:rsid w:val="4B233FBD"/>
    <w:rsid w:val="4B250C73"/>
    <w:rsid w:val="4B262F0C"/>
    <w:rsid w:val="4B274732"/>
    <w:rsid w:val="4B28183F"/>
    <w:rsid w:val="4B2CBB8B"/>
    <w:rsid w:val="4B3D744D"/>
    <w:rsid w:val="4B3D9C2F"/>
    <w:rsid w:val="4B43658D"/>
    <w:rsid w:val="4B446E0C"/>
    <w:rsid w:val="4B4B6F66"/>
    <w:rsid w:val="4B4C0A4E"/>
    <w:rsid w:val="4B4C29A5"/>
    <w:rsid w:val="4B4F6930"/>
    <w:rsid w:val="4B54E95C"/>
    <w:rsid w:val="4B55B0C6"/>
    <w:rsid w:val="4B5BA7FB"/>
    <w:rsid w:val="4B5D104F"/>
    <w:rsid w:val="4B5F1A0D"/>
    <w:rsid w:val="4B630E5C"/>
    <w:rsid w:val="4B63CC3A"/>
    <w:rsid w:val="4B64B960"/>
    <w:rsid w:val="4B67B8D6"/>
    <w:rsid w:val="4B6A7F8A"/>
    <w:rsid w:val="4B6E1451"/>
    <w:rsid w:val="4B738C03"/>
    <w:rsid w:val="4B74D3DA"/>
    <w:rsid w:val="4B77B1D1"/>
    <w:rsid w:val="4B7DD19F"/>
    <w:rsid w:val="4B8E3B09"/>
    <w:rsid w:val="4B91BD67"/>
    <w:rsid w:val="4B9877B8"/>
    <w:rsid w:val="4B993652"/>
    <w:rsid w:val="4BA216D6"/>
    <w:rsid w:val="4BA40B77"/>
    <w:rsid w:val="4BA5E24D"/>
    <w:rsid w:val="4BAC4505"/>
    <w:rsid w:val="4BAFB29F"/>
    <w:rsid w:val="4BB6B33E"/>
    <w:rsid w:val="4BBF0B8A"/>
    <w:rsid w:val="4BC04AB8"/>
    <w:rsid w:val="4BC605D1"/>
    <w:rsid w:val="4BCF094F"/>
    <w:rsid w:val="4BCF10F5"/>
    <w:rsid w:val="4BCF2E7F"/>
    <w:rsid w:val="4BD430C1"/>
    <w:rsid w:val="4BD68D72"/>
    <w:rsid w:val="4BD9612C"/>
    <w:rsid w:val="4BE35E44"/>
    <w:rsid w:val="4BE542D5"/>
    <w:rsid w:val="4BEC1B75"/>
    <w:rsid w:val="4BEE6BAE"/>
    <w:rsid w:val="4BF76AB6"/>
    <w:rsid w:val="4C02507B"/>
    <w:rsid w:val="4C07D3BD"/>
    <w:rsid w:val="4C101790"/>
    <w:rsid w:val="4C19DCF1"/>
    <w:rsid w:val="4C21720F"/>
    <w:rsid w:val="4C2C17C8"/>
    <w:rsid w:val="4C2DBDE3"/>
    <w:rsid w:val="4C2E278A"/>
    <w:rsid w:val="4C32958A"/>
    <w:rsid w:val="4C34BDB2"/>
    <w:rsid w:val="4C3960EE"/>
    <w:rsid w:val="4C4339DF"/>
    <w:rsid w:val="4C4B21E5"/>
    <w:rsid w:val="4C52D5B8"/>
    <w:rsid w:val="4C541899"/>
    <w:rsid w:val="4C56715A"/>
    <w:rsid w:val="4C5E49EE"/>
    <w:rsid w:val="4C5F246C"/>
    <w:rsid w:val="4C63A7E0"/>
    <w:rsid w:val="4C68CC8B"/>
    <w:rsid w:val="4C740863"/>
    <w:rsid w:val="4C8A27C1"/>
    <w:rsid w:val="4CAC8E1C"/>
    <w:rsid w:val="4CB69F4E"/>
    <w:rsid w:val="4CBEA321"/>
    <w:rsid w:val="4CC8C47F"/>
    <w:rsid w:val="4CCC4BD9"/>
    <w:rsid w:val="4CCD8335"/>
    <w:rsid w:val="4CD5215F"/>
    <w:rsid w:val="4CD7B53A"/>
    <w:rsid w:val="4CDCEEFC"/>
    <w:rsid w:val="4CDE18B9"/>
    <w:rsid w:val="4CDEE0BF"/>
    <w:rsid w:val="4CE52088"/>
    <w:rsid w:val="4CE54121"/>
    <w:rsid w:val="4CEFCBC6"/>
    <w:rsid w:val="4CF13E4C"/>
    <w:rsid w:val="4CF145D8"/>
    <w:rsid w:val="4CF3E3B3"/>
    <w:rsid w:val="4CFBB1F3"/>
    <w:rsid w:val="4CFC65E8"/>
    <w:rsid w:val="4D038CBE"/>
    <w:rsid w:val="4D23967C"/>
    <w:rsid w:val="4D2EB743"/>
    <w:rsid w:val="4D342576"/>
    <w:rsid w:val="4D3942FA"/>
    <w:rsid w:val="4D3F7A2F"/>
    <w:rsid w:val="4D414589"/>
    <w:rsid w:val="4D450287"/>
    <w:rsid w:val="4D5CEDD0"/>
    <w:rsid w:val="4D60E3D1"/>
    <w:rsid w:val="4D652ECF"/>
    <w:rsid w:val="4D68AF2E"/>
    <w:rsid w:val="4D696E5F"/>
    <w:rsid w:val="4D6CB711"/>
    <w:rsid w:val="4D6F648B"/>
    <w:rsid w:val="4D6FF629"/>
    <w:rsid w:val="4D74E71E"/>
    <w:rsid w:val="4D84CC2F"/>
    <w:rsid w:val="4D8A0F91"/>
    <w:rsid w:val="4D8A534A"/>
    <w:rsid w:val="4D8B14AA"/>
    <w:rsid w:val="4D92EE91"/>
    <w:rsid w:val="4D94943C"/>
    <w:rsid w:val="4D950CDC"/>
    <w:rsid w:val="4D9AF73F"/>
    <w:rsid w:val="4DA3B87D"/>
    <w:rsid w:val="4DBD1413"/>
    <w:rsid w:val="4DBE6DB4"/>
    <w:rsid w:val="4DBE87BE"/>
    <w:rsid w:val="4DC5B620"/>
    <w:rsid w:val="4DD4E252"/>
    <w:rsid w:val="4DE8C9D6"/>
    <w:rsid w:val="4DEA1D70"/>
    <w:rsid w:val="4DEB371B"/>
    <w:rsid w:val="4DF463ED"/>
    <w:rsid w:val="4DF5BB8C"/>
    <w:rsid w:val="4DFE3EF3"/>
    <w:rsid w:val="4E04899B"/>
    <w:rsid w:val="4E05A4CD"/>
    <w:rsid w:val="4E081901"/>
    <w:rsid w:val="4E0868A3"/>
    <w:rsid w:val="4E1AC3F1"/>
    <w:rsid w:val="4E208097"/>
    <w:rsid w:val="4E2230C7"/>
    <w:rsid w:val="4E233480"/>
    <w:rsid w:val="4E282444"/>
    <w:rsid w:val="4E29B55E"/>
    <w:rsid w:val="4E2F219F"/>
    <w:rsid w:val="4E3DA530"/>
    <w:rsid w:val="4E449F90"/>
    <w:rsid w:val="4E474758"/>
    <w:rsid w:val="4E54C966"/>
    <w:rsid w:val="4E58BA23"/>
    <w:rsid w:val="4E5E8286"/>
    <w:rsid w:val="4E5F11DB"/>
    <w:rsid w:val="4E6BF0C8"/>
    <w:rsid w:val="4E7E5214"/>
    <w:rsid w:val="4E7FFFB5"/>
    <w:rsid w:val="4E8A9A3A"/>
    <w:rsid w:val="4E95A6F9"/>
    <w:rsid w:val="4E9872F8"/>
    <w:rsid w:val="4E98A19B"/>
    <w:rsid w:val="4E9A0D97"/>
    <w:rsid w:val="4EAB3E1E"/>
    <w:rsid w:val="4EB114B4"/>
    <w:rsid w:val="4EB3F0E2"/>
    <w:rsid w:val="4EB50145"/>
    <w:rsid w:val="4EC0903A"/>
    <w:rsid w:val="4ECBD59D"/>
    <w:rsid w:val="4ED15541"/>
    <w:rsid w:val="4ED2090E"/>
    <w:rsid w:val="4ED4E99D"/>
    <w:rsid w:val="4ED704C4"/>
    <w:rsid w:val="4ED8AFCB"/>
    <w:rsid w:val="4EDB3022"/>
    <w:rsid w:val="4EE054AA"/>
    <w:rsid w:val="4EE8FB44"/>
    <w:rsid w:val="4EEB3D31"/>
    <w:rsid w:val="4EEBCA3D"/>
    <w:rsid w:val="4EEE509E"/>
    <w:rsid w:val="4EEE778F"/>
    <w:rsid w:val="4EEF5828"/>
    <w:rsid w:val="4EF0D9BD"/>
    <w:rsid w:val="4EF4464C"/>
    <w:rsid w:val="4EFC81C4"/>
    <w:rsid w:val="4EFFDD51"/>
    <w:rsid w:val="4F0B7E8A"/>
    <w:rsid w:val="4F0C1F43"/>
    <w:rsid w:val="4F110DBF"/>
    <w:rsid w:val="4F11D195"/>
    <w:rsid w:val="4F12F0F0"/>
    <w:rsid w:val="4F13CDA3"/>
    <w:rsid w:val="4F14E8AB"/>
    <w:rsid w:val="4F16C958"/>
    <w:rsid w:val="4F17DA20"/>
    <w:rsid w:val="4F184DD6"/>
    <w:rsid w:val="4F1F49B0"/>
    <w:rsid w:val="4F29F634"/>
    <w:rsid w:val="4F37D8E5"/>
    <w:rsid w:val="4F3C43B1"/>
    <w:rsid w:val="4F442B9A"/>
    <w:rsid w:val="4F46EDED"/>
    <w:rsid w:val="4F4C92EF"/>
    <w:rsid w:val="4F4DA883"/>
    <w:rsid w:val="4F52D38F"/>
    <w:rsid w:val="4F561A5C"/>
    <w:rsid w:val="4F5A1664"/>
    <w:rsid w:val="4F5DD581"/>
    <w:rsid w:val="4F69EEF0"/>
    <w:rsid w:val="4F6BF750"/>
    <w:rsid w:val="4F7EB439"/>
    <w:rsid w:val="4F82126D"/>
    <w:rsid w:val="4F87C9B9"/>
    <w:rsid w:val="4F9962B2"/>
    <w:rsid w:val="4F9EAF8E"/>
    <w:rsid w:val="4F9F475E"/>
    <w:rsid w:val="4FA2CA14"/>
    <w:rsid w:val="4FA52CCE"/>
    <w:rsid w:val="4FAFBB1C"/>
    <w:rsid w:val="4FB52042"/>
    <w:rsid w:val="4FBCC7C6"/>
    <w:rsid w:val="4FBD17BF"/>
    <w:rsid w:val="4FBDFE93"/>
    <w:rsid w:val="4FC29764"/>
    <w:rsid w:val="4FC2F582"/>
    <w:rsid w:val="4FCA95F4"/>
    <w:rsid w:val="4FCEF0FC"/>
    <w:rsid w:val="4FD17DA7"/>
    <w:rsid w:val="4FE5D019"/>
    <w:rsid w:val="4FEA8C68"/>
    <w:rsid w:val="4FED0A84"/>
    <w:rsid w:val="4FF5F8F2"/>
    <w:rsid w:val="4FFA7F6A"/>
    <w:rsid w:val="4FFC4910"/>
    <w:rsid w:val="4FFC9E5C"/>
    <w:rsid w:val="4FFD0F33"/>
    <w:rsid w:val="50026B4C"/>
    <w:rsid w:val="5002A8C4"/>
    <w:rsid w:val="5005AA13"/>
    <w:rsid w:val="50093507"/>
    <w:rsid w:val="500A5D93"/>
    <w:rsid w:val="500E9477"/>
    <w:rsid w:val="50110E0F"/>
    <w:rsid w:val="50129384"/>
    <w:rsid w:val="50135B6C"/>
    <w:rsid w:val="5013E529"/>
    <w:rsid w:val="50184E8A"/>
    <w:rsid w:val="501AF9DE"/>
    <w:rsid w:val="501C9301"/>
    <w:rsid w:val="50208AFB"/>
    <w:rsid w:val="50213708"/>
    <w:rsid w:val="50244843"/>
    <w:rsid w:val="5024E45F"/>
    <w:rsid w:val="503296C6"/>
    <w:rsid w:val="5038C083"/>
    <w:rsid w:val="503AE496"/>
    <w:rsid w:val="503F5759"/>
    <w:rsid w:val="5041ACD1"/>
    <w:rsid w:val="50473304"/>
    <w:rsid w:val="5048CEFE"/>
    <w:rsid w:val="50490B88"/>
    <w:rsid w:val="504A9ABF"/>
    <w:rsid w:val="504C1D47"/>
    <w:rsid w:val="504FBA44"/>
    <w:rsid w:val="5055195F"/>
    <w:rsid w:val="505B4F52"/>
    <w:rsid w:val="505C3231"/>
    <w:rsid w:val="50651697"/>
    <w:rsid w:val="506CF483"/>
    <w:rsid w:val="50707322"/>
    <w:rsid w:val="5079EDF2"/>
    <w:rsid w:val="507D3CE7"/>
    <w:rsid w:val="5088AAB9"/>
    <w:rsid w:val="509C1458"/>
    <w:rsid w:val="50A1B148"/>
    <w:rsid w:val="50AC5085"/>
    <w:rsid w:val="50C50FCC"/>
    <w:rsid w:val="50D12D5C"/>
    <w:rsid w:val="50D1F802"/>
    <w:rsid w:val="50DD1A49"/>
    <w:rsid w:val="50DD8C54"/>
    <w:rsid w:val="50E0FBC1"/>
    <w:rsid w:val="50E6266B"/>
    <w:rsid w:val="50E63A5B"/>
    <w:rsid w:val="50E8E318"/>
    <w:rsid w:val="50F6A6AF"/>
    <w:rsid w:val="50FFEBCC"/>
    <w:rsid w:val="510AFDF7"/>
    <w:rsid w:val="512245FA"/>
    <w:rsid w:val="51243F0A"/>
    <w:rsid w:val="5126D67D"/>
    <w:rsid w:val="5127575B"/>
    <w:rsid w:val="51285870"/>
    <w:rsid w:val="512B1C38"/>
    <w:rsid w:val="512EB3BD"/>
    <w:rsid w:val="51300C00"/>
    <w:rsid w:val="5135B54F"/>
    <w:rsid w:val="5138AFFD"/>
    <w:rsid w:val="513BA03C"/>
    <w:rsid w:val="513CB819"/>
    <w:rsid w:val="513CE527"/>
    <w:rsid w:val="5148F90F"/>
    <w:rsid w:val="514A0FBF"/>
    <w:rsid w:val="515014B3"/>
    <w:rsid w:val="5153EC13"/>
    <w:rsid w:val="5154C94A"/>
    <w:rsid w:val="51572509"/>
    <w:rsid w:val="515B3D45"/>
    <w:rsid w:val="5161855C"/>
    <w:rsid w:val="5163405F"/>
    <w:rsid w:val="51711F1D"/>
    <w:rsid w:val="5175CA09"/>
    <w:rsid w:val="517645AB"/>
    <w:rsid w:val="5178A394"/>
    <w:rsid w:val="51854633"/>
    <w:rsid w:val="518A6BB7"/>
    <w:rsid w:val="519BD192"/>
    <w:rsid w:val="51A3BDB2"/>
    <w:rsid w:val="51B835E7"/>
    <w:rsid w:val="51C53C40"/>
    <w:rsid w:val="51C5529B"/>
    <w:rsid w:val="51CAC097"/>
    <w:rsid w:val="51CD12AC"/>
    <w:rsid w:val="51D1EF72"/>
    <w:rsid w:val="51D764E5"/>
    <w:rsid w:val="51D764E5"/>
    <w:rsid w:val="51E6B52E"/>
    <w:rsid w:val="51F4B9A7"/>
    <w:rsid w:val="520AF0F9"/>
    <w:rsid w:val="520B5EB3"/>
    <w:rsid w:val="520F17BC"/>
    <w:rsid w:val="5219921E"/>
    <w:rsid w:val="521CED4E"/>
    <w:rsid w:val="52211756"/>
    <w:rsid w:val="5224F1A1"/>
    <w:rsid w:val="522506C1"/>
    <w:rsid w:val="522BBC31"/>
    <w:rsid w:val="52322763"/>
    <w:rsid w:val="5234365D"/>
    <w:rsid w:val="52343EC9"/>
    <w:rsid w:val="523CF7B9"/>
    <w:rsid w:val="523D99FC"/>
    <w:rsid w:val="5241A890"/>
    <w:rsid w:val="5247E881"/>
    <w:rsid w:val="525496B6"/>
    <w:rsid w:val="5255951C"/>
    <w:rsid w:val="526703D8"/>
    <w:rsid w:val="526BF959"/>
    <w:rsid w:val="526C1270"/>
    <w:rsid w:val="526DF8EE"/>
    <w:rsid w:val="526E17D9"/>
    <w:rsid w:val="52739093"/>
    <w:rsid w:val="52760A9D"/>
    <w:rsid w:val="5279555B"/>
    <w:rsid w:val="527BC5A2"/>
    <w:rsid w:val="527D644C"/>
    <w:rsid w:val="52A6C71C"/>
    <w:rsid w:val="52A9C6EC"/>
    <w:rsid w:val="52AB94EA"/>
    <w:rsid w:val="52ABB904"/>
    <w:rsid w:val="52B46513"/>
    <w:rsid w:val="52B6311C"/>
    <w:rsid w:val="52B98F4B"/>
    <w:rsid w:val="52CA292C"/>
    <w:rsid w:val="52CFAC4E"/>
    <w:rsid w:val="52D4A4F6"/>
    <w:rsid w:val="52DFA3B5"/>
    <w:rsid w:val="52E404ED"/>
    <w:rsid w:val="52ED4332"/>
    <w:rsid w:val="52F09901"/>
    <w:rsid w:val="52FA3442"/>
    <w:rsid w:val="52FA6707"/>
    <w:rsid w:val="52FE2C02"/>
    <w:rsid w:val="52FF8279"/>
    <w:rsid w:val="530564A1"/>
    <w:rsid w:val="530A562B"/>
    <w:rsid w:val="53105B39"/>
    <w:rsid w:val="53155D49"/>
    <w:rsid w:val="5319A129"/>
    <w:rsid w:val="531AE548"/>
    <w:rsid w:val="53201C81"/>
    <w:rsid w:val="5324A3BD"/>
    <w:rsid w:val="5326E1B2"/>
    <w:rsid w:val="532EB521"/>
    <w:rsid w:val="53395884"/>
    <w:rsid w:val="534187D4"/>
    <w:rsid w:val="5346DF80"/>
    <w:rsid w:val="534C9613"/>
    <w:rsid w:val="534F63DF"/>
    <w:rsid w:val="5359EA6F"/>
    <w:rsid w:val="536BC5CA"/>
    <w:rsid w:val="5373BB3B"/>
    <w:rsid w:val="53831A95"/>
    <w:rsid w:val="5384C781"/>
    <w:rsid w:val="53850A63"/>
    <w:rsid w:val="538D0771"/>
    <w:rsid w:val="5391D64A"/>
    <w:rsid w:val="539865BB"/>
    <w:rsid w:val="53998764"/>
    <w:rsid w:val="539B5F14"/>
    <w:rsid w:val="53A245CE"/>
    <w:rsid w:val="53A81586"/>
    <w:rsid w:val="53AD614E"/>
    <w:rsid w:val="53B0751D"/>
    <w:rsid w:val="53BAAE1E"/>
    <w:rsid w:val="53BB63AE"/>
    <w:rsid w:val="53C05D4F"/>
    <w:rsid w:val="53C1C97E"/>
    <w:rsid w:val="53C8BA74"/>
    <w:rsid w:val="53C8D260"/>
    <w:rsid w:val="53D02B0C"/>
    <w:rsid w:val="53D5E751"/>
    <w:rsid w:val="53D8090A"/>
    <w:rsid w:val="53DB20D7"/>
    <w:rsid w:val="53E3C298"/>
    <w:rsid w:val="53E5689A"/>
    <w:rsid w:val="53EB44E7"/>
    <w:rsid w:val="53EED042"/>
    <w:rsid w:val="53F23BF4"/>
    <w:rsid w:val="5403EA8B"/>
    <w:rsid w:val="540AEF51"/>
    <w:rsid w:val="5411413E"/>
    <w:rsid w:val="5412AF32"/>
    <w:rsid w:val="541B1B3B"/>
    <w:rsid w:val="541FBD8F"/>
    <w:rsid w:val="541FBE33"/>
    <w:rsid w:val="542A70DA"/>
    <w:rsid w:val="542A987E"/>
    <w:rsid w:val="542D089A"/>
    <w:rsid w:val="543A705E"/>
    <w:rsid w:val="5441DEB6"/>
    <w:rsid w:val="5445583D"/>
    <w:rsid w:val="5449DF1F"/>
    <w:rsid w:val="5457C28A"/>
    <w:rsid w:val="54583F9B"/>
    <w:rsid w:val="546826BF"/>
    <w:rsid w:val="546B451C"/>
    <w:rsid w:val="546BB3E3"/>
    <w:rsid w:val="546DD712"/>
    <w:rsid w:val="5477A6E8"/>
    <w:rsid w:val="547A8E4D"/>
    <w:rsid w:val="5480A45C"/>
    <w:rsid w:val="5481DAA6"/>
    <w:rsid w:val="54827EB7"/>
    <w:rsid w:val="548375F5"/>
    <w:rsid w:val="54860DED"/>
    <w:rsid w:val="54866B8C"/>
    <w:rsid w:val="548C04D8"/>
    <w:rsid w:val="549AEB18"/>
    <w:rsid w:val="549D2C6F"/>
    <w:rsid w:val="549D7596"/>
    <w:rsid w:val="549E99B2"/>
    <w:rsid w:val="54A57C0F"/>
    <w:rsid w:val="54A63A44"/>
    <w:rsid w:val="54AC9919"/>
    <w:rsid w:val="54AD0D1B"/>
    <w:rsid w:val="54AF12E9"/>
    <w:rsid w:val="54B99BC4"/>
    <w:rsid w:val="54B9D161"/>
    <w:rsid w:val="54C04192"/>
    <w:rsid w:val="54CA6D58"/>
    <w:rsid w:val="54D41A03"/>
    <w:rsid w:val="54D590C7"/>
    <w:rsid w:val="54D5EF3C"/>
    <w:rsid w:val="54DB5E9A"/>
    <w:rsid w:val="54E0DF7B"/>
    <w:rsid w:val="54E4ED8C"/>
    <w:rsid w:val="54F22356"/>
    <w:rsid w:val="54F396D9"/>
    <w:rsid w:val="54F6AC14"/>
    <w:rsid w:val="54F7D70D"/>
    <w:rsid w:val="550042D1"/>
    <w:rsid w:val="55047836"/>
    <w:rsid w:val="5504FF14"/>
    <w:rsid w:val="5507390D"/>
    <w:rsid w:val="551471DF"/>
    <w:rsid w:val="5517EEE3"/>
    <w:rsid w:val="551B7E06"/>
    <w:rsid w:val="551FD625"/>
    <w:rsid w:val="55211492"/>
    <w:rsid w:val="5521ACF3"/>
    <w:rsid w:val="55222DB9"/>
    <w:rsid w:val="55261280"/>
    <w:rsid w:val="55270C67"/>
    <w:rsid w:val="55291898"/>
    <w:rsid w:val="552E10A0"/>
    <w:rsid w:val="55339805"/>
    <w:rsid w:val="553860C9"/>
    <w:rsid w:val="553B0C2F"/>
    <w:rsid w:val="553F2DE9"/>
    <w:rsid w:val="5540E2A5"/>
    <w:rsid w:val="5543010E"/>
    <w:rsid w:val="5544B849"/>
    <w:rsid w:val="5546CADC"/>
    <w:rsid w:val="554D4BD7"/>
    <w:rsid w:val="555F2BD9"/>
    <w:rsid w:val="55687187"/>
    <w:rsid w:val="5568D319"/>
    <w:rsid w:val="55694A91"/>
    <w:rsid w:val="5570F546"/>
    <w:rsid w:val="55763D33"/>
    <w:rsid w:val="5578D631"/>
    <w:rsid w:val="557A75BD"/>
    <w:rsid w:val="557B12BF"/>
    <w:rsid w:val="5588AF13"/>
    <w:rsid w:val="558A28C0"/>
    <w:rsid w:val="5595118B"/>
    <w:rsid w:val="55A2061B"/>
    <w:rsid w:val="55A6DBA3"/>
    <w:rsid w:val="55B082BE"/>
    <w:rsid w:val="55B83640"/>
    <w:rsid w:val="55B9DA5A"/>
    <w:rsid w:val="55BAE0BA"/>
    <w:rsid w:val="55D2AE47"/>
    <w:rsid w:val="55DDB0AB"/>
    <w:rsid w:val="55E702B3"/>
    <w:rsid w:val="55ECB9F8"/>
    <w:rsid w:val="55F10B7B"/>
    <w:rsid w:val="55F31D8B"/>
    <w:rsid w:val="55FD9375"/>
    <w:rsid w:val="5600B71C"/>
    <w:rsid w:val="56029FF3"/>
    <w:rsid w:val="56035CD4"/>
    <w:rsid w:val="560622CF"/>
    <w:rsid w:val="560D99BF"/>
    <w:rsid w:val="560E09C8"/>
    <w:rsid w:val="560E8055"/>
    <w:rsid w:val="561691B0"/>
    <w:rsid w:val="561B07E7"/>
    <w:rsid w:val="56298A27"/>
    <w:rsid w:val="562E6662"/>
    <w:rsid w:val="56307341"/>
    <w:rsid w:val="563C7415"/>
    <w:rsid w:val="5640853D"/>
    <w:rsid w:val="564A741C"/>
    <w:rsid w:val="5650D317"/>
    <w:rsid w:val="56524117"/>
    <w:rsid w:val="56591BF3"/>
    <w:rsid w:val="5668968B"/>
    <w:rsid w:val="566A2385"/>
    <w:rsid w:val="567655F5"/>
    <w:rsid w:val="5677F984"/>
    <w:rsid w:val="5683E8F3"/>
    <w:rsid w:val="5689CB44"/>
    <w:rsid w:val="569A5B66"/>
    <w:rsid w:val="56A92891"/>
    <w:rsid w:val="56B665BF"/>
    <w:rsid w:val="56BA1F7D"/>
    <w:rsid w:val="56BBBDC9"/>
    <w:rsid w:val="56BC371E"/>
    <w:rsid w:val="56BD63AF"/>
    <w:rsid w:val="56C2A97F"/>
    <w:rsid w:val="56D23455"/>
    <w:rsid w:val="56DBC407"/>
    <w:rsid w:val="56DC1BAC"/>
    <w:rsid w:val="56F96070"/>
    <w:rsid w:val="56FB0FE6"/>
    <w:rsid w:val="56FEEF1E"/>
    <w:rsid w:val="5709CB61"/>
    <w:rsid w:val="5711242E"/>
    <w:rsid w:val="57124BE2"/>
    <w:rsid w:val="57174345"/>
    <w:rsid w:val="571F31DC"/>
    <w:rsid w:val="5722A74A"/>
    <w:rsid w:val="57261036"/>
    <w:rsid w:val="572750F5"/>
    <w:rsid w:val="57317F40"/>
    <w:rsid w:val="57415F22"/>
    <w:rsid w:val="57432257"/>
    <w:rsid w:val="574481EF"/>
    <w:rsid w:val="574773B9"/>
    <w:rsid w:val="574901DE"/>
    <w:rsid w:val="574DA3FA"/>
    <w:rsid w:val="57517327"/>
    <w:rsid w:val="57565B31"/>
    <w:rsid w:val="5756AD57"/>
    <w:rsid w:val="575853B7"/>
    <w:rsid w:val="575C1259"/>
    <w:rsid w:val="576B1B72"/>
    <w:rsid w:val="576EB17B"/>
    <w:rsid w:val="577D7AB6"/>
    <w:rsid w:val="5782C1A0"/>
    <w:rsid w:val="5789FD4F"/>
    <w:rsid w:val="57A022A2"/>
    <w:rsid w:val="57A4FBB5"/>
    <w:rsid w:val="57A5F935"/>
    <w:rsid w:val="57A87107"/>
    <w:rsid w:val="57A8CEEB"/>
    <w:rsid w:val="57ACA935"/>
    <w:rsid w:val="57AF4794"/>
    <w:rsid w:val="57BA58A4"/>
    <w:rsid w:val="57BA80FE"/>
    <w:rsid w:val="57BB0C17"/>
    <w:rsid w:val="57C65767"/>
    <w:rsid w:val="57C660F9"/>
    <w:rsid w:val="57C80FC4"/>
    <w:rsid w:val="57C9E9E2"/>
    <w:rsid w:val="57D23E5E"/>
    <w:rsid w:val="57D31267"/>
    <w:rsid w:val="57D7F970"/>
    <w:rsid w:val="57DDF493"/>
    <w:rsid w:val="57FB3181"/>
    <w:rsid w:val="57FC8604"/>
    <w:rsid w:val="57FD4E25"/>
    <w:rsid w:val="5804BDA8"/>
    <w:rsid w:val="5805C1E6"/>
    <w:rsid w:val="580EE931"/>
    <w:rsid w:val="581177B8"/>
    <w:rsid w:val="5812065A"/>
    <w:rsid w:val="581A6D9C"/>
    <w:rsid w:val="58279FB4"/>
    <w:rsid w:val="582FA5B5"/>
    <w:rsid w:val="5832F3D8"/>
    <w:rsid w:val="58330F4C"/>
    <w:rsid w:val="58349217"/>
    <w:rsid w:val="58391DA2"/>
    <w:rsid w:val="583DD9FC"/>
    <w:rsid w:val="58405B61"/>
    <w:rsid w:val="584F2C68"/>
    <w:rsid w:val="585086E8"/>
    <w:rsid w:val="58692203"/>
    <w:rsid w:val="587D34BD"/>
    <w:rsid w:val="587D856B"/>
    <w:rsid w:val="587FE4C7"/>
    <w:rsid w:val="58819583"/>
    <w:rsid w:val="5887C75C"/>
    <w:rsid w:val="58910C57"/>
    <w:rsid w:val="58918547"/>
    <w:rsid w:val="58964194"/>
    <w:rsid w:val="58A29B29"/>
    <w:rsid w:val="58A67715"/>
    <w:rsid w:val="58A84CC3"/>
    <w:rsid w:val="58AB91E6"/>
    <w:rsid w:val="58B01A62"/>
    <w:rsid w:val="58B9BC12"/>
    <w:rsid w:val="58BBDE81"/>
    <w:rsid w:val="58BC07B2"/>
    <w:rsid w:val="58BED3F9"/>
    <w:rsid w:val="58C0BED1"/>
    <w:rsid w:val="58C30001"/>
    <w:rsid w:val="58C44A94"/>
    <w:rsid w:val="58CCAABF"/>
    <w:rsid w:val="58D30DC7"/>
    <w:rsid w:val="58DD0160"/>
    <w:rsid w:val="58DDBF24"/>
    <w:rsid w:val="58DFA71F"/>
    <w:rsid w:val="58E5002E"/>
    <w:rsid w:val="58E7472B"/>
    <w:rsid w:val="58E93EAE"/>
    <w:rsid w:val="58F3F95C"/>
    <w:rsid w:val="58F76F32"/>
    <w:rsid w:val="58F81FEB"/>
    <w:rsid w:val="59087537"/>
    <w:rsid w:val="590F453B"/>
    <w:rsid w:val="59116DD1"/>
    <w:rsid w:val="59117CCD"/>
    <w:rsid w:val="5917F21D"/>
    <w:rsid w:val="5926E67B"/>
    <w:rsid w:val="59293EBE"/>
    <w:rsid w:val="5931023C"/>
    <w:rsid w:val="5934388C"/>
    <w:rsid w:val="59388C3C"/>
    <w:rsid w:val="593E5BBB"/>
    <w:rsid w:val="593E9359"/>
    <w:rsid w:val="593F5907"/>
    <w:rsid w:val="5945214D"/>
    <w:rsid w:val="594DA2F0"/>
    <w:rsid w:val="5951AB9B"/>
    <w:rsid w:val="595802D4"/>
    <w:rsid w:val="59601E2F"/>
    <w:rsid w:val="5962E442"/>
    <w:rsid w:val="596382DE"/>
    <w:rsid w:val="5963B04E"/>
    <w:rsid w:val="59642BDC"/>
    <w:rsid w:val="59652C4E"/>
    <w:rsid w:val="596A7ACB"/>
    <w:rsid w:val="596D9973"/>
    <w:rsid w:val="596F7344"/>
    <w:rsid w:val="59793896"/>
    <w:rsid w:val="59806FD5"/>
    <w:rsid w:val="599519D8"/>
    <w:rsid w:val="5995EDF1"/>
    <w:rsid w:val="59A0324C"/>
    <w:rsid w:val="59B81A19"/>
    <w:rsid w:val="59BE9E43"/>
    <w:rsid w:val="59CEB0A4"/>
    <w:rsid w:val="59CF2CD3"/>
    <w:rsid w:val="59D8FE61"/>
    <w:rsid w:val="59DA3BE8"/>
    <w:rsid w:val="59DEC7A7"/>
    <w:rsid w:val="59ECB40B"/>
    <w:rsid w:val="59EDD8F6"/>
    <w:rsid w:val="59F4D9CA"/>
    <w:rsid w:val="59FC1F68"/>
    <w:rsid w:val="5A00F811"/>
    <w:rsid w:val="5A011748"/>
    <w:rsid w:val="5A027A4F"/>
    <w:rsid w:val="5A07EF4F"/>
    <w:rsid w:val="5A080A38"/>
    <w:rsid w:val="5A147E7F"/>
    <w:rsid w:val="5A1932EC"/>
    <w:rsid w:val="5A1C7562"/>
    <w:rsid w:val="5A203A28"/>
    <w:rsid w:val="5A23BD8F"/>
    <w:rsid w:val="5A24CE33"/>
    <w:rsid w:val="5A2DB255"/>
    <w:rsid w:val="5A2F83E0"/>
    <w:rsid w:val="5A33F629"/>
    <w:rsid w:val="5A35FFCA"/>
    <w:rsid w:val="5A39C053"/>
    <w:rsid w:val="5A39F91E"/>
    <w:rsid w:val="5A3D7CE0"/>
    <w:rsid w:val="5A3FC88B"/>
    <w:rsid w:val="5A4FDF34"/>
    <w:rsid w:val="5A50A0C7"/>
    <w:rsid w:val="5A51EF74"/>
    <w:rsid w:val="5A5452A2"/>
    <w:rsid w:val="5A5CDEF1"/>
    <w:rsid w:val="5A77DD6A"/>
    <w:rsid w:val="5A836329"/>
    <w:rsid w:val="5A83C7C5"/>
    <w:rsid w:val="5A85E970"/>
    <w:rsid w:val="5A872C88"/>
    <w:rsid w:val="5A89DE6C"/>
    <w:rsid w:val="5A94775F"/>
    <w:rsid w:val="5A9EE249"/>
    <w:rsid w:val="5A9F6DC8"/>
    <w:rsid w:val="5AA18D75"/>
    <w:rsid w:val="5AA2DC19"/>
    <w:rsid w:val="5AA610DE"/>
    <w:rsid w:val="5AA6BFF1"/>
    <w:rsid w:val="5AB72BC8"/>
    <w:rsid w:val="5ABB39DB"/>
    <w:rsid w:val="5ABC14A8"/>
    <w:rsid w:val="5ABCB1E5"/>
    <w:rsid w:val="5ABE6405"/>
    <w:rsid w:val="5ABF2F9C"/>
    <w:rsid w:val="5AC83DF0"/>
    <w:rsid w:val="5AC9F9E4"/>
    <w:rsid w:val="5AD18D44"/>
    <w:rsid w:val="5AD672A1"/>
    <w:rsid w:val="5AD68AF1"/>
    <w:rsid w:val="5AD7E262"/>
    <w:rsid w:val="5AD88098"/>
    <w:rsid w:val="5AD8CF3D"/>
    <w:rsid w:val="5ADD32D5"/>
    <w:rsid w:val="5AEA230E"/>
    <w:rsid w:val="5AED7EB6"/>
    <w:rsid w:val="5AF2A95A"/>
    <w:rsid w:val="5AFFAA51"/>
    <w:rsid w:val="5B07D51D"/>
    <w:rsid w:val="5B0CF47D"/>
    <w:rsid w:val="5B10E87A"/>
    <w:rsid w:val="5B18934D"/>
    <w:rsid w:val="5B1A9CD7"/>
    <w:rsid w:val="5B1DF7CA"/>
    <w:rsid w:val="5B22864F"/>
    <w:rsid w:val="5B241E0F"/>
    <w:rsid w:val="5B242AB4"/>
    <w:rsid w:val="5B26F201"/>
    <w:rsid w:val="5B2ACDE5"/>
    <w:rsid w:val="5B2B69DB"/>
    <w:rsid w:val="5B2F65F0"/>
    <w:rsid w:val="5B31FFC9"/>
    <w:rsid w:val="5B325C13"/>
    <w:rsid w:val="5B359C30"/>
    <w:rsid w:val="5B35DE78"/>
    <w:rsid w:val="5B380689"/>
    <w:rsid w:val="5B38BE9F"/>
    <w:rsid w:val="5B3B9D2D"/>
    <w:rsid w:val="5B3BFB0F"/>
    <w:rsid w:val="5B408EC8"/>
    <w:rsid w:val="5B522BC7"/>
    <w:rsid w:val="5B5BE1AD"/>
    <w:rsid w:val="5B66C8D7"/>
    <w:rsid w:val="5B68DB4C"/>
    <w:rsid w:val="5B7486D9"/>
    <w:rsid w:val="5B78C976"/>
    <w:rsid w:val="5B88EFBF"/>
    <w:rsid w:val="5B9073B1"/>
    <w:rsid w:val="5B9218D3"/>
    <w:rsid w:val="5B9AA4CB"/>
    <w:rsid w:val="5BA053EC"/>
    <w:rsid w:val="5BA9AEE1"/>
    <w:rsid w:val="5BAD42BA"/>
    <w:rsid w:val="5BAD8253"/>
    <w:rsid w:val="5BB20AF8"/>
    <w:rsid w:val="5BB661DE"/>
    <w:rsid w:val="5BB6A027"/>
    <w:rsid w:val="5BBC0F60"/>
    <w:rsid w:val="5BBE1621"/>
    <w:rsid w:val="5BC6CE79"/>
    <w:rsid w:val="5BC98B4F"/>
    <w:rsid w:val="5BCAAE93"/>
    <w:rsid w:val="5BCAED84"/>
    <w:rsid w:val="5BD99367"/>
    <w:rsid w:val="5BD9ABD2"/>
    <w:rsid w:val="5BD9F608"/>
    <w:rsid w:val="5BDE5859"/>
    <w:rsid w:val="5BE2CE66"/>
    <w:rsid w:val="5BEACE4C"/>
    <w:rsid w:val="5BEF0EB6"/>
    <w:rsid w:val="5BF58BCB"/>
    <w:rsid w:val="5C004DDA"/>
    <w:rsid w:val="5C22ECF9"/>
    <w:rsid w:val="5C317618"/>
    <w:rsid w:val="5C392C20"/>
    <w:rsid w:val="5C3BAB6C"/>
    <w:rsid w:val="5C3E5C4E"/>
    <w:rsid w:val="5C3F548A"/>
    <w:rsid w:val="5C419AC6"/>
    <w:rsid w:val="5C42724F"/>
    <w:rsid w:val="5C436386"/>
    <w:rsid w:val="5C4DF183"/>
    <w:rsid w:val="5C4E83DE"/>
    <w:rsid w:val="5C5603DE"/>
    <w:rsid w:val="5C594AD9"/>
    <w:rsid w:val="5C6113D7"/>
    <w:rsid w:val="5C65CB99"/>
    <w:rsid w:val="5C689820"/>
    <w:rsid w:val="5C689820"/>
    <w:rsid w:val="5C6FEE15"/>
    <w:rsid w:val="5C737FED"/>
    <w:rsid w:val="5C86DA5A"/>
    <w:rsid w:val="5C8D1F8C"/>
    <w:rsid w:val="5C8DE61E"/>
    <w:rsid w:val="5C924273"/>
    <w:rsid w:val="5CA025D0"/>
    <w:rsid w:val="5CA8CE5D"/>
    <w:rsid w:val="5CAE16BC"/>
    <w:rsid w:val="5CAE3A6B"/>
    <w:rsid w:val="5CB533EC"/>
    <w:rsid w:val="5CB8DDE6"/>
    <w:rsid w:val="5CB938FA"/>
    <w:rsid w:val="5CBE865E"/>
    <w:rsid w:val="5CC0E81C"/>
    <w:rsid w:val="5CC14716"/>
    <w:rsid w:val="5CC759D4"/>
    <w:rsid w:val="5CC99F43"/>
    <w:rsid w:val="5CD90C81"/>
    <w:rsid w:val="5CDE2A19"/>
    <w:rsid w:val="5CE2FF09"/>
    <w:rsid w:val="5CEB0F5E"/>
    <w:rsid w:val="5CEB0F5E"/>
    <w:rsid w:val="5CF45C9E"/>
    <w:rsid w:val="5CF89C27"/>
    <w:rsid w:val="5D00A1A6"/>
    <w:rsid w:val="5D076F09"/>
    <w:rsid w:val="5D07B1D6"/>
    <w:rsid w:val="5D15F691"/>
    <w:rsid w:val="5D24E1E2"/>
    <w:rsid w:val="5D2617A1"/>
    <w:rsid w:val="5D2896E6"/>
    <w:rsid w:val="5D383F1F"/>
    <w:rsid w:val="5D3B6DC5"/>
    <w:rsid w:val="5D3D7C23"/>
    <w:rsid w:val="5D4FFFDE"/>
    <w:rsid w:val="5D54804D"/>
    <w:rsid w:val="5D5950BE"/>
    <w:rsid w:val="5D5C9828"/>
    <w:rsid w:val="5D5DCCA0"/>
    <w:rsid w:val="5D60D20B"/>
    <w:rsid w:val="5D613EFB"/>
    <w:rsid w:val="5D61CB71"/>
    <w:rsid w:val="5D61DCFC"/>
    <w:rsid w:val="5D6AD39B"/>
    <w:rsid w:val="5D6D3321"/>
    <w:rsid w:val="5D6F7A1D"/>
    <w:rsid w:val="5D78DF59"/>
    <w:rsid w:val="5D798E5B"/>
    <w:rsid w:val="5D7D21BB"/>
    <w:rsid w:val="5D86F928"/>
    <w:rsid w:val="5D94CF39"/>
    <w:rsid w:val="5D979563"/>
    <w:rsid w:val="5D9C0B8F"/>
    <w:rsid w:val="5D9F715D"/>
    <w:rsid w:val="5DAC58C2"/>
    <w:rsid w:val="5DAD6FD9"/>
    <w:rsid w:val="5DB995F7"/>
    <w:rsid w:val="5DBA2D58"/>
    <w:rsid w:val="5DCD769F"/>
    <w:rsid w:val="5DD05135"/>
    <w:rsid w:val="5DD5DCB0"/>
    <w:rsid w:val="5DD74E17"/>
    <w:rsid w:val="5DDD3543"/>
    <w:rsid w:val="5DE2A6E9"/>
    <w:rsid w:val="5DE30E6C"/>
    <w:rsid w:val="5DE93106"/>
    <w:rsid w:val="5DE9A30E"/>
    <w:rsid w:val="5DEDAC78"/>
    <w:rsid w:val="5DF464CA"/>
    <w:rsid w:val="5DF84B15"/>
    <w:rsid w:val="5E008961"/>
    <w:rsid w:val="5E0487B2"/>
    <w:rsid w:val="5E0827E6"/>
    <w:rsid w:val="5E0B9CD5"/>
    <w:rsid w:val="5E11E92E"/>
    <w:rsid w:val="5E1C75A9"/>
    <w:rsid w:val="5E1E61C3"/>
    <w:rsid w:val="5E27FD7C"/>
    <w:rsid w:val="5E2A0F49"/>
    <w:rsid w:val="5E3057E1"/>
    <w:rsid w:val="5E311B69"/>
    <w:rsid w:val="5E3DC903"/>
    <w:rsid w:val="5E46FBEC"/>
    <w:rsid w:val="5E4B35E3"/>
    <w:rsid w:val="5E520EFD"/>
    <w:rsid w:val="5E5830D6"/>
    <w:rsid w:val="5E611EB4"/>
    <w:rsid w:val="5E615EBD"/>
    <w:rsid w:val="5E624610"/>
    <w:rsid w:val="5E63EDFF"/>
    <w:rsid w:val="5E641CC7"/>
    <w:rsid w:val="5E6845F5"/>
    <w:rsid w:val="5E700E4B"/>
    <w:rsid w:val="5E7125B9"/>
    <w:rsid w:val="5E788C07"/>
    <w:rsid w:val="5E7A4E8C"/>
    <w:rsid w:val="5E7AFA68"/>
    <w:rsid w:val="5E823262"/>
    <w:rsid w:val="5E8446DB"/>
    <w:rsid w:val="5E8A1C72"/>
    <w:rsid w:val="5E8A88AF"/>
    <w:rsid w:val="5E8BF6DA"/>
    <w:rsid w:val="5E8C9415"/>
    <w:rsid w:val="5E8CF966"/>
    <w:rsid w:val="5E8F65B4"/>
    <w:rsid w:val="5E90D8C2"/>
    <w:rsid w:val="5EAA12D3"/>
    <w:rsid w:val="5EAA934B"/>
    <w:rsid w:val="5EAC700B"/>
    <w:rsid w:val="5EAC8B6F"/>
    <w:rsid w:val="5EB868A9"/>
    <w:rsid w:val="5EBA91E6"/>
    <w:rsid w:val="5EBBB87D"/>
    <w:rsid w:val="5EBBD065"/>
    <w:rsid w:val="5EC73FA6"/>
    <w:rsid w:val="5ECE6D94"/>
    <w:rsid w:val="5ED2976C"/>
    <w:rsid w:val="5EE00E62"/>
    <w:rsid w:val="5EE04740"/>
    <w:rsid w:val="5EE286BD"/>
    <w:rsid w:val="5EE538FB"/>
    <w:rsid w:val="5EE8838E"/>
    <w:rsid w:val="5EEA1EB8"/>
    <w:rsid w:val="5EEC7E26"/>
    <w:rsid w:val="5EEDA75D"/>
    <w:rsid w:val="5EF0C282"/>
    <w:rsid w:val="5EF395E7"/>
    <w:rsid w:val="5EF6E877"/>
    <w:rsid w:val="5EFB2980"/>
    <w:rsid w:val="5F00A63B"/>
    <w:rsid w:val="5F06CCD7"/>
    <w:rsid w:val="5F08F1D7"/>
    <w:rsid w:val="5F0AC791"/>
    <w:rsid w:val="5F18DC83"/>
    <w:rsid w:val="5F25AD04"/>
    <w:rsid w:val="5F261325"/>
    <w:rsid w:val="5F2D026F"/>
    <w:rsid w:val="5F2FB208"/>
    <w:rsid w:val="5F333FF8"/>
    <w:rsid w:val="5F366419"/>
    <w:rsid w:val="5F389A2F"/>
    <w:rsid w:val="5F3BF6AA"/>
    <w:rsid w:val="5F407376"/>
    <w:rsid w:val="5F488C72"/>
    <w:rsid w:val="5F49813B"/>
    <w:rsid w:val="5F5F7395"/>
    <w:rsid w:val="5F606485"/>
    <w:rsid w:val="5F61DAD1"/>
    <w:rsid w:val="5F671D10"/>
    <w:rsid w:val="5F68C033"/>
    <w:rsid w:val="5F6C3EDA"/>
    <w:rsid w:val="5F7C9624"/>
    <w:rsid w:val="5F823303"/>
    <w:rsid w:val="5F8D0F93"/>
    <w:rsid w:val="5F905284"/>
    <w:rsid w:val="5F90EFC2"/>
    <w:rsid w:val="5F96B0C3"/>
    <w:rsid w:val="5F9CEA99"/>
    <w:rsid w:val="5F9EFA79"/>
    <w:rsid w:val="5FAD2762"/>
    <w:rsid w:val="5FB2ED0F"/>
    <w:rsid w:val="5FB36E87"/>
    <w:rsid w:val="5FBB43B2"/>
    <w:rsid w:val="5FBF951D"/>
    <w:rsid w:val="5FC55F59"/>
    <w:rsid w:val="5FC7E429"/>
    <w:rsid w:val="5FC8FED7"/>
    <w:rsid w:val="5FCEA23B"/>
    <w:rsid w:val="5FD7A233"/>
    <w:rsid w:val="5FD80F91"/>
    <w:rsid w:val="5FDB45F2"/>
    <w:rsid w:val="5FDDD7A9"/>
    <w:rsid w:val="5FE01791"/>
    <w:rsid w:val="5FE9D7B0"/>
    <w:rsid w:val="5FED3BC5"/>
    <w:rsid w:val="5FF0D8C1"/>
    <w:rsid w:val="5FF0F929"/>
    <w:rsid w:val="5FF5EB86"/>
    <w:rsid w:val="600A287B"/>
    <w:rsid w:val="60183377"/>
    <w:rsid w:val="60185D50"/>
    <w:rsid w:val="601BF22E"/>
    <w:rsid w:val="601CFF41"/>
    <w:rsid w:val="60200211"/>
    <w:rsid w:val="60268E7D"/>
    <w:rsid w:val="60268E7D"/>
    <w:rsid w:val="6027549B"/>
    <w:rsid w:val="602B9BAE"/>
    <w:rsid w:val="6037F99F"/>
    <w:rsid w:val="603C2C56"/>
    <w:rsid w:val="60409B87"/>
    <w:rsid w:val="604BF9FC"/>
    <w:rsid w:val="604C668B"/>
    <w:rsid w:val="6052A2C8"/>
    <w:rsid w:val="60545D7B"/>
    <w:rsid w:val="6056D29E"/>
    <w:rsid w:val="60597CE6"/>
    <w:rsid w:val="605CFF83"/>
    <w:rsid w:val="6074F35E"/>
    <w:rsid w:val="6078FCCB"/>
    <w:rsid w:val="607A3D16"/>
    <w:rsid w:val="607E251B"/>
    <w:rsid w:val="607FF4BF"/>
    <w:rsid w:val="6082CEAD"/>
    <w:rsid w:val="6094EBDC"/>
    <w:rsid w:val="609EF717"/>
    <w:rsid w:val="609F222C"/>
    <w:rsid w:val="60A39C32"/>
    <w:rsid w:val="60A3BF8E"/>
    <w:rsid w:val="60A4F1F5"/>
    <w:rsid w:val="60AEF2F9"/>
    <w:rsid w:val="60B3162E"/>
    <w:rsid w:val="60B34BA9"/>
    <w:rsid w:val="60BD62A1"/>
    <w:rsid w:val="60C29ADC"/>
    <w:rsid w:val="60C69ADE"/>
    <w:rsid w:val="60CAD0CF"/>
    <w:rsid w:val="60D6E51C"/>
    <w:rsid w:val="60DE5FC2"/>
    <w:rsid w:val="60E412C5"/>
    <w:rsid w:val="60E7DB78"/>
    <w:rsid w:val="60EA33AE"/>
    <w:rsid w:val="60EA34A7"/>
    <w:rsid w:val="60EFBC77"/>
    <w:rsid w:val="60F2F1A5"/>
    <w:rsid w:val="60F2F1A5"/>
    <w:rsid w:val="60F972D2"/>
    <w:rsid w:val="6119E770"/>
    <w:rsid w:val="6119F454"/>
    <w:rsid w:val="611B6D85"/>
    <w:rsid w:val="611DABE1"/>
    <w:rsid w:val="61288AC6"/>
    <w:rsid w:val="612F6721"/>
    <w:rsid w:val="61302ADA"/>
    <w:rsid w:val="613258A8"/>
    <w:rsid w:val="61380603"/>
    <w:rsid w:val="613DC1F5"/>
    <w:rsid w:val="6142C824"/>
    <w:rsid w:val="6145F27A"/>
    <w:rsid w:val="614C909D"/>
    <w:rsid w:val="615649F5"/>
    <w:rsid w:val="6157BB87"/>
    <w:rsid w:val="615EA8E9"/>
    <w:rsid w:val="6160C457"/>
    <w:rsid w:val="616B85F1"/>
    <w:rsid w:val="616D14D3"/>
    <w:rsid w:val="616E1453"/>
    <w:rsid w:val="616F2724"/>
    <w:rsid w:val="616F498D"/>
    <w:rsid w:val="61714F7E"/>
    <w:rsid w:val="6177145D"/>
    <w:rsid w:val="61797CED"/>
    <w:rsid w:val="617D206B"/>
    <w:rsid w:val="6182C069"/>
    <w:rsid w:val="6186B6D7"/>
    <w:rsid w:val="61875F5B"/>
    <w:rsid w:val="61894017"/>
    <w:rsid w:val="618A876F"/>
    <w:rsid w:val="618E77CE"/>
    <w:rsid w:val="619605CB"/>
    <w:rsid w:val="61A38B77"/>
    <w:rsid w:val="61A3C800"/>
    <w:rsid w:val="61AA260C"/>
    <w:rsid w:val="61B4688F"/>
    <w:rsid w:val="61B5D284"/>
    <w:rsid w:val="61BB8764"/>
    <w:rsid w:val="61BCAAFD"/>
    <w:rsid w:val="61C0B7AA"/>
    <w:rsid w:val="61C4D7E2"/>
    <w:rsid w:val="61CACCC8"/>
    <w:rsid w:val="61CACCC8"/>
    <w:rsid w:val="61CC6425"/>
    <w:rsid w:val="61D54530"/>
    <w:rsid w:val="61DF2E36"/>
    <w:rsid w:val="61E405B1"/>
    <w:rsid w:val="61F5D9AE"/>
    <w:rsid w:val="61F730CE"/>
    <w:rsid w:val="61FCBE9D"/>
    <w:rsid w:val="61FE1863"/>
    <w:rsid w:val="620D61AF"/>
    <w:rsid w:val="621C44A4"/>
    <w:rsid w:val="6228314D"/>
    <w:rsid w:val="622BFD68"/>
    <w:rsid w:val="6234C869"/>
    <w:rsid w:val="623CCD71"/>
    <w:rsid w:val="62463041"/>
    <w:rsid w:val="6249049C"/>
    <w:rsid w:val="625103CE"/>
    <w:rsid w:val="6256C364"/>
    <w:rsid w:val="62589BF8"/>
    <w:rsid w:val="625A41E6"/>
    <w:rsid w:val="62718E73"/>
    <w:rsid w:val="6273C0C3"/>
    <w:rsid w:val="62751C25"/>
    <w:rsid w:val="628E0BA1"/>
    <w:rsid w:val="6291C1E2"/>
    <w:rsid w:val="629A4683"/>
    <w:rsid w:val="62A47F24"/>
    <w:rsid w:val="62A7D0E7"/>
    <w:rsid w:val="62B14873"/>
    <w:rsid w:val="62B21801"/>
    <w:rsid w:val="62B367FA"/>
    <w:rsid w:val="62B9F8BC"/>
    <w:rsid w:val="62BB8606"/>
    <w:rsid w:val="62C28D9D"/>
    <w:rsid w:val="62C3ED99"/>
    <w:rsid w:val="62C8A7BC"/>
    <w:rsid w:val="62C8F966"/>
    <w:rsid w:val="62CFA494"/>
    <w:rsid w:val="62DB07E5"/>
    <w:rsid w:val="62E01328"/>
    <w:rsid w:val="62E18E4D"/>
    <w:rsid w:val="62E9B1FB"/>
    <w:rsid w:val="62EE7A1C"/>
    <w:rsid w:val="62F53FC1"/>
    <w:rsid w:val="62FD5150"/>
    <w:rsid w:val="62FD696A"/>
    <w:rsid w:val="630790F1"/>
    <w:rsid w:val="63100474"/>
    <w:rsid w:val="6310D559"/>
    <w:rsid w:val="63135438"/>
    <w:rsid w:val="63135438"/>
    <w:rsid w:val="631ACBD1"/>
    <w:rsid w:val="631CB0A6"/>
    <w:rsid w:val="631CD668"/>
    <w:rsid w:val="631E7D43"/>
    <w:rsid w:val="632BBEC2"/>
    <w:rsid w:val="6330D2A5"/>
    <w:rsid w:val="6336EAA1"/>
    <w:rsid w:val="633C27A8"/>
    <w:rsid w:val="633C2E5C"/>
    <w:rsid w:val="633D2683"/>
    <w:rsid w:val="63503A9F"/>
    <w:rsid w:val="635228F7"/>
    <w:rsid w:val="63538F89"/>
    <w:rsid w:val="63582B80"/>
    <w:rsid w:val="635A5B3A"/>
    <w:rsid w:val="6365E7B0"/>
    <w:rsid w:val="6367EAB4"/>
    <w:rsid w:val="63734C07"/>
    <w:rsid w:val="6378C029"/>
    <w:rsid w:val="6386CCEB"/>
    <w:rsid w:val="638D4ADA"/>
    <w:rsid w:val="63A11EF2"/>
    <w:rsid w:val="63A3F75D"/>
    <w:rsid w:val="63A42E28"/>
    <w:rsid w:val="63AA3FA9"/>
    <w:rsid w:val="63AD6911"/>
    <w:rsid w:val="63AFC7D2"/>
    <w:rsid w:val="63AFE1FD"/>
    <w:rsid w:val="63B028BD"/>
    <w:rsid w:val="63BAF149"/>
    <w:rsid w:val="63C1C5C9"/>
    <w:rsid w:val="63C299C1"/>
    <w:rsid w:val="63C64A8B"/>
    <w:rsid w:val="63C8B756"/>
    <w:rsid w:val="63CD5E6B"/>
    <w:rsid w:val="63D0DE98"/>
    <w:rsid w:val="63D160AF"/>
    <w:rsid w:val="63D176AA"/>
    <w:rsid w:val="63D2B66C"/>
    <w:rsid w:val="63D8B528"/>
    <w:rsid w:val="63DBBCB3"/>
    <w:rsid w:val="63DCFBF6"/>
    <w:rsid w:val="63DD962E"/>
    <w:rsid w:val="63E5BFAF"/>
    <w:rsid w:val="63E62ACC"/>
    <w:rsid w:val="63E76E63"/>
    <w:rsid w:val="63E9FFF9"/>
    <w:rsid w:val="63EB02B5"/>
    <w:rsid w:val="63F5147B"/>
    <w:rsid w:val="63FA9C74"/>
    <w:rsid w:val="63FE07BF"/>
    <w:rsid w:val="64010755"/>
    <w:rsid w:val="6433E2D9"/>
    <w:rsid w:val="64456632"/>
    <w:rsid w:val="64456632"/>
    <w:rsid w:val="6446ED26"/>
    <w:rsid w:val="645346AE"/>
    <w:rsid w:val="6455B672"/>
    <w:rsid w:val="645853BC"/>
    <w:rsid w:val="6463F999"/>
    <w:rsid w:val="646D69C0"/>
    <w:rsid w:val="646DA48B"/>
    <w:rsid w:val="646DAA29"/>
    <w:rsid w:val="646DCEFB"/>
    <w:rsid w:val="64717307"/>
    <w:rsid w:val="6472D96F"/>
    <w:rsid w:val="64843E73"/>
    <w:rsid w:val="6488B024"/>
    <w:rsid w:val="648B232E"/>
    <w:rsid w:val="648F0E1F"/>
    <w:rsid w:val="6493CD86"/>
    <w:rsid w:val="6497358A"/>
    <w:rsid w:val="6499B35F"/>
    <w:rsid w:val="649C8D1E"/>
    <w:rsid w:val="64A015CA"/>
    <w:rsid w:val="64B124CC"/>
    <w:rsid w:val="64B82194"/>
    <w:rsid w:val="64BA7D43"/>
    <w:rsid w:val="64BAC048"/>
    <w:rsid w:val="64BF1C5C"/>
    <w:rsid w:val="64CF2A3D"/>
    <w:rsid w:val="64D0AFD9"/>
    <w:rsid w:val="64DDC09A"/>
    <w:rsid w:val="64DDC09A"/>
    <w:rsid w:val="64E0C392"/>
    <w:rsid w:val="64E50E59"/>
    <w:rsid w:val="64E6D48C"/>
    <w:rsid w:val="64EAD855"/>
    <w:rsid w:val="64EB0DB5"/>
    <w:rsid w:val="64F3F060"/>
    <w:rsid w:val="64F9A221"/>
    <w:rsid w:val="64FB4802"/>
    <w:rsid w:val="64FE390F"/>
    <w:rsid w:val="64FE49F4"/>
    <w:rsid w:val="64FF453F"/>
    <w:rsid w:val="65021480"/>
    <w:rsid w:val="650B687E"/>
    <w:rsid w:val="650C6F94"/>
    <w:rsid w:val="650DE9AA"/>
    <w:rsid w:val="650FCDE1"/>
    <w:rsid w:val="65160012"/>
    <w:rsid w:val="65196E6D"/>
    <w:rsid w:val="651983F7"/>
    <w:rsid w:val="651C5473"/>
    <w:rsid w:val="651F0698"/>
    <w:rsid w:val="6524B2F6"/>
    <w:rsid w:val="6529F3D1"/>
    <w:rsid w:val="652AE19E"/>
    <w:rsid w:val="652B201C"/>
    <w:rsid w:val="652F29E3"/>
    <w:rsid w:val="6550BAB4"/>
    <w:rsid w:val="6553975F"/>
    <w:rsid w:val="65557230"/>
    <w:rsid w:val="6555AC55"/>
    <w:rsid w:val="655809A0"/>
    <w:rsid w:val="65589268"/>
    <w:rsid w:val="65619E97"/>
    <w:rsid w:val="6562A38D"/>
    <w:rsid w:val="6565B6ED"/>
    <w:rsid w:val="6566F652"/>
    <w:rsid w:val="656D1408"/>
    <w:rsid w:val="656DB12C"/>
    <w:rsid w:val="657739BF"/>
    <w:rsid w:val="657CA0F0"/>
    <w:rsid w:val="657D99DE"/>
    <w:rsid w:val="6583BE17"/>
    <w:rsid w:val="658CA7C6"/>
    <w:rsid w:val="658D8165"/>
    <w:rsid w:val="658EFA67"/>
    <w:rsid w:val="65942B8B"/>
    <w:rsid w:val="659CE2B1"/>
    <w:rsid w:val="659D1D0E"/>
    <w:rsid w:val="659E2ED8"/>
    <w:rsid w:val="65A3D1EE"/>
    <w:rsid w:val="65A791DB"/>
    <w:rsid w:val="65B01182"/>
    <w:rsid w:val="65B20DF4"/>
    <w:rsid w:val="65C3B4D1"/>
    <w:rsid w:val="65C726D1"/>
    <w:rsid w:val="65C82F1E"/>
    <w:rsid w:val="65C88893"/>
    <w:rsid w:val="65CC93F6"/>
    <w:rsid w:val="65CD0AA2"/>
    <w:rsid w:val="65D357D4"/>
    <w:rsid w:val="65D43E83"/>
    <w:rsid w:val="65DCAA05"/>
    <w:rsid w:val="65E08974"/>
    <w:rsid w:val="65E48DD0"/>
    <w:rsid w:val="65E8DA99"/>
    <w:rsid w:val="65E8DA99"/>
    <w:rsid w:val="65ECF503"/>
    <w:rsid w:val="65EEEA9A"/>
    <w:rsid w:val="65F1CCEC"/>
    <w:rsid w:val="65F9D20F"/>
    <w:rsid w:val="65FA0D2E"/>
    <w:rsid w:val="65FBFDC9"/>
    <w:rsid w:val="660156F0"/>
    <w:rsid w:val="660343BE"/>
    <w:rsid w:val="660506B9"/>
    <w:rsid w:val="6608F801"/>
    <w:rsid w:val="66105AA9"/>
    <w:rsid w:val="6612E833"/>
    <w:rsid w:val="66134571"/>
    <w:rsid w:val="6615153E"/>
    <w:rsid w:val="66252D99"/>
    <w:rsid w:val="662DBBF1"/>
    <w:rsid w:val="66322D65"/>
    <w:rsid w:val="663465BB"/>
    <w:rsid w:val="663E163A"/>
    <w:rsid w:val="663F7A11"/>
    <w:rsid w:val="664368A0"/>
    <w:rsid w:val="664D2570"/>
    <w:rsid w:val="66520AC0"/>
    <w:rsid w:val="66561149"/>
    <w:rsid w:val="66587040"/>
    <w:rsid w:val="665A29E8"/>
    <w:rsid w:val="665CDF8D"/>
    <w:rsid w:val="666FF051"/>
    <w:rsid w:val="667627A3"/>
    <w:rsid w:val="66824D01"/>
    <w:rsid w:val="6685A8F5"/>
    <w:rsid w:val="66860B68"/>
    <w:rsid w:val="668CC160"/>
    <w:rsid w:val="669A6E17"/>
    <w:rsid w:val="669BDD69"/>
    <w:rsid w:val="669F7DB4"/>
    <w:rsid w:val="66A22AAC"/>
    <w:rsid w:val="66B1A9BF"/>
    <w:rsid w:val="66BAA183"/>
    <w:rsid w:val="66BAE9AF"/>
    <w:rsid w:val="66BBF1AE"/>
    <w:rsid w:val="66BEA7E7"/>
    <w:rsid w:val="66CD86DF"/>
    <w:rsid w:val="66CE684E"/>
    <w:rsid w:val="66D015FD"/>
    <w:rsid w:val="66DBBF7C"/>
    <w:rsid w:val="66E26181"/>
    <w:rsid w:val="66E709E1"/>
    <w:rsid w:val="66E7119F"/>
    <w:rsid w:val="66EC816F"/>
    <w:rsid w:val="67009CC3"/>
    <w:rsid w:val="67088B06"/>
    <w:rsid w:val="670DFB4F"/>
    <w:rsid w:val="670E2002"/>
    <w:rsid w:val="670F3D17"/>
    <w:rsid w:val="6713A439"/>
    <w:rsid w:val="671A4757"/>
    <w:rsid w:val="671CE6FB"/>
    <w:rsid w:val="671E01E6"/>
    <w:rsid w:val="671F0D77"/>
    <w:rsid w:val="67216597"/>
    <w:rsid w:val="6722A292"/>
    <w:rsid w:val="67265C59"/>
    <w:rsid w:val="67294B4D"/>
    <w:rsid w:val="672C64CE"/>
    <w:rsid w:val="672FBF70"/>
    <w:rsid w:val="6730E0E7"/>
    <w:rsid w:val="6737C869"/>
    <w:rsid w:val="673E194A"/>
    <w:rsid w:val="6748444B"/>
    <w:rsid w:val="674D97F0"/>
    <w:rsid w:val="674DCB02"/>
    <w:rsid w:val="6751EF26"/>
    <w:rsid w:val="675426DF"/>
    <w:rsid w:val="6754E739"/>
    <w:rsid w:val="67606B6B"/>
    <w:rsid w:val="6761C48E"/>
    <w:rsid w:val="6765DB2D"/>
    <w:rsid w:val="676EC008"/>
    <w:rsid w:val="67756785"/>
    <w:rsid w:val="677D5518"/>
    <w:rsid w:val="679AAF61"/>
    <w:rsid w:val="679B8E72"/>
    <w:rsid w:val="67A0C89A"/>
    <w:rsid w:val="67A18688"/>
    <w:rsid w:val="67A2A1F7"/>
    <w:rsid w:val="67A4023E"/>
    <w:rsid w:val="67A65E40"/>
    <w:rsid w:val="67B22E06"/>
    <w:rsid w:val="67B46C08"/>
    <w:rsid w:val="67B53207"/>
    <w:rsid w:val="67BCD082"/>
    <w:rsid w:val="67BEED35"/>
    <w:rsid w:val="67C1C8B1"/>
    <w:rsid w:val="67C229C1"/>
    <w:rsid w:val="67C6C376"/>
    <w:rsid w:val="67C95CD7"/>
    <w:rsid w:val="67CFD919"/>
    <w:rsid w:val="67D67A93"/>
    <w:rsid w:val="67D776B4"/>
    <w:rsid w:val="67DCEA40"/>
    <w:rsid w:val="67DF85DD"/>
    <w:rsid w:val="67E5E1A1"/>
    <w:rsid w:val="67E6FD9F"/>
    <w:rsid w:val="67ECED9A"/>
    <w:rsid w:val="67F790AA"/>
    <w:rsid w:val="67FBC953"/>
    <w:rsid w:val="680097E8"/>
    <w:rsid w:val="6803E13E"/>
    <w:rsid w:val="68042385"/>
    <w:rsid w:val="680725B4"/>
    <w:rsid w:val="680C4080"/>
    <w:rsid w:val="680CDEAE"/>
    <w:rsid w:val="68173270"/>
    <w:rsid w:val="681BE9E7"/>
    <w:rsid w:val="68303A3F"/>
    <w:rsid w:val="68393015"/>
    <w:rsid w:val="683F92D6"/>
    <w:rsid w:val="684CA79D"/>
    <w:rsid w:val="6854524D"/>
    <w:rsid w:val="68595E02"/>
    <w:rsid w:val="6865C5D3"/>
    <w:rsid w:val="688284B7"/>
    <w:rsid w:val="68866197"/>
    <w:rsid w:val="68898D63"/>
    <w:rsid w:val="68912DB1"/>
    <w:rsid w:val="6896F1FA"/>
    <w:rsid w:val="6897EEEF"/>
    <w:rsid w:val="689CFF68"/>
    <w:rsid w:val="689D02E6"/>
    <w:rsid w:val="68AF6539"/>
    <w:rsid w:val="68AFF1A4"/>
    <w:rsid w:val="68B05986"/>
    <w:rsid w:val="68B15456"/>
    <w:rsid w:val="68BBC682"/>
    <w:rsid w:val="68BD25BF"/>
    <w:rsid w:val="68C0127D"/>
    <w:rsid w:val="68C13278"/>
    <w:rsid w:val="68C15565"/>
    <w:rsid w:val="68CB1AFA"/>
    <w:rsid w:val="68D529C2"/>
    <w:rsid w:val="68DD600D"/>
    <w:rsid w:val="68E0E090"/>
    <w:rsid w:val="68E272B6"/>
    <w:rsid w:val="68E38DF2"/>
    <w:rsid w:val="68F4BFE7"/>
    <w:rsid w:val="68FBF0DE"/>
    <w:rsid w:val="68FF1C35"/>
    <w:rsid w:val="690277B4"/>
    <w:rsid w:val="690278B3"/>
    <w:rsid w:val="6911AF56"/>
    <w:rsid w:val="69171774"/>
    <w:rsid w:val="691DF5CD"/>
    <w:rsid w:val="6920C502"/>
    <w:rsid w:val="69274B8C"/>
    <w:rsid w:val="692A43CC"/>
    <w:rsid w:val="692DAFD8"/>
    <w:rsid w:val="6931AC90"/>
    <w:rsid w:val="6931B90E"/>
    <w:rsid w:val="693281AD"/>
    <w:rsid w:val="69342309"/>
    <w:rsid w:val="693891C3"/>
    <w:rsid w:val="69395B37"/>
    <w:rsid w:val="693C1292"/>
    <w:rsid w:val="694398C5"/>
    <w:rsid w:val="6943F8A0"/>
    <w:rsid w:val="6944F000"/>
    <w:rsid w:val="694753EC"/>
    <w:rsid w:val="694C454B"/>
    <w:rsid w:val="695143B4"/>
    <w:rsid w:val="695656B7"/>
    <w:rsid w:val="6956719C"/>
    <w:rsid w:val="6957E1C5"/>
    <w:rsid w:val="69611D25"/>
    <w:rsid w:val="6963D2AC"/>
    <w:rsid w:val="6968847B"/>
    <w:rsid w:val="696ED931"/>
    <w:rsid w:val="696F62B5"/>
    <w:rsid w:val="69705142"/>
    <w:rsid w:val="697430E8"/>
    <w:rsid w:val="6975EE6F"/>
    <w:rsid w:val="697BF56F"/>
    <w:rsid w:val="697D6BF6"/>
    <w:rsid w:val="69828B5E"/>
    <w:rsid w:val="698C60A5"/>
    <w:rsid w:val="69901C0F"/>
    <w:rsid w:val="6995D61B"/>
    <w:rsid w:val="69A824ED"/>
    <w:rsid w:val="69B006DA"/>
    <w:rsid w:val="69B05391"/>
    <w:rsid w:val="69BD3BB1"/>
    <w:rsid w:val="69C072FA"/>
    <w:rsid w:val="69C65DFF"/>
    <w:rsid w:val="69C673DB"/>
    <w:rsid w:val="69CF7873"/>
    <w:rsid w:val="69D02471"/>
    <w:rsid w:val="69D25D61"/>
    <w:rsid w:val="69D63ABC"/>
    <w:rsid w:val="69E37CAD"/>
    <w:rsid w:val="69E3E6E5"/>
    <w:rsid w:val="69E52BBF"/>
    <w:rsid w:val="69EC6A8E"/>
    <w:rsid w:val="69EEACD5"/>
    <w:rsid w:val="69F0F0CC"/>
    <w:rsid w:val="69F1750F"/>
    <w:rsid w:val="69F236F1"/>
    <w:rsid w:val="69F8EA99"/>
    <w:rsid w:val="69FDD997"/>
    <w:rsid w:val="69FE41CD"/>
    <w:rsid w:val="6A01B824"/>
    <w:rsid w:val="6A1E67A9"/>
    <w:rsid w:val="6A267937"/>
    <w:rsid w:val="6A26B195"/>
    <w:rsid w:val="6A2A210A"/>
    <w:rsid w:val="6A2E8A42"/>
    <w:rsid w:val="6A352C38"/>
    <w:rsid w:val="6A3C3B24"/>
    <w:rsid w:val="6A3E0640"/>
    <w:rsid w:val="6A4997BE"/>
    <w:rsid w:val="6A4A3B36"/>
    <w:rsid w:val="6A4B1E51"/>
    <w:rsid w:val="6A4EE53D"/>
    <w:rsid w:val="6A510F43"/>
    <w:rsid w:val="6A5811A6"/>
    <w:rsid w:val="6A5AD356"/>
    <w:rsid w:val="6A63952E"/>
    <w:rsid w:val="6A650243"/>
    <w:rsid w:val="6A658323"/>
    <w:rsid w:val="6A67E211"/>
    <w:rsid w:val="6A6A8358"/>
    <w:rsid w:val="6A8D6455"/>
    <w:rsid w:val="6A9835BE"/>
    <w:rsid w:val="6AA55571"/>
    <w:rsid w:val="6AA57AA6"/>
    <w:rsid w:val="6AAE73DF"/>
    <w:rsid w:val="6AB9F027"/>
    <w:rsid w:val="6ABA4368"/>
    <w:rsid w:val="6ACA615A"/>
    <w:rsid w:val="6ACFAD8B"/>
    <w:rsid w:val="6AD17129"/>
    <w:rsid w:val="6ADC2EBC"/>
    <w:rsid w:val="6ADEF0D3"/>
    <w:rsid w:val="6AE43CB5"/>
    <w:rsid w:val="6AF1BDF9"/>
    <w:rsid w:val="6AF33F68"/>
    <w:rsid w:val="6AFC0EF3"/>
    <w:rsid w:val="6B0B66E3"/>
    <w:rsid w:val="6B1037AF"/>
    <w:rsid w:val="6B1125F8"/>
    <w:rsid w:val="6B1533F3"/>
    <w:rsid w:val="6B1545D4"/>
    <w:rsid w:val="6B2831B1"/>
    <w:rsid w:val="6B460CEF"/>
    <w:rsid w:val="6B4CA7DF"/>
    <w:rsid w:val="6B501DC7"/>
    <w:rsid w:val="6B50232E"/>
    <w:rsid w:val="6B60F884"/>
    <w:rsid w:val="6B66E817"/>
    <w:rsid w:val="6B670B8C"/>
    <w:rsid w:val="6B708698"/>
    <w:rsid w:val="6B79011D"/>
    <w:rsid w:val="6B8054C8"/>
    <w:rsid w:val="6B863399"/>
    <w:rsid w:val="6B879396"/>
    <w:rsid w:val="6B884B17"/>
    <w:rsid w:val="6B8FDEFC"/>
    <w:rsid w:val="6B90F23A"/>
    <w:rsid w:val="6B926F92"/>
    <w:rsid w:val="6B9749BC"/>
    <w:rsid w:val="6B9AE3EB"/>
    <w:rsid w:val="6BA00675"/>
    <w:rsid w:val="6BA3974E"/>
    <w:rsid w:val="6BA79382"/>
    <w:rsid w:val="6BA7B161"/>
    <w:rsid w:val="6BADAD8C"/>
    <w:rsid w:val="6BADEE34"/>
    <w:rsid w:val="6BB542C3"/>
    <w:rsid w:val="6BB5CDBC"/>
    <w:rsid w:val="6BB5CDBC"/>
    <w:rsid w:val="6BB876EE"/>
    <w:rsid w:val="6BC76F2B"/>
    <w:rsid w:val="6BCCB4AD"/>
    <w:rsid w:val="6BCF590B"/>
    <w:rsid w:val="6BD31D9E"/>
    <w:rsid w:val="6BD46233"/>
    <w:rsid w:val="6BD4C774"/>
    <w:rsid w:val="6BD9E68C"/>
    <w:rsid w:val="6BDA8867"/>
    <w:rsid w:val="6BDBC0B9"/>
    <w:rsid w:val="6BE2FA87"/>
    <w:rsid w:val="6BECE680"/>
    <w:rsid w:val="6BF34E64"/>
    <w:rsid w:val="6BF570DC"/>
    <w:rsid w:val="6BFBFFCA"/>
    <w:rsid w:val="6C0DC7C3"/>
    <w:rsid w:val="6C0FA0A9"/>
    <w:rsid w:val="6C12C499"/>
    <w:rsid w:val="6C131241"/>
    <w:rsid w:val="6C1B0E92"/>
    <w:rsid w:val="6C1B4F27"/>
    <w:rsid w:val="6C299998"/>
    <w:rsid w:val="6C3C1556"/>
    <w:rsid w:val="6C422912"/>
    <w:rsid w:val="6C45C268"/>
    <w:rsid w:val="6C467796"/>
    <w:rsid w:val="6C4BFD04"/>
    <w:rsid w:val="6C4E30DD"/>
    <w:rsid w:val="6C4E86A8"/>
    <w:rsid w:val="6C53BAD4"/>
    <w:rsid w:val="6C5FE1D3"/>
    <w:rsid w:val="6C690E5C"/>
    <w:rsid w:val="6C6B54A6"/>
    <w:rsid w:val="6C6F7367"/>
    <w:rsid w:val="6C763C07"/>
    <w:rsid w:val="6C7F5ED5"/>
    <w:rsid w:val="6C808D2C"/>
    <w:rsid w:val="6C8112DC"/>
    <w:rsid w:val="6C8666CE"/>
    <w:rsid w:val="6C87C940"/>
    <w:rsid w:val="6C8A7D7F"/>
    <w:rsid w:val="6C8EA33A"/>
    <w:rsid w:val="6CA3A71B"/>
    <w:rsid w:val="6CA582E3"/>
    <w:rsid w:val="6CB258A6"/>
    <w:rsid w:val="6CB2E786"/>
    <w:rsid w:val="6CBA6246"/>
    <w:rsid w:val="6CC0EE9C"/>
    <w:rsid w:val="6CC1289F"/>
    <w:rsid w:val="6CC8647B"/>
    <w:rsid w:val="6CCEA95D"/>
    <w:rsid w:val="6CCF4DAF"/>
    <w:rsid w:val="6CD01288"/>
    <w:rsid w:val="6CD0B56A"/>
    <w:rsid w:val="6CD112FC"/>
    <w:rsid w:val="6CDD7045"/>
    <w:rsid w:val="6CDE915C"/>
    <w:rsid w:val="6CE94731"/>
    <w:rsid w:val="6CEE2E10"/>
    <w:rsid w:val="6CFD9954"/>
    <w:rsid w:val="6CFE38F0"/>
    <w:rsid w:val="6D0257F7"/>
    <w:rsid w:val="6D0A7327"/>
    <w:rsid w:val="6D0A8BC6"/>
    <w:rsid w:val="6D144642"/>
    <w:rsid w:val="6D195729"/>
    <w:rsid w:val="6D198E19"/>
    <w:rsid w:val="6D1F1872"/>
    <w:rsid w:val="6D2150D3"/>
    <w:rsid w:val="6D24D273"/>
    <w:rsid w:val="6D2EE294"/>
    <w:rsid w:val="6D2F1109"/>
    <w:rsid w:val="6D4A6EA9"/>
    <w:rsid w:val="6D526FD8"/>
    <w:rsid w:val="6D56012C"/>
    <w:rsid w:val="6D5B96BD"/>
    <w:rsid w:val="6D5F06DC"/>
    <w:rsid w:val="6D61D104"/>
    <w:rsid w:val="6D62D034"/>
    <w:rsid w:val="6D690C71"/>
    <w:rsid w:val="6D6F6133"/>
    <w:rsid w:val="6D70A02C"/>
    <w:rsid w:val="6D741209"/>
    <w:rsid w:val="6D788AF7"/>
    <w:rsid w:val="6D86C6AA"/>
    <w:rsid w:val="6D8A13E3"/>
    <w:rsid w:val="6D8E3E10"/>
    <w:rsid w:val="6D9041AA"/>
    <w:rsid w:val="6D9BCCC8"/>
    <w:rsid w:val="6D9E2B45"/>
    <w:rsid w:val="6DB0256B"/>
    <w:rsid w:val="6DB02B90"/>
    <w:rsid w:val="6DB9586C"/>
    <w:rsid w:val="6DBD4A04"/>
    <w:rsid w:val="6DBE8CAA"/>
    <w:rsid w:val="6DBFC6CA"/>
    <w:rsid w:val="6DC44DC9"/>
    <w:rsid w:val="6DCD85E0"/>
    <w:rsid w:val="6DD391D6"/>
    <w:rsid w:val="6DD5A329"/>
    <w:rsid w:val="6DD761F4"/>
    <w:rsid w:val="6DDB22B2"/>
    <w:rsid w:val="6DDDE0B9"/>
    <w:rsid w:val="6DDE551D"/>
    <w:rsid w:val="6DDF530F"/>
    <w:rsid w:val="6DE34419"/>
    <w:rsid w:val="6DF067C9"/>
    <w:rsid w:val="6DF2A11E"/>
    <w:rsid w:val="6E034B73"/>
    <w:rsid w:val="6E07A736"/>
    <w:rsid w:val="6E0E2316"/>
    <w:rsid w:val="6E175EC4"/>
    <w:rsid w:val="6E250690"/>
    <w:rsid w:val="6E30C0DC"/>
    <w:rsid w:val="6E3A7120"/>
    <w:rsid w:val="6E3AFF07"/>
    <w:rsid w:val="6E3D4274"/>
    <w:rsid w:val="6E3D4274"/>
    <w:rsid w:val="6E3D4907"/>
    <w:rsid w:val="6E48E52C"/>
    <w:rsid w:val="6E4B970D"/>
    <w:rsid w:val="6E4C1421"/>
    <w:rsid w:val="6E4D0D6F"/>
    <w:rsid w:val="6E4EF237"/>
    <w:rsid w:val="6E5251EF"/>
    <w:rsid w:val="6E5915CE"/>
    <w:rsid w:val="6E6876DA"/>
    <w:rsid w:val="6E6CE70F"/>
    <w:rsid w:val="6E8AE28D"/>
    <w:rsid w:val="6E8B22FC"/>
    <w:rsid w:val="6E8EBBB0"/>
    <w:rsid w:val="6E93A0C4"/>
    <w:rsid w:val="6E93A72C"/>
    <w:rsid w:val="6E966DCF"/>
    <w:rsid w:val="6EA1955B"/>
    <w:rsid w:val="6EA5404C"/>
    <w:rsid w:val="6EB9F7A5"/>
    <w:rsid w:val="6EBA2FDD"/>
    <w:rsid w:val="6EBA5DD3"/>
    <w:rsid w:val="6EC2CA40"/>
    <w:rsid w:val="6ECAF9F3"/>
    <w:rsid w:val="6ED14DC3"/>
    <w:rsid w:val="6EE9D13B"/>
    <w:rsid w:val="6EEE3D68"/>
    <w:rsid w:val="6EEF016F"/>
    <w:rsid w:val="6EF8A03E"/>
    <w:rsid w:val="6EFDAA92"/>
    <w:rsid w:val="6F07F3DB"/>
    <w:rsid w:val="6F11B675"/>
    <w:rsid w:val="6F1C5593"/>
    <w:rsid w:val="6F3018F9"/>
    <w:rsid w:val="6F399133"/>
    <w:rsid w:val="6F44106D"/>
    <w:rsid w:val="6F456C44"/>
    <w:rsid w:val="6F4FC7DB"/>
    <w:rsid w:val="6F5184AE"/>
    <w:rsid w:val="6F53CAE8"/>
    <w:rsid w:val="6F5777DE"/>
    <w:rsid w:val="6F5873C5"/>
    <w:rsid w:val="6F658918"/>
    <w:rsid w:val="6F66130E"/>
    <w:rsid w:val="6F6B8EF6"/>
    <w:rsid w:val="6F78E9B8"/>
    <w:rsid w:val="6F78E9B8"/>
    <w:rsid w:val="6F7E2056"/>
    <w:rsid w:val="6F814CC5"/>
    <w:rsid w:val="6F83923C"/>
    <w:rsid w:val="6F890A90"/>
    <w:rsid w:val="6F9119FA"/>
    <w:rsid w:val="6F982456"/>
    <w:rsid w:val="6F99AE50"/>
    <w:rsid w:val="6F9D7882"/>
    <w:rsid w:val="6FA663DB"/>
    <w:rsid w:val="6FA7D194"/>
    <w:rsid w:val="6FACB31C"/>
    <w:rsid w:val="6FAF55EF"/>
    <w:rsid w:val="6FC43FB3"/>
    <w:rsid w:val="6FC6DBA3"/>
    <w:rsid w:val="6FD0AB3A"/>
    <w:rsid w:val="6FD1633C"/>
    <w:rsid w:val="6FD257CE"/>
    <w:rsid w:val="6FDEB33B"/>
    <w:rsid w:val="6FE07771"/>
    <w:rsid w:val="6FE69BB8"/>
    <w:rsid w:val="6FEA4B0E"/>
    <w:rsid w:val="6FEFA024"/>
    <w:rsid w:val="6FF3C2A7"/>
    <w:rsid w:val="6FF8EDB1"/>
    <w:rsid w:val="6FF98178"/>
    <w:rsid w:val="70075766"/>
    <w:rsid w:val="700DFAE5"/>
    <w:rsid w:val="701399B3"/>
    <w:rsid w:val="7018FB1A"/>
    <w:rsid w:val="701AB025"/>
    <w:rsid w:val="701EB895"/>
    <w:rsid w:val="70226A9E"/>
    <w:rsid w:val="702495A0"/>
    <w:rsid w:val="7025FE6E"/>
    <w:rsid w:val="702AEE82"/>
    <w:rsid w:val="7039779B"/>
    <w:rsid w:val="704235A3"/>
    <w:rsid w:val="7044BDCB"/>
    <w:rsid w:val="704A6B80"/>
    <w:rsid w:val="704CA9B1"/>
    <w:rsid w:val="7056E06E"/>
    <w:rsid w:val="705DA43B"/>
    <w:rsid w:val="7062DEF5"/>
    <w:rsid w:val="707AE15D"/>
    <w:rsid w:val="70807009"/>
    <w:rsid w:val="70845AC1"/>
    <w:rsid w:val="708D6A91"/>
    <w:rsid w:val="708E5399"/>
    <w:rsid w:val="7092ED86"/>
    <w:rsid w:val="7098F831"/>
    <w:rsid w:val="709A0650"/>
    <w:rsid w:val="70B7FB20"/>
    <w:rsid w:val="70BACBC3"/>
    <w:rsid w:val="70BB6025"/>
    <w:rsid w:val="70BC49AB"/>
    <w:rsid w:val="70BFE2FC"/>
    <w:rsid w:val="70CB2FD2"/>
    <w:rsid w:val="70CEE9FA"/>
    <w:rsid w:val="70D3CBF9"/>
    <w:rsid w:val="70D6BCA9"/>
    <w:rsid w:val="70E4FB1D"/>
    <w:rsid w:val="70E8983C"/>
    <w:rsid w:val="70F8E456"/>
    <w:rsid w:val="71162019"/>
    <w:rsid w:val="7116BED7"/>
    <w:rsid w:val="7117D9F5"/>
    <w:rsid w:val="711FC0E9"/>
    <w:rsid w:val="71255165"/>
    <w:rsid w:val="713F308D"/>
    <w:rsid w:val="714542A1"/>
    <w:rsid w:val="714B30B7"/>
    <w:rsid w:val="7151C7DB"/>
    <w:rsid w:val="71594EAB"/>
    <w:rsid w:val="715F9EA3"/>
    <w:rsid w:val="716B02FE"/>
    <w:rsid w:val="716D217A"/>
    <w:rsid w:val="7170BA4C"/>
    <w:rsid w:val="7178090A"/>
    <w:rsid w:val="717A0B9B"/>
    <w:rsid w:val="717AE64A"/>
    <w:rsid w:val="717F5238"/>
    <w:rsid w:val="7189E132"/>
    <w:rsid w:val="718B2300"/>
    <w:rsid w:val="718E37F4"/>
    <w:rsid w:val="7191A4B9"/>
    <w:rsid w:val="719836E1"/>
    <w:rsid w:val="71A2DB95"/>
    <w:rsid w:val="71A2F5BC"/>
    <w:rsid w:val="71A4FD57"/>
    <w:rsid w:val="71A94FC7"/>
    <w:rsid w:val="71ACDFF4"/>
    <w:rsid w:val="71ADDDC2"/>
    <w:rsid w:val="71B30B92"/>
    <w:rsid w:val="71B39480"/>
    <w:rsid w:val="71BB4ADC"/>
    <w:rsid w:val="71BD5552"/>
    <w:rsid w:val="71D8A8FA"/>
    <w:rsid w:val="71DF0EDC"/>
    <w:rsid w:val="71DFAE38"/>
    <w:rsid w:val="71E7E69A"/>
    <w:rsid w:val="71EC8D97"/>
    <w:rsid w:val="71EFE7B7"/>
    <w:rsid w:val="71F2BB28"/>
    <w:rsid w:val="71F98A4C"/>
    <w:rsid w:val="720536E2"/>
    <w:rsid w:val="7207174C"/>
    <w:rsid w:val="7207B52A"/>
    <w:rsid w:val="720A1E80"/>
    <w:rsid w:val="72259AC3"/>
    <w:rsid w:val="72259AC3"/>
    <w:rsid w:val="7227B8DF"/>
    <w:rsid w:val="7228C6A3"/>
    <w:rsid w:val="722DB80C"/>
    <w:rsid w:val="722FF9F7"/>
    <w:rsid w:val="7230295C"/>
    <w:rsid w:val="723152CD"/>
    <w:rsid w:val="723F8AD2"/>
    <w:rsid w:val="724050E5"/>
    <w:rsid w:val="7246109F"/>
    <w:rsid w:val="724B9520"/>
    <w:rsid w:val="724CA3D1"/>
    <w:rsid w:val="72539569"/>
    <w:rsid w:val="72582704"/>
    <w:rsid w:val="72733978"/>
    <w:rsid w:val="72734B2E"/>
    <w:rsid w:val="727A2A6B"/>
    <w:rsid w:val="727B91B4"/>
    <w:rsid w:val="727CE886"/>
    <w:rsid w:val="727E954D"/>
    <w:rsid w:val="72874956"/>
    <w:rsid w:val="72932E83"/>
    <w:rsid w:val="72944DAF"/>
    <w:rsid w:val="72A1297D"/>
    <w:rsid w:val="72A92BA9"/>
    <w:rsid w:val="72A9A09A"/>
    <w:rsid w:val="72B0FFC8"/>
    <w:rsid w:val="72BCBF2C"/>
    <w:rsid w:val="72BD5BCD"/>
    <w:rsid w:val="72C108CC"/>
    <w:rsid w:val="72C46B6C"/>
    <w:rsid w:val="72C9B491"/>
    <w:rsid w:val="72CF2847"/>
    <w:rsid w:val="72D0FDB1"/>
    <w:rsid w:val="72F10038"/>
    <w:rsid w:val="72F552E8"/>
    <w:rsid w:val="72F81E7F"/>
    <w:rsid w:val="72FAC12D"/>
    <w:rsid w:val="72FC7DA2"/>
    <w:rsid w:val="72FF865B"/>
    <w:rsid w:val="73006B1D"/>
    <w:rsid w:val="731395ED"/>
    <w:rsid w:val="73156E6E"/>
    <w:rsid w:val="7316C29D"/>
    <w:rsid w:val="73228C5C"/>
    <w:rsid w:val="732A485D"/>
    <w:rsid w:val="732A5E09"/>
    <w:rsid w:val="7330DDDD"/>
    <w:rsid w:val="73321DE9"/>
    <w:rsid w:val="733A750C"/>
    <w:rsid w:val="733BE06C"/>
    <w:rsid w:val="734C14AE"/>
    <w:rsid w:val="73610337"/>
    <w:rsid w:val="736BE76C"/>
    <w:rsid w:val="7373097E"/>
    <w:rsid w:val="7374C347"/>
    <w:rsid w:val="73770687"/>
    <w:rsid w:val="7377F845"/>
    <w:rsid w:val="73806C90"/>
    <w:rsid w:val="7381EF6E"/>
    <w:rsid w:val="739AFA7B"/>
    <w:rsid w:val="73A38101"/>
    <w:rsid w:val="73AD594A"/>
    <w:rsid w:val="73B442CB"/>
    <w:rsid w:val="73B9D17F"/>
    <w:rsid w:val="73C2FEAE"/>
    <w:rsid w:val="73C3F9E0"/>
    <w:rsid w:val="73C4BE55"/>
    <w:rsid w:val="73C7E26B"/>
    <w:rsid w:val="73CBDCC8"/>
    <w:rsid w:val="73D4F709"/>
    <w:rsid w:val="73D53237"/>
    <w:rsid w:val="73D85E34"/>
    <w:rsid w:val="73D9E4B4"/>
    <w:rsid w:val="73DD7024"/>
    <w:rsid w:val="73DD9A83"/>
    <w:rsid w:val="73E4DCC5"/>
    <w:rsid w:val="73E5EF85"/>
    <w:rsid w:val="73E5F296"/>
    <w:rsid w:val="73E7ED5B"/>
    <w:rsid w:val="73FDCF11"/>
    <w:rsid w:val="73FEB7C2"/>
    <w:rsid w:val="74076814"/>
    <w:rsid w:val="740C17F1"/>
    <w:rsid w:val="740FE4C6"/>
    <w:rsid w:val="7410155C"/>
    <w:rsid w:val="741586A0"/>
    <w:rsid w:val="7418E2DD"/>
    <w:rsid w:val="741CEE89"/>
    <w:rsid w:val="741E69DA"/>
    <w:rsid w:val="741FCF43"/>
    <w:rsid w:val="7422CE13"/>
    <w:rsid w:val="74275E40"/>
    <w:rsid w:val="7427CB5B"/>
    <w:rsid w:val="74284F1C"/>
    <w:rsid w:val="742E22F0"/>
    <w:rsid w:val="742F99E1"/>
    <w:rsid w:val="74333C16"/>
    <w:rsid w:val="743826FD"/>
    <w:rsid w:val="743929CE"/>
    <w:rsid w:val="7445ACC5"/>
    <w:rsid w:val="744EF4BC"/>
    <w:rsid w:val="744EFB09"/>
    <w:rsid w:val="74531CFD"/>
    <w:rsid w:val="745D4CD1"/>
    <w:rsid w:val="7461FFDF"/>
    <w:rsid w:val="74731C60"/>
    <w:rsid w:val="74788928"/>
    <w:rsid w:val="747FCDD2"/>
    <w:rsid w:val="74855D66"/>
    <w:rsid w:val="748C1AB0"/>
    <w:rsid w:val="7492BC38"/>
    <w:rsid w:val="749A53E3"/>
    <w:rsid w:val="749A8D07"/>
    <w:rsid w:val="749D8F55"/>
    <w:rsid w:val="74A640AE"/>
    <w:rsid w:val="74AEB602"/>
    <w:rsid w:val="74B053DD"/>
    <w:rsid w:val="74B55ACB"/>
    <w:rsid w:val="74BD4792"/>
    <w:rsid w:val="74BE4370"/>
    <w:rsid w:val="74C77932"/>
    <w:rsid w:val="74CBECBF"/>
    <w:rsid w:val="74CCCC73"/>
    <w:rsid w:val="74CDCA4C"/>
    <w:rsid w:val="74D2B08A"/>
    <w:rsid w:val="74D8E5AD"/>
    <w:rsid w:val="74DBCCD8"/>
    <w:rsid w:val="74DE4532"/>
    <w:rsid w:val="74E752B2"/>
    <w:rsid w:val="74EA04A7"/>
    <w:rsid w:val="74F16D6B"/>
    <w:rsid w:val="74F1811B"/>
    <w:rsid w:val="74F53BA6"/>
    <w:rsid w:val="74FED6F8"/>
    <w:rsid w:val="74FF3412"/>
    <w:rsid w:val="750BDAD0"/>
    <w:rsid w:val="75199AA9"/>
    <w:rsid w:val="75219F14"/>
    <w:rsid w:val="75242D69"/>
    <w:rsid w:val="7525FC6F"/>
    <w:rsid w:val="752C8BB0"/>
    <w:rsid w:val="75332F55"/>
    <w:rsid w:val="753E223F"/>
    <w:rsid w:val="753F120B"/>
    <w:rsid w:val="75447761"/>
    <w:rsid w:val="755308FD"/>
    <w:rsid w:val="7556DEDF"/>
    <w:rsid w:val="7557F357"/>
    <w:rsid w:val="755F9BED"/>
    <w:rsid w:val="75614371"/>
    <w:rsid w:val="7567E252"/>
    <w:rsid w:val="75686E44"/>
    <w:rsid w:val="756987C5"/>
    <w:rsid w:val="7588D680"/>
    <w:rsid w:val="75913CA3"/>
    <w:rsid w:val="7594A02D"/>
    <w:rsid w:val="7598DBFD"/>
    <w:rsid w:val="759C6254"/>
    <w:rsid w:val="759E7BDE"/>
    <w:rsid w:val="759F9A40"/>
    <w:rsid w:val="75B1F56F"/>
    <w:rsid w:val="75B39F58"/>
    <w:rsid w:val="75BDA7AB"/>
    <w:rsid w:val="75C4C573"/>
    <w:rsid w:val="75CAE64F"/>
    <w:rsid w:val="75CD7950"/>
    <w:rsid w:val="75D4AAC4"/>
    <w:rsid w:val="75D5296B"/>
    <w:rsid w:val="75D85E4F"/>
    <w:rsid w:val="75D893CB"/>
    <w:rsid w:val="75D9CD16"/>
    <w:rsid w:val="75DEEFD4"/>
    <w:rsid w:val="75E68D37"/>
    <w:rsid w:val="75F522C1"/>
    <w:rsid w:val="75F87EFE"/>
    <w:rsid w:val="75FE45BE"/>
    <w:rsid w:val="76016689"/>
    <w:rsid w:val="760475FA"/>
    <w:rsid w:val="7607D856"/>
    <w:rsid w:val="7616A6D7"/>
    <w:rsid w:val="7616B200"/>
    <w:rsid w:val="76180D76"/>
    <w:rsid w:val="76198A0E"/>
    <w:rsid w:val="76198A0E"/>
    <w:rsid w:val="761CA43C"/>
    <w:rsid w:val="7624DE3E"/>
    <w:rsid w:val="7636E4BD"/>
    <w:rsid w:val="763BF711"/>
    <w:rsid w:val="763C3A55"/>
    <w:rsid w:val="76524511"/>
    <w:rsid w:val="76532F8C"/>
    <w:rsid w:val="7656C34A"/>
    <w:rsid w:val="7657EC9F"/>
    <w:rsid w:val="765D35DA"/>
    <w:rsid w:val="7666F6C6"/>
    <w:rsid w:val="76736781"/>
    <w:rsid w:val="767737F8"/>
    <w:rsid w:val="768D4050"/>
    <w:rsid w:val="76988D60"/>
    <w:rsid w:val="769961DD"/>
    <w:rsid w:val="76A3B27A"/>
    <w:rsid w:val="76A897FB"/>
    <w:rsid w:val="76ABCDE9"/>
    <w:rsid w:val="76AE5CE6"/>
    <w:rsid w:val="76B3FC16"/>
    <w:rsid w:val="76B56925"/>
    <w:rsid w:val="76BBCADC"/>
    <w:rsid w:val="76C6C584"/>
    <w:rsid w:val="76CA9A18"/>
    <w:rsid w:val="76D4025D"/>
    <w:rsid w:val="76D46480"/>
    <w:rsid w:val="76D4C23C"/>
    <w:rsid w:val="76D7573C"/>
    <w:rsid w:val="76DD96C2"/>
    <w:rsid w:val="76E098E5"/>
    <w:rsid w:val="76E15EC3"/>
    <w:rsid w:val="76E8DA02"/>
    <w:rsid w:val="76E8DF7C"/>
    <w:rsid w:val="76ED5FA9"/>
    <w:rsid w:val="76F2ACD4"/>
    <w:rsid w:val="76F5D20D"/>
    <w:rsid w:val="76FBD3FC"/>
    <w:rsid w:val="76FD9B7D"/>
    <w:rsid w:val="77011A0D"/>
    <w:rsid w:val="770B823C"/>
    <w:rsid w:val="770C9417"/>
    <w:rsid w:val="771B6E6F"/>
    <w:rsid w:val="771BF998"/>
    <w:rsid w:val="77212205"/>
    <w:rsid w:val="7723BA72"/>
    <w:rsid w:val="773B00EB"/>
    <w:rsid w:val="775EDA46"/>
    <w:rsid w:val="775EF14F"/>
    <w:rsid w:val="775F4DD2"/>
    <w:rsid w:val="776397B7"/>
    <w:rsid w:val="776A08FE"/>
    <w:rsid w:val="776B9DE8"/>
    <w:rsid w:val="7770CEE6"/>
    <w:rsid w:val="777B561E"/>
    <w:rsid w:val="777E16C7"/>
    <w:rsid w:val="777EA3D2"/>
    <w:rsid w:val="7789229C"/>
    <w:rsid w:val="779D98F3"/>
    <w:rsid w:val="77A2C5A3"/>
    <w:rsid w:val="77A69DA5"/>
    <w:rsid w:val="77A9B288"/>
    <w:rsid w:val="77AA4447"/>
    <w:rsid w:val="77AF104D"/>
    <w:rsid w:val="77B06069"/>
    <w:rsid w:val="77B7FE5D"/>
    <w:rsid w:val="77BACC8D"/>
    <w:rsid w:val="77CA6C8B"/>
    <w:rsid w:val="77CCC608"/>
    <w:rsid w:val="77DD5624"/>
    <w:rsid w:val="77E1D91C"/>
    <w:rsid w:val="77E8D719"/>
    <w:rsid w:val="77E964DA"/>
    <w:rsid w:val="77F57D1A"/>
    <w:rsid w:val="77F92A88"/>
    <w:rsid w:val="77F99654"/>
    <w:rsid w:val="780034A6"/>
    <w:rsid w:val="7800B2B1"/>
    <w:rsid w:val="7801368C"/>
    <w:rsid w:val="7802E023"/>
    <w:rsid w:val="7803F53D"/>
    <w:rsid w:val="7804F232"/>
    <w:rsid w:val="7806C3FE"/>
    <w:rsid w:val="7808E8FD"/>
    <w:rsid w:val="781927CF"/>
    <w:rsid w:val="781BFBBC"/>
    <w:rsid w:val="781DF318"/>
    <w:rsid w:val="7820259C"/>
    <w:rsid w:val="7820D4A7"/>
    <w:rsid w:val="78211F65"/>
    <w:rsid w:val="78281941"/>
    <w:rsid w:val="7828BC3D"/>
    <w:rsid w:val="782F56FF"/>
    <w:rsid w:val="78346BBE"/>
    <w:rsid w:val="784054AB"/>
    <w:rsid w:val="784648D4"/>
    <w:rsid w:val="7849EC9D"/>
    <w:rsid w:val="784B740F"/>
    <w:rsid w:val="785AD142"/>
    <w:rsid w:val="785D87D5"/>
    <w:rsid w:val="78613DAD"/>
    <w:rsid w:val="7862AB08"/>
    <w:rsid w:val="786DA36B"/>
    <w:rsid w:val="786DE335"/>
    <w:rsid w:val="787200B9"/>
    <w:rsid w:val="7875BFB3"/>
    <w:rsid w:val="78805FBB"/>
    <w:rsid w:val="7883D195"/>
    <w:rsid w:val="7888AFDB"/>
    <w:rsid w:val="788E3A37"/>
    <w:rsid w:val="789204F5"/>
    <w:rsid w:val="78973736"/>
    <w:rsid w:val="78A2FFEE"/>
    <w:rsid w:val="78A3F888"/>
    <w:rsid w:val="78A5608A"/>
    <w:rsid w:val="78AA0FFD"/>
    <w:rsid w:val="78AB4D80"/>
    <w:rsid w:val="78ABAD71"/>
    <w:rsid w:val="78B46A92"/>
    <w:rsid w:val="78BF7078"/>
    <w:rsid w:val="78C6006F"/>
    <w:rsid w:val="78C69443"/>
    <w:rsid w:val="78C71B1C"/>
    <w:rsid w:val="78CA183A"/>
    <w:rsid w:val="78CC4B2F"/>
    <w:rsid w:val="78CD7BCC"/>
    <w:rsid w:val="78DE72F2"/>
    <w:rsid w:val="78E34F1D"/>
    <w:rsid w:val="78E770DF"/>
    <w:rsid w:val="78EADBC5"/>
    <w:rsid w:val="78ED124E"/>
    <w:rsid w:val="78EF7A10"/>
    <w:rsid w:val="78F1E817"/>
    <w:rsid w:val="78F4974C"/>
    <w:rsid w:val="78F598F8"/>
    <w:rsid w:val="78F9C627"/>
    <w:rsid w:val="78FE2D93"/>
    <w:rsid w:val="79018435"/>
    <w:rsid w:val="7903C34F"/>
    <w:rsid w:val="7909F1C8"/>
    <w:rsid w:val="790A1AD5"/>
    <w:rsid w:val="790B9B88"/>
    <w:rsid w:val="7915A4CA"/>
    <w:rsid w:val="79194A89"/>
    <w:rsid w:val="792B3F69"/>
    <w:rsid w:val="792F5FA1"/>
    <w:rsid w:val="793899B5"/>
    <w:rsid w:val="79397CEE"/>
    <w:rsid w:val="793C0B3B"/>
    <w:rsid w:val="793C4210"/>
    <w:rsid w:val="793DC9F0"/>
    <w:rsid w:val="793EFF8C"/>
    <w:rsid w:val="7940E500"/>
    <w:rsid w:val="79465A9D"/>
    <w:rsid w:val="7949325D"/>
    <w:rsid w:val="794ACA7A"/>
    <w:rsid w:val="794AD745"/>
    <w:rsid w:val="79539C17"/>
    <w:rsid w:val="79552683"/>
    <w:rsid w:val="795899D2"/>
    <w:rsid w:val="7958B740"/>
    <w:rsid w:val="7960F36B"/>
    <w:rsid w:val="7961A4C7"/>
    <w:rsid w:val="7987E2B6"/>
    <w:rsid w:val="79891FC6"/>
    <w:rsid w:val="7997D2FB"/>
    <w:rsid w:val="79A6A647"/>
    <w:rsid w:val="79A83EBD"/>
    <w:rsid w:val="79ABE165"/>
    <w:rsid w:val="79AC157F"/>
    <w:rsid w:val="79AEA78B"/>
    <w:rsid w:val="79B5348E"/>
    <w:rsid w:val="79BF1005"/>
    <w:rsid w:val="79C565ED"/>
    <w:rsid w:val="79C69086"/>
    <w:rsid w:val="79D0EF4E"/>
    <w:rsid w:val="79D63560"/>
    <w:rsid w:val="79DE48C9"/>
    <w:rsid w:val="79E012ED"/>
    <w:rsid w:val="79E0E888"/>
    <w:rsid w:val="79E0E888"/>
    <w:rsid w:val="79E21C0F"/>
    <w:rsid w:val="79E291E5"/>
    <w:rsid w:val="79EAA0FF"/>
    <w:rsid w:val="79EBB18D"/>
    <w:rsid w:val="79EF3EC9"/>
    <w:rsid w:val="79F07A84"/>
    <w:rsid w:val="79F33589"/>
    <w:rsid w:val="79F81DEF"/>
    <w:rsid w:val="79FEF22E"/>
    <w:rsid w:val="7A00A836"/>
    <w:rsid w:val="7A0CE0F5"/>
    <w:rsid w:val="7A0D44AD"/>
    <w:rsid w:val="7A10180A"/>
    <w:rsid w:val="7A14A165"/>
    <w:rsid w:val="7A188D82"/>
    <w:rsid w:val="7A195658"/>
    <w:rsid w:val="7A26CA7E"/>
    <w:rsid w:val="7A2A2C7F"/>
    <w:rsid w:val="7A347C5D"/>
    <w:rsid w:val="7A34F658"/>
    <w:rsid w:val="7A3E9F37"/>
    <w:rsid w:val="7A410F18"/>
    <w:rsid w:val="7A4A9F7C"/>
    <w:rsid w:val="7A5245FE"/>
    <w:rsid w:val="7A525DDA"/>
    <w:rsid w:val="7A602939"/>
    <w:rsid w:val="7A605C59"/>
    <w:rsid w:val="7A66C98D"/>
    <w:rsid w:val="7A6F1994"/>
    <w:rsid w:val="7A715C8F"/>
    <w:rsid w:val="7A7A5797"/>
    <w:rsid w:val="7A8AC04F"/>
    <w:rsid w:val="7A8D93AF"/>
    <w:rsid w:val="7A9FE336"/>
    <w:rsid w:val="7A9FEF32"/>
    <w:rsid w:val="7AA74DCF"/>
    <w:rsid w:val="7AA7BB82"/>
    <w:rsid w:val="7AAEBB70"/>
    <w:rsid w:val="7AAF0780"/>
    <w:rsid w:val="7AC345A2"/>
    <w:rsid w:val="7AC4968C"/>
    <w:rsid w:val="7ACA6BD7"/>
    <w:rsid w:val="7ACF2564"/>
    <w:rsid w:val="7AD4BD34"/>
    <w:rsid w:val="7AD76F52"/>
    <w:rsid w:val="7AE02BED"/>
    <w:rsid w:val="7AE3E2EB"/>
    <w:rsid w:val="7AFF2FB7"/>
    <w:rsid w:val="7AFF49D3"/>
    <w:rsid w:val="7B036729"/>
    <w:rsid w:val="7B0855C2"/>
    <w:rsid w:val="7B0BCE74"/>
    <w:rsid w:val="7B115D24"/>
    <w:rsid w:val="7B156FE0"/>
    <w:rsid w:val="7B1A43F5"/>
    <w:rsid w:val="7B1C1435"/>
    <w:rsid w:val="7B27C0CC"/>
    <w:rsid w:val="7B2CB9E5"/>
    <w:rsid w:val="7B3B47CE"/>
    <w:rsid w:val="7B425427"/>
    <w:rsid w:val="7B45EB76"/>
    <w:rsid w:val="7B4863BE"/>
    <w:rsid w:val="7B64AEFA"/>
    <w:rsid w:val="7B665053"/>
    <w:rsid w:val="7B6E2AD4"/>
    <w:rsid w:val="7B77E3C4"/>
    <w:rsid w:val="7B781333"/>
    <w:rsid w:val="7B78A691"/>
    <w:rsid w:val="7B7947EC"/>
    <w:rsid w:val="7B7A1AC0"/>
    <w:rsid w:val="7B7ECAC4"/>
    <w:rsid w:val="7B7F4E9F"/>
    <w:rsid w:val="7B8024A8"/>
    <w:rsid w:val="7B8974C3"/>
    <w:rsid w:val="7B95F793"/>
    <w:rsid w:val="7B968095"/>
    <w:rsid w:val="7B99D9EF"/>
    <w:rsid w:val="7B9AD3AA"/>
    <w:rsid w:val="7B9AE3B7"/>
    <w:rsid w:val="7B9D3479"/>
    <w:rsid w:val="7BA41833"/>
    <w:rsid w:val="7BB631C4"/>
    <w:rsid w:val="7BB7CB6F"/>
    <w:rsid w:val="7BC7DC9C"/>
    <w:rsid w:val="7BC95E6D"/>
    <w:rsid w:val="7BCF2CFD"/>
    <w:rsid w:val="7BE263F7"/>
    <w:rsid w:val="7BEC3782"/>
    <w:rsid w:val="7BFFECCF"/>
    <w:rsid w:val="7C00B155"/>
    <w:rsid w:val="7C025DED"/>
    <w:rsid w:val="7C099D28"/>
    <w:rsid w:val="7C0F6F9C"/>
    <w:rsid w:val="7C18ED0E"/>
    <w:rsid w:val="7C2605CC"/>
    <w:rsid w:val="7C261E66"/>
    <w:rsid w:val="7C267A7F"/>
    <w:rsid w:val="7C275E74"/>
    <w:rsid w:val="7C31D168"/>
    <w:rsid w:val="7C39EAFC"/>
    <w:rsid w:val="7C444FC2"/>
    <w:rsid w:val="7C4DA529"/>
    <w:rsid w:val="7C5660A4"/>
    <w:rsid w:val="7C5814F2"/>
    <w:rsid w:val="7C5CD35C"/>
    <w:rsid w:val="7C5D59E0"/>
    <w:rsid w:val="7C5E539B"/>
    <w:rsid w:val="7C65B4C7"/>
    <w:rsid w:val="7C6CE12F"/>
    <w:rsid w:val="7C742E39"/>
    <w:rsid w:val="7C743D86"/>
    <w:rsid w:val="7C7AAD44"/>
    <w:rsid w:val="7C7AC39A"/>
    <w:rsid w:val="7C7CB5DB"/>
    <w:rsid w:val="7C812C38"/>
    <w:rsid w:val="7C8180BC"/>
    <w:rsid w:val="7C87733F"/>
    <w:rsid w:val="7C8A7676"/>
    <w:rsid w:val="7C93D929"/>
    <w:rsid w:val="7C963458"/>
    <w:rsid w:val="7C97C12A"/>
    <w:rsid w:val="7C9DBDD3"/>
    <w:rsid w:val="7CA65F07"/>
    <w:rsid w:val="7CB3A687"/>
    <w:rsid w:val="7CB92851"/>
    <w:rsid w:val="7CBA1C36"/>
    <w:rsid w:val="7CC0983F"/>
    <w:rsid w:val="7CC23FDE"/>
    <w:rsid w:val="7CC7F9A7"/>
    <w:rsid w:val="7CCA44FB"/>
    <w:rsid w:val="7CCF4965"/>
    <w:rsid w:val="7CD10540"/>
    <w:rsid w:val="7CD5D491"/>
    <w:rsid w:val="7CD6FFAC"/>
    <w:rsid w:val="7CE60E12"/>
    <w:rsid w:val="7CE68C01"/>
    <w:rsid w:val="7CEA0E66"/>
    <w:rsid w:val="7CEC536F"/>
    <w:rsid w:val="7CEC536F"/>
    <w:rsid w:val="7CEF93DB"/>
    <w:rsid w:val="7CF3873C"/>
    <w:rsid w:val="7CF3873C"/>
    <w:rsid w:val="7CF6B2B1"/>
    <w:rsid w:val="7CFC25E4"/>
    <w:rsid w:val="7CFEE0D5"/>
    <w:rsid w:val="7D0AC54E"/>
    <w:rsid w:val="7D0ED32A"/>
    <w:rsid w:val="7D0F037F"/>
    <w:rsid w:val="7D0FA863"/>
    <w:rsid w:val="7D17067A"/>
    <w:rsid w:val="7D1C6D88"/>
    <w:rsid w:val="7D274ED4"/>
    <w:rsid w:val="7D28877B"/>
    <w:rsid w:val="7D2A56CC"/>
    <w:rsid w:val="7D2C8AC8"/>
    <w:rsid w:val="7D30AB34"/>
    <w:rsid w:val="7D39BA4E"/>
    <w:rsid w:val="7D3C5387"/>
    <w:rsid w:val="7D423878"/>
    <w:rsid w:val="7D4B95FF"/>
    <w:rsid w:val="7D4E8CEC"/>
    <w:rsid w:val="7D5B7CEC"/>
    <w:rsid w:val="7D5FF061"/>
    <w:rsid w:val="7D627825"/>
    <w:rsid w:val="7D6B4E5B"/>
    <w:rsid w:val="7D6C15B8"/>
    <w:rsid w:val="7D6C4A84"/>
    <w:rsid w:val="7D6E7C77"/>
    <w:rsid w:val="7D71D368"/>
    <w:rsid w:val="7D748594"/>
    <w:rsid w:val="7D74951A"/>
    <w:rsid w:val="7D74A861"/>
    <w:rsid w:val="7D790ABB"/>
    <w:rsid w:val="7D7C6ABC"/>
    <w:rsid w:val="7D7FE379"/>
    <w:rsid w:val="7D82978F"/>
    <w:rsid w:val="7D863BB6"/>
    <w:rsid w:val="7D865726"/>
    <w:rsid w:val="7D8C9C97"/>
    <w:rsid w:val="7D8FEBD9"/>
    <w:rsid w:val="7DA1A634"/>
    <w:rsid w:val="7DA355AB"/>
    <w:rsid w:val="7DA5D96C"/>
    <w:rsid w:val="7DACD09D"/>
    <w:rsid w:val="7DAF65D6"/>
    <w:rsid w:val="7DB45A21"/>
    <w:rsid w:val="7DBD73CE"/>
    <w:rsid w:val="7DC222BB"/>
    <w:rsid w:val="7DC9513C"/>
    <w:rsid w:val="7DD3F369"/>
    <w:rsid w:val="7DD7BCFA"/>
    <w:rsid w:val="7DD82700"/>
    <w:rsid w:val="7DD96EA9"/>
    <w:rsid w:val="7DDF65D4"/>
    <w:rsid w:val="7DE0C963"/>
    <w:rsid w:val="7DE816E3"/>
    <w:rsid w:val="7DE87735"/>
    <w:rsid w:val="7DEE6C50"/>
    <w:rsid w:val="7DF34861"/>
    <w:rsid w:val="7DF9D1A4"/>
    <w:rsid w:val="7DFC4F2D"/>
    <w:rsid w:val="7DFEFF6F"/>
    <w:rsid w:val="7E043BF4"/>
    <w:rsid w:val="7E0992F9"/>
    <w:rsid w:val="7E0D896B"/>
    <w:rsid w:val="7E10D69F"/>
    <w:rsid w:val="7E11E85F"/>
    <w:rsid w:val="7E1521CB"/>
    <w:rsid w:val="7E243A33"/>
    <w:rsid w:val="7E2684CC"/>
    <w:rsid w:val="7E2684CC"/>
    <w:rsid w:val="7E2A6547"/>
    <w:rsid w:val="7E2A7F82"/>
    <w:rsid w:val="7E30322E"/>
    <w:rsid w:val="7E33DC18"/>
    <w:rsid w:val="7E3F4C32"/>
    <w:rsid w:val="7E43F6C7"/>
    <w:rsid w:val="7E48869D"/>
    <w:rsid w:val="7E48B378"/>
    <w:rsid w:val="7E54A653"/>
    <w:rsid w:val="7E59CD21"/>
    <w:rsid w:val="7E5BF38E"/>
    <w:rsid w:val="7E6517AC"/>
    <w:rsid w:val="7E660CFF"/>
    <w:rsid w:val="7E66E088"/>
    <w:rsid w:val="7E7841DF"/>
    <w:rsid w:val="7E7C741B"/>
    <w:rsid w:val="7E8C30AF"/>
    <w:rsid w:val="7E8C930F"/>
    <w:rsid w:val="7E8F7403"/>
    <w:rsid w:val="7E9004DA"/>
    <w:rsid w:val="7E90D81A"/>
    <w:rsid w:val="7E91AFEE"/>
    <w:rsid w:val="7E954B6B"/>
    <w:rsid w:val="7E9EA30F"/>
    <w:rsid w:val="7E9F0DE2"/>
    <w:rsid w:val="7EB27AA6"/>
    <w:rsid w:val="7EB2EC0B"/>
    <w:rsid w:val="7EB81701"/>
    <w:rsid w:val="7EBBE807"/>
    <w:rsid w:val="7EBDB3F5"/>
    <w:rsid w:val="7EBF5760"/>
    <w:rsid w:val="7EC345D7"/>
    <w:rsid w:val="7EC9366E"/>
    <w:rsid w:val="7ECAE973"/>
    <w:rsid w:val="7ECAE973"/>
    <w:rsid w:val="7ECD53D2"/>
    <w:rsid w:val="7ED51305"/>
    <w:rsid w:val="7ED979D5"/>
    <w:rsid w:val="7EE4041B"/>
    <w:rsid w:val="7EEB54C4"/>
    <w:rsid w:val="7EEC5975"/>
    <w:rsid w:val="7EFA8ED5"/>
    <w:rsid w:val="7EFBFF32"/>
    <w:rsid w:val="7F005640"/>
    <w:rsid w:val="7F03F3D6"/>
    <w:rsid w:val="7F05AAF1"/>
    <w:rsid w:val="7F071B2F"/>
    <w:rsid w:val="7F0885C3"/>
    <w:rsid w:val="7F0AC351"/>
    <w:rsid w:val="7F0E4B2B"/>
    <w:rsid w:val="7F1BBBE8"/>
    <w:rsid w:val="7F1C87DC"/>
    <w:rsid w:val="7F20A8AD"/>
    <w:rsid w:val="7F21D528"/>
    <w:rsid w:val="7F228DA8"/>
    <w:rsid w:val="7F25301B"/>
    <w:rsid w:val="7F2C4AEE"/>
    <w:rsid w:val="7F340130"/>
    <w:rsid w:val="7F3A5990"/>
    <w:rsid w:val="7F3AF925"/>
    <w:rsid w:val="7F3E7690"/>
    <w:rsid w:val="7F484E10"/>
    <w:rsid w:val="7F4BF069"/>
    <w:rsid w:val="7F53CD06"/>
    <w:rsid w:val="7F6D29D0"/>
    <w:rsid w:val="7F75E4B6"/>
    <w:rsid w:val="7F7605B5"/>
    <w:rsid w:val="7F7F6C29"/>
    <w:rsid w:val="7F856CAB"/>
    <w:rsid w:val="7F86829B"/>
    <w:rsid w:val="7F8D353F"/>
    <w:rsid w:val="7F90741F"/>
    <w:rsid w:val="7F94765D"/>
    <w:rsid w:val="7FAD188E"/>
    <w:rsid w:val="7FAFAAB8"/>
    <w:rsid w:val="7FC18599"/>
    <w:rsid w:val="7FC1F46C"/>
    <w:rsid w:val="7FC6FFDC"/>
    <w:rsid w:val="7FCB6CA3"/>
    <w:rsid w:val="7FCBAB57"/>
    <w:rsid w:val="7FCBD178"/>
    <w:rsid w:val="7FCE1BD8"/>
    <w:rsid w:val="7FD22F39"/>
    <w:rsid w:val="7FE1E7B3"/>
    <w:rsid w:val="7FE27FFA"/>
    <w:rsid w:val="7FF1117C"/>
    <w:rsid w:val="7FF7241A"/>
    <w:rsid w:val="7FF807D9"/>
    <w:rsid w:val="7FFAA7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94E33"/>
  <w15:chartTrackingRefBased/>
  <w15:docId w15:val="{D8388E90-C130-4A24-8345-9E73327505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96382D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96382D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96382DE"/>
    <w:pPr>
      <w:spacing/>
      <w:ind w:left="720"/>
      <w:contextualSpacing/>
    </w:pPr>
  </w:style>
  <w:style w:type="character" w:styleId="Hyperlink">
    <w:uiPriority w:val="99"/>
    <w:name w:val="Hyperlink"/>
    <w:basedOn w:val="DefaultParagraphFont"/>
    <w:unhideWhenUsed/>
    <w:rsid w:val="10E69FA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596382DE"/>
    <w:pPr>
      <w:spacing w:after="100"/>
    </w:pPr>
  </w:style>
  <w:style w:type="paragraph" w:styleId="Heading2">
    <w:uiPriority w:val="9"/>
    <w:name w:val="heading 2"/>
    <w:basedOn w:val="Normal"/>
    <w:next w:val="Normal"/>
    <w:unhideWhenUsed/>
    <w:qFormat/>
    <w:rsid w:val="596382D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596382DE"/>
    <w:pPr>
      <w:spacing w:after="100"/>
      <w:ind w:left="220"/>
    </w:pPr>
  </w:style>
  <w:style w:type="paragraph" w:styleId="NoSpacing">
    <w:uiPriority w:val="1"/>
    <w:name w:val="No Spacing"/>
    <w:qFormat/>
    <w:rsid w:val="596382DE"/>
    <w:pPr>
      <w:spacing w:after="0"/>
    </w:pPr>
  </w:style>
  <w:style w:type="paragraph" w:styleId="Heading3">
    <w:uiPriority w:val="9"/>
    <w:name w:val="heading 3"/>
    <w:basedOn w:val="Normal"/>
    <w:next w:val="Normal"/>
    <w:unhideWhenUsed/>
    <w:qFormat/>
    <w:rsid w:val="576B1B7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576B1B72"/>
    <w:pPr>
      <w:spacing w:after="100"/>
      <w:ind w:left="440"/>
    </w:pPr>
  </w:style>
  <w:style w:type="paragraph" w:styleId="Header">
    <w:uiPriority w:val="99"/>
    <w:name w:val="header"/>
    <w:basedOn w:val="Normal"/>
    <w:unhideWhenUsed/>
    <w:rsid w:val="0D68AD2A"/>
    <w:pPr>
      <w:tabs>
        <w:tab w:val="center" w:leader="none" w:pos="4680"/>
        <w:tab w:val="right" w:leader="none" w:pos="9360"/>
      </w:tabs>
      <w:spacing w:after="0" w:line="240" w:lineRule="auto"/>
    </w:pPr>
  </w:style>
  <w:style w:type="paragraph" w:styleId="Footer">
    <w:uiPriority w:val="99"/>
    <w:name w:val="footer"/>
    <w:basedOn w:val="Normal"/>
    <w:unhideWhenUsed/>
    <w:rsid w:val="0D68AD2A"/>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e924266c0d5494a" /><Relationship Type="http://schemas.microsoft.com/office/2020/10/relationships/intelligence" Target="intelligence2.xml" Id="R973708ae4661473c" /><Relationship Type="http://schemas.openxmlformats.org/officeDocument/2006/relationships/header" Target="header.xml" Id="R7a646a856cb64f16" /><Relationship Type="http://schemas.openxmlformats.org/officeDocument/2006/relationships/footer" Target="footer.xml" Id="Rfffd769bb3a34eab" /><Relationship Type="http://schemas.openxmlformats.org/officeDocument/2006/relationships/image" Target="/media/image2.png" Id="rId1579358505" /><Relationship Type="http://schemas.openxmlformats.org/officeDocument/2006/relationships/hyperlink" Target="https://doi.org/https://doi.org/10.1177/014920639101700108" TargetMode="External" Id="R9722624a8ec34b6b" /><Relationship Type="http://schemas.openxmlformats.org/officeDocument/2006/relationships/hyperlink" Target="https://doi.org/https://doi.org/10.1177/014920639201800306" TargetMode="External" Id="R1e4c3b038b0a490d" /><Relationship Type="http://schemas.openxmlformats.org/officeDocument/2006/relationships/hyperlink" Target="https://doi.org/10.22140/pv.289" TargetMode="External" Id="R29b08aa51ac64a2b" /><Relationship Type="http://schemas.openxmlformats.org/officeDocument/2006/relationships/hyperlink" Target="https://doi.org/https://doi.org/10.2307/249008" TargetMode="External" Id="R03b66b5db7c14e0d" /><Relationship Type="http://schemas.openxmlformats.org/officeDocument/2006/relationships/hyperlink" Target="https://doi.org/https://doi.org/10.2307/2095101" TargetMode="External" Id="R124ea867232740ff" /><Relationship Type="http://schemas.openxmlformats.org/officeDocument/2006/relationships/hyperlink" Target="https://doi.org/https://doi.org/10.2307/2666999" TargetMode="External" Id="Rfd5b8b22991d40b7" /><Relationship Type="http://schemas.openxmlformats.org/officeDocument/2006/relationships/hyperlink" Target="https://monoskop.org/images/4/43/Foucault_Michel_Discipline_and_Punish_The_Birth_of_the_Prison_1977_1995.pdf" TargetMode="External" Id="R2ca48d7564844940" /><Relationship Type="http://schemas.openxmlformats.org/officeDocument/2006/relationships/hyperlink" Target="https://www.legislation.gov.uk/ukpga/2005/9/contents" TargetMode="External" Id="R9a023f267fb84f25" /><Relationship Type="http://schemas.openxmlformats.org/officeDocument/2006/relationships/hyperlink" Target="https://doi.org/10.1525/ae.1977.4.4.02a00120" TargetMode="External" Id="R14036d0c81994c26" /><Relationship Type="http://schemas.openxmlformats.org/officeDocument/2006/relationships/hyperlink" Target="https://doi.org/10.2307/2575337" TargetMode="External" Id="Rc38367e32f154e99" /><Relationship Type="http://schemas.openxmlformats.org/officeDocument/2006/relationships/hyperlink" Target="https://doi.org/10.1177/001872674700100103" TargetMode="External" Id="Ra4a36f75fa97455f" /><Relationship Type="http://schemas.openxmlformats.org/officeDocument/2006/relationships/hyperlink" Target="https://doi.org/10.1177/136248060200600410" TargetMode="External" Id="R0d322d29ac554d32" /><Relationship Type="http://schemas.openxmlformats.org/officeDocument/2006/relationships/hyperlink" Target="https://doi.org/10.1002/job.165" TargetMode="External" Id="R4210b0c10ea34fee" /><Relationship Type="http://schemas.openxmlformats.org/officeDocument/2006/relationships/hyperlink" Target="https://doi.org/10.1016/s0002-9610(33)90912-5" TargetMode="External" Id="R69652eb93b2a4fe0" /><Relationship Type="http://schemas.openxmlformats.org/officeDocument/2006/relationships/hyperlink" Target="https://doi.org/10.2307/2393172" TargetMode="External" Id="R77c83efd8b6a46ce" /><Relationship Type="http://schemas.openxmlformats.org/officeDocument/2006/relationships/hyperlink" Target="https://doi.org/10.2307/2392573" TargetMode="External" Id="Rd6d478810c56466a" /><Relationship Type="http://schemas.openxmlformats.org/officeDocument/2006/relationships/hyperlink" Target="https://doi.org/10.2307/2227672" TargetMode="External" Id="R2c19fa272d9e4f93" /><Relationship Type="http://schemas.openxmlformats.org/officeDocument/2006/relationships/hyperlink" Target="https://doi.org/10.1080/1046171x.1989.12034347" TargetMode="External" Id="Rf38ae5c184b54fa0" /><Relationship Type="http://schemas.openxmlformats.org/officeDocument/2006/relationships/hyperlink" Target="https://doi.org/10.2307/3707860" TargetMode="External" Id="Rd8ac2891514649d7" /><Relationship Type="http://schemas.openxmlformats.org/officeDocument/2006/relationships/hyperlink" Target="https://doi.org/10.1111/j.1468-2230.1983.tb02511.x" TargetMode="External" Id="Rb0f176ac4ba14b4b" /><Relationship Type="http://schemas.openxmlformats.org/officeDocument/2006/relationships/hyperlink" Target="https://doi.org/https://doi.org/10.1207/s15516709cog1202_4" TargetMode="External" Id="R6d597118065b461c" /><Relationship Type="http://schemas.openxmlformats.org/officeDocument/2006/relationships/hyperlink" Target="https://doi.org/10.1017/s0020818300006123" TargetMode="External" Id="R8d6cdd1851dc47a4" /><Relationship Type="http://schemas.openxmlformats.org/officeDocument/2006/relationships/hyperlink" Target="https://www.legislation.gov.uk/anaw/2014/4/contents" TargetMode="External" Id="R189519232e8f4535" /><Relationship Type="http://schemas.openxmlformats.org/officeDocument/2006/relationships/hyperlink" Target="https://doi.org/10.1037/h0074898" TargetMode="External" Id="Rc4fda0f4fe6144c5" /><Relationship Type="http://schemas.openxmlformats.org/officeDocument/2006/relationships/hyperlink" Target="https://doi.org/10.1016/j.jsmc.2009.03.001" TargetMode="External" Id="R1820ce19b480440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2026-02-05T18:20:46.5996758Z</dcterms:created>
  <dcterms:modified xsi:type="dcterms:W3CDTF">2026-10-11T15:10:07.4412866Z</dcterms:modified>
  <dc:creator>Scott Morgan (2319551)</dc:creator>
  <lastModifiedBy>Scott Morgan (2319551)</lastModifiedBy>
</coreProperties>
</file>