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15D22E"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1F28F2CE"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355CAD36"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72FF7C09" w14:textId="7D68E3CF"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roofErr w:type="spellStart"/>
      <w:r>
        <w:rPr>
          <w:rFonts w:ascii="Times New Roman" w:eastAsia="Times New Roman" w:hAnsi="Times New Roman" w:cs="Times New Roman"/>
          <w:b/>
          <w:bCs/>
          <w:color w:val="000000"/>
          <w:kern w:val="0"/>
          <w:sz w:val="28"/>
          <w:szCs w:val="28"/>
          <w:bdr w:val="none" w:sz="0" w:space="0" w:color="auto" w:frame="1"/>
          <w:lang w:eastAsia="en-GB"/>
          <w14:ligatures w14:val="none"/>
        </w:rPr>
        <w:t>Nurshen</w:t>
      </w:r>
      <w:proofErr w:type="spellEnd"/>
      <w:r>
        <w:rPr>
          <w:rFonts w:ascii="Times New Roman" w:eastAsia="Times New Roman" w:hAnsi="Times New Roman" w:cs="Times New Roman"/>
          <w:b/>
          <w:bCs/>
          <w:color w:val="000000"/>
          <w:kern w:val="0"/>
          <w:sz w:val="28"/>
          <w:szCs w:val="28"/>
          <w:bdr w:val="none" w:sz="0" w:space="0" w:color="auto" w:frame="1"/>
          <w:lang w:eastAsia="en-GB"/>
          <w14:ligatures w14:val="none"/>
        </w:rPr>
        <w:t xml:space="preserve"> </w:t>
      </w:r>
      <w:proofErr w:type="spellStart"/>
      <w:r>
        <w:rPr>
          <w:rFonts w:ascii="Times New Roman" w:eastAsia="Times New Roman" w:hAnsi="Times New Roman" w:cs="Times New Roman"/>
          <w:b/>
          <w:bCs/>
          <w:color w:val="000000"/>
          <w:kern w:val="0"/>
          <w:sz w:val="28"/>
          <w:szCs w:val="28"/>
          <w:bdr w:val="none" w:sz="0" w:space="0" w:color="auto" w:frame="1"/>
          <w:lang w:eastAsia="en-GB"/>
          <w14:ligatures w14:val="none"/>
        </w:rPr>
        <w:t>Ackapinar</w:t>
      </w:r>
      <w:proofErr w:type="spellEnd"/>
      <w:r>
        <w:rPr>
          <w:rFonts w:ascii="Times New Roman" w:eastAsia="Times New Roman" w:hAnsi="Times New Roman" w:cs="Times New Roman"/>
          <w:b/>
          <w:bCs/>
          <w:color w:val="000000"/>
          <w:kern w:val="0"/>
          <w:sz w:val="28"/>
          <w:szCs w:val="28"/>
          <w:bdr w:val="none" w:sz="0" w:space="0" w:color="auto" w:frame="1"/>
          <w:lang w:eastAsia="en-GB"/>
          <w14:ligatures w14:val="none"/>
        </w:rPr>
        <w:t xml:space="preserve"> </w:t>
      </w:r>
    </w:p>
    <w:p w14:paraId="48503B94" w14:textId="049DE094"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r>
        <w:rPr>
          <w:rFonts w:ascii="Times New Roman" w:eastAsia="Times New Roman" w:hAnsi="Times New Roman" w:cs="Times New Roman"/>
          <w:b/>
          <w:bCs/>
          <w:color w:val="000000"/>
          <w:kern w:val="0"/>
          <w:sz w:val="28"/>
          <w:szCs w:val="28"/>
          <w:bdr w:val="none" w:sz="0" w:space="0" w:color="auto" w:frame="1"/>
          <w:lang w:eastAsia="en-GB"/>
          <w14:ligatures w14:val="none"/>
        </w:rPr>
        <w:t>Academic Skills</w:t>
      </w:r>
    </w:p>
    <w:p w14:paraId="71EA1FCA" w14:textId="33EB458B"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r>
        <w:rPr>
          <w:rFonts w:ascii="Times New Roman" w:eastAsia="Times New Roman" w:hAnsi="Times New Roman" w:cs="Times New Roman"/>
          <w:b/>
          <w:bCs/>
          <w:color w:val="000000"/>
          <w:kern w:val="0"/>
          <w:sz w:val="28"/>
          <w:szCs w:val="28"/>
          <w:bdr w:val="none" w:sz="0" w:space="0" w:color="auto" w:frame="1"/>
          <w:lang w:eastAsia="en-GB"/>
          <w14:ligatures w14:val="none"/>
        </w:rPr>
        <w:t xml:space="preserve">Part 1 </w:t>
      </w:r>
    </w:p>
    <w:p w14:paraId="7BF7D890"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0F7FA3E0"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5CFE27BA"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46DFFD59"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1B9D12D5"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30BE39D4" w14:textId="77777777" w:rsidR="006B0003" w:rsidRDefault="006B0003" w:rsidP="006B0003">
      <w:pPr>
        <w:spacing w:after="0" w:line="240" w:lineRule="auto"/>
        <w:jc w:val="center"/>
        <w:textAlignment w:val="baseline"/>
        <w:rPr>
          <w:rFonts w:ascii="Times New Roman" w:eastAsia="Times New Roman" w:hAnsi="Times New Roman" w:cs="Times New Roman"/>
          <w:b/>
          <w:bCs/>
          <w:color w:val="000000"/>
          <w:kern w:val="0"/>
          <w:sz w:val="28"/>
          <w:szCs w:val="28"/>
          <w:bdr w:val="none" w:sz="0" w:space="0" w:color="auto" w:frame="1"/>
          <w:lang w:eastAsia="en-GB"/>
          <w14:ligatures w14:val="none"/>
        </w:rPr>
      </w:pPr>
    </w:p>
    <w:p w14:paraId="3FF8A4AC" w14:textId="73E84579" w:rsidR="006B0003" w:rsidRPr="006B0003" w:rsidRDefault="006B0003" w:rsidP="006B0003">
      <w:pPr>
        <w:spacing w:after="0" w:line="240" w:lineRule="auto"/>
        <w:jc w:val="center"/>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b/>
          <w:bCs/>
          <w:color w:val="000000"/>
          <w:kern w:val="0"/>
          <w:sz w:val="28"/>
          <w:szCs w:val="28"/>
          <w:bdr w:val="none" w:sz="0" w:space="0" w:color="auto" w:frame="1"/>
          <w:lang w:eastAsia="en-GB"/>
          <w14:ligatures w14:val="none"/>
        </w:rPr>
        <w:t>"Interpreting Scripture in Modern Contexts: The Impact of Contemporary Societal Values on Biblical Textual Analysis"</w:t>
      </w:r>
    </w:p>
    <w:p w14:paraId="40D2360C"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5B7042D9"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The interpretation of biblical texts has always been subject to various societal influences, which have constantly evolved with standards and changing values. This article explores how contemporary societal values shape the understanding of the Scriptures, affecting theological discourse, moral frameworks, and community actions. As researchers previously noted, societal values can often eclipse traditional interpretations, leading to a nuanced examination of biblical texts (</w:t>
      </w:r>
      <w:proofErr w:type="spellStart"/>
      <w:r w:rsidRPr="006B0003">
        <w:rPr>
          <w:rFonts w:ascii="Times New Roman" w:eastAsia="Times New Roman" w:hAnsi="Times New Roman" w:cs="Times New Roman"/>
          <w:color w:val="000000"/>
          <w:kern w:val="0"/>
          <w:sz w:val="28"/>
          <w:szCs w:val="28"/>
          <w:lang w:eastAsia="en-GB"/>
          <w14:ligatures w14:val="none"/>
        </w:rPr>
        <w:t>Rashkow</w:t>
      </w:r>
      <w:proofErr w:type="spellEnd"/>
      <w:r w:rsidRPr="006B0003">
        <w:rPr>
          <w:rFonts w:ascii="Times New Roman" w:eastAsia="Times New Roman" w:hAnsi="Times New Roman" w:cs="Times New Roman"/>
          <w:color w:val="000000"/>
          <w:kern w:val="0"/>
          <w:sz w:val="28"/>
          <w:szCs w:val="28"/>
          <w:lang w:eastAsia="en-GB"/>
          <w14:ligatures w14:val="none"/>
        </w:rPr>
        <w:t>, 2022).</w:t>
      </w:r>
    </w:p>
    <w:p w14:paraId="7CC16C86"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236D4DE3" w14:textId="2BE14F92"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By analysing contemporary biblical interpretation, it is crucial to recognise societal change towards inclusiveness and social justice. This change arouses </w:t>
      </w:r>
      <w:r w:rsidRPr="006B0003">
        <w:rPr>
          <w:rFonts w:ascii="Times New Roman" w:eastAsia="Times New Roman" w:hAnsi="Times New Roman" w:cs="Times New Roman"/>
          <w:color w:val="000000"/>
          <w:kern w:val="0"/>
          <w:sz w:val="28"/>
          <w:szCs w:val="28"/>
          <w:lang w:eastAsia="en-GB"/>
          <w14:ligatures w14:val="none"/>
        </w:rPr>
        <w:t>are</w:t>
      </w:r>
      <w:r w:rsidRPr="006B0003">
        <w:rPr>
          <w:rFonts w:ascii="Times New Roman" w:eastAsia="Times New Roman" w:hAnsi="Times New Roman" w:cs="Times New Roman"/>
          <w:color w:val="000000"/>
          <w:kern w:val="0"/>
          <w:sz w:val="28"/>
          <w:szCs w:val="28"/>
          <w:lang w:eastAsia="en-GB"/>
          <w14:ligatures w14:val="none"/>
        </w:rPr>
        <w:t xml:space="preserve"> -evaluation of the writings that have been historically armed to marginalise certain groups. For example, the text was reassessed considering the current understanding of gender and sexuality (</w:t>
      </w:r>
      <w:proofErr w:type="spellStart"/>
      <w:r w:rsidRPr="006B0003">
        <w:rPr>
          <w:rFonts w:ascii="Times New Roman" w:eastAsia="Times New Roman" w:hAnsi="Times New Roman" w:cs="Times New Roman"/>
          <w:color w:val="000000"/>
          <w:kern w:val="0"/>
          <w:sz w:val="28"/>
          <w:szCs w:val="28"/>
          <w:lang w:eastAsia="en-GB"/>
          <w14:ligatures w14:val="none"/>
        </w:rPr>
        <w:t>Ileanmi</w:t>
      </w:r>
      <w:proofErr w:type="spellEnd"/>
      <w:r w:rsidRPr="006B0003">
        <w:rPr>
          <w:rFonts w:ascii="Times New Roman" w:eastAsia="Times New Roman" w:hAnsi="Times New Roman" w:cs="Times New Roman"/>
          <w:color w:val="000000"/>
          <w:kern w:val="0"/>
          <w:sz w:val="28"/>
          <w:szCs w:val="28"/>
          <w:lang w:eastAsia="en-GB"/>
          <w14:ligatures w14:val="none"/>
        </w:rPr>
        <w:t>, 2024). Such reinterpretation indicates wider societal movements that reject exclusion practices in favour of a more inclusive dialogue rooted in empathy and understanding.</w:t>
      </w:r>
    </w:p>
    <w:p w14:paraId="3351C506"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63003C90"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In addition, the rise of environmental consciousness in recent decades has also influenced biblical interpretation, where the scriptures are seen through the lens of ecological stewardship. The relevance of the scriptures in discussions on climate change reflects a desire to reconcile faith with contemporary urgent problems (Morrison et al., 2015). This recognition that religious lessons can provide a basis for environmental advocacy demonstrates a substantial change in how biblical texts are engaged in modern society.</w:t>
      </w:r>
    </w:p>
    <w:p w14:paraId="1B2041CC"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3F88EEA6"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Interestingly, some conservative interpretations resist these changes, which often makes modern societal values in opposition to biblical authority. BINDEWALD (2015) explains how conservative Christianity often perceives societal changes as threats to traditional doctrines, particularly in the context of </w:t>
      </w:r>
      <w:r w:rsidRPr="006B0003">
        <w:rPr>
          <w:rFonts w:ascii="Times New Roman" w:eastAsia="Times New Roman" w:hAnsi="Times New Roman" w:cs="Times New Roman"/>
          <w:color w:val="000000"/>
          <w:kern w:val="0"/>
          <w:sz w:val="28"/>
          <w:szCs w:val="28"/>
          <w:lang w:eastAsia="en-GB"/>
          <w14:ligatures w14:val="none"/>
        </w:rPr>
        <w:lastRenderedPageBreak/>
        <w:t>education and the development of programs. This area has seen debates on the inclusion of religious lessons in public schools, reflecting the tension between a progressive interpretation of biblical texts and a fixed adhesion to a literalist reading.</w:t>
      </w:r>
    </w:p>
    <w:p w14:paraId="03383159"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1DC9CB0C"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In addition, the psychological and community health prospects are increasingly influencing the biblical interpretation. Wombwell et al. (2015) revealed how religious beliefs can have an impact on public health decisions, such as the adoption of vaccination, illustrating the deep implications of biblical interpretations on community well-being. The alignment of religious opinions on public health campaigns indicates an evolutionary interpretation of the scriptural texts that prioritise municipal well-being on strict doctrinal adhesion.</w:t>
      </w:r>
    </w:p>
    <w:p w14:paraId="617F492D"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6B272E91"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In addition, interdisciplinary approaches to biblical studies highlight the importance of various methodological perspectives. The compilation of Engler and </w:t>
      </w:r>
      <w:proofErr w:type="spellStart"/>
      <w:r w:rsidRPr="006B0003">
        <w:rPr>
          <w:rFonts w:ascii="Times New Roman" w:eastAsia="Times New Roman" w:hAnsi="Times New Roman" w:cs="Times New Roman"/>
          <w:color w:val="000000"/>
          <w:kern w:val="0"/>
          <w:sz w:val="28"/>
          <w:szCs w:val="28"/>
          <w:lang w:eastAsia="en-GB"/>
          <w14:ligatures w14:val="none"/>
        </w:rPr>
        <w:t>Stausberg</w:t>
      </w:r>
      <w:proofErr w:type="spellEnd"/>
      <w:r w:rsidRPr="006B0003">
        <w:rPr>
          <w:rFonts w:ascii="Times New Roman" w:eastAsia="Times New Roman" w:hAnsi="Times New Roman" w:cs="Times New Roman"/>
          <w:color w:val="000000"/>
          <w:kern w:val="0"/>
          <w:sz w:val="28"/>
          <w:szCs w:val="28"/>
          <w:lang w:eastAsia="en-GB"/>
          <w14:ligatures w14:val="none"/>
        </w:rPr>
        <w:t xml:space="preserve"> (2021) emphasises the integration of qualitative research methods to understand religious texts, which allows a broader application of societal values in interpretation. This critical commitment promotes an environment in which scriptural meanings are dissected, reflecting contemporary realities and moral dilemmas.</w:t>
      </w:r>
    </w:p>
    <w:p w14:paraId="59326E1B"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7EB6DE57"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The currents of globalisation and multiculturalism are also manifested in the biblical interpretation. Researchers such as </w:t>
      </w:r>
      <w:proofErr w:type="spellStart"/>
      <w:r w:rsidRPr="006B0003">
        <w:rPr>
          <w:rFonts w:ascii="Times New Roman" w:eastAsia="Times New Roman" w:hAnsi="Times New Roman" w:cs="Times New Roman"/>
          <w:color w:val="000000"/>
          <w:kern w:val="0"/>
          <w:sz w:val="28"/>
          <w:szCs w:val="28"/>
          <w:lang w:eastAsia="en-GB"/>
          <w14:ligatures w14:val="none"/>
        </w:rPr>
        <w:t>Bigliardi</w:t>
      </w:r>
      <w:proofErr w:type="spellEnd"/>
      <w:r w:rsidRPr="006B0003">
        <w:rPr>
          <w:rFonts w:ascii="Times New Roman" w:eastAsia="Times New Roman" w:hAnsi="Times New Roman" w:cs="Times New Roman"/>
          <w:color w:val="000000"/>
          <w:kern w:val="0"/>
          <w:sz w:val="28"/>
          <w:szCs w:val="28"/>
          <w:lang w:eastAsia="en-GB"/>
          <w14:ligatures w14:val="none"/>
        </w:rPr>
        <w:t xml:space="preserve"> (2017) have analysed how religious texts are cropped in the contexts of scientific surveys and cultural exchanges, revealing the complex interaction between faith and reason in contemporary society. The variety of perspectives shapes community beliefs and practices, with more emphasis on the dynamic readjustment of the text according to current values.</w:t>
      </w:r>
    </w:p>
    <w:p w14:paraId="487CBC52"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7451746C"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In conclusion, the influence of contemporary societal values on the interpretation of biblical texts has multiple facets and is intertwined with inclusiveness, environmental consciousness, and community health. As values evolve, the contextual understanding of the Scriptures also evolves, requiring a continuous dialogue between traditional readings and modern societal contexts (Compare and Albanesi, 2023; </w:t>
      </w:r>
      <w:proofErr w:type="spellStart"/>
      <w:r w:rsidRPr="006B0003">
        <w:rPr>
          <w:rFonts w:ascii="Times New Roman" w:eastAsia="Times New Roman" w:hAnsi="Times New Roman" w:cs="Times New Roman"/>
          <w:color w:val="000000"/>
          <w:kern w:val="0"/>
          <w:sz w:val="28"/>
          <w:szCs w:val="28"/>
          <w:lang w:eastAsia="en-GB"/>
          <w14:ligatures w14:val="none"/>
        </w:rPr>
        <w:t>Pattaro</w:t>
      </w:r>
      <w:proofErr w:type="spellEnd"/>
      <w:r w:rsidRPr="006B0003">
        <w:rPr>
          <w:rFonts w:ascii="Times New Roman" w:eastAsia="Times New Roman" w:hAnsi="Times New Roman" w:cs="Times New Roman"/>
          <w:color w:val="000000"/>
          <w:kern w:val="0"/>
          <w:sz w:val="28"/>
          <w:szCs w:val="28"/>
          <w:lang w:eastAsia="en-GB"/>
          <w14:ligatures w14:val="none"/>
        </w:rPr>
        <w:t>, 2016).</w:t>
      </w:r>
    </w:p>
    <w:p w14:paraId="73EC3CE1"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48E88870" w14:textId="2E7D9DA2"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Considering</w:t>
      </w:r>
      <w:r w:rsidRPr="006B0003">
        <w:rPr>
          <w:rFonts w:ascii="Times New Roman" w:eastAsia="Times New Roman" w:hAnsi="Times New Roman" w:cs="Times New Roman"/>
          <w:color w:val="000000"/>
          <w:kern w:val="0"/>
          <w:sz w:val="28"/>
          <w:szCs w:val="28"/>
          <w:lang w:eastAsia="en-GB"/>
          <w14:ligatures w14:val="none"/>
        </w:rPr>
        <w:t xml:space="preserve"> this exploration, it remains imperative for academics and practitioners to embrace these evolving interpretations, recognising that they reflect not only changing societal values but also the lasting relevance of biblical texts in understanding and responding to the complexities of modern life. The path to follow is based on gaps to fill between traditional interpretations and contemporary needs, affirming the dynamic nature of faith within society.</w:t>
      </w:r>
    </w:p>
    <w:p w14:paraId="1BC6FE8A"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lastRenderedPageBreak/>
        <w:t> </w:t>
      </w:r>
    </w:p>
    <w:p w14:paraId="3C1FC368" w14:textId="6E19B769" w:rsidR="006B0003" w:rsidRPr="006B0003" w:rsidRDefault="006B0003" w:rsidP="006B0003">
      <w:pPr>
        <w:spacing w:after="0" w:line="240" w:lineRule="auto"/>
        <w:textAlignment w:val="baseline"/>
        <w:outlineLvl w:val="2"/>
        <w:rPr>
          <w:rFonts w:ascii="Times New Roman" w:eastAsia="Times New Roman" w:hAnsi="Times New Roman" w:cs="Times New Roman"/>
          <w:b/>
          <w:bCs/>
          <w:color w:val="000000"/>
          <w:kern w:val="0"/>
          <w:sz w:val="28"/>
          <w:szCs w:val="28"/>
          <w:lang w:eastAsia="en-GB"/>
          <w14:ligatures w14:val="none"/>
        </w:rPr>
      </w:pPr>
      <w:r w:rsidRPr="006B0003">
        <w:rPr>
          <w:rFonts w:ascii="Times New Roman" w:eastAsia="Times New Roman" w:hAnsi="Times New Roman" w:cs="Times New Roman"/>
          <w:b/>
          <w:bCs/>
          <w:color w:val="000000"/>
          <w:kern w:val="0"/>
          <w:sz w:val="28"/>
          <w:szCs w:val="28"/>
          <w:bdr w:val="none" w:sz="0" w:space="0" w:color="auto" w:frame="1"/>
          <w:lang w:eastAsia="en-GB"/>
          <w14:ligatures w14:val="none"/>
        </w:rPr>
        <w:t>References</w:t>
      </w:r>
      <w:r w:rsidRPr="006B0003">
        <w:rPr>
          <w:rFonts w:ascii="Times New Roman" w:eastAsia="Times New Roman" w:hAnsi="Times New Roman" w:cs="Times New Roman"/>
          <w:b/>
          <w:bCs/>
          <w:color w:val="000000"/>
          <w:kern w:val="0"/>
          <w:sz w:val="28"/>
          <w:szCs w:val="28"/>
          <w:bdr w:val="none" w:sz="0" w:space="0" w:color="auto" w:frame="1"/>
          <w:lang w:eastAsia="en-GB"/>
          <w14:ligatures w14:val="none"/>
        </w:rPr>
        <w:t>:</w:t>
      </w:r>
    </w:p>
    <w:p w14:paraId="29984D5E"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proofErr w:type="spellStart"/>
      <w:r w:rsidRPr="006B0003">
        <w:rPr>
          <w:rFonts w:ascii="Times New Roman" w:eastAsia="Times New Roman" w:hAnsi="Times New Roman" w:cs="Times New Roman"/>
          <w:color w:val="000000"/>
          <w:kern w:val="0"/>
          <w:sz w:val="28"/>
          <w:szCs w:val="28"/>
          <w:lang w:eastAsia="en-GB"/>
          <w14:ligatures w14:val="none"/>
        </w:rPr>
        <w:t>Rashkow</w:t>
      </w:r>
      <w:proofErr w:type="spellEnd"/>
      <w:r w:rsidRPr="006B0003">
        <w:rPr>
          <w:rFonts w:ascii="Times New Roman" w:eastAsia="Times New Roman" w:hAnsi="Times New Roman" w:cs="Times New Roman"/>
          <w:color w:val="000000"/>
          <w:kern w:val="0"/>
          <w:sz w:val="28"/>
          <w:szCs w:val="28"/>
          <w:lang w:eastAsia="en-GB"/>
          <w14:ligatures w14:val="none"/>
        </w:rPr>
        <w:t>, I.L.O.N.A., 2022. Current trends in academic biblical studies. Jewish Bible Quarterly, 50(2).</w:t>
      </w:r>
    </w:p>
    <w:p w14:paraId="52DCC7CB"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7AE99CDF"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Ilesanmi, D.A., 2024. Biblical Research: A Theological and Epistemological Inquiry.</w:t>
      </w:r>
    </w:p>
    <w:p w14:paraId="6F3406F4"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39FBA6DE"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proofErr w:type="spellStart"/>
      <w:r w:rsidRPr="006B0003">
        <w:rPr>
          <w:rFonts w:ascii="Times New Roman" w:eastAsia="Times New Roman" w:hAnsi="Times New Roman" w:cs="Times New Roman"/>
          <w:color w:val="000000"/>
          <w:kern w:val="0"/>
          <w:sz w:val="28"/>
          <w:szCs w:val="28"/>
          <w:lang w:eastAsia="en-GB"/>
          <w14:ligatures w14:val="none"/>
        </w:rPr>
        <w:t>Bigliardi</w:t>
      </w:r>
      <w:proofErr w:type="spellEnd"/>
      <w:r w:rsidRPr="006B0003">
        <w:rPr>
          <w:rFonts w:ascii="Times New Roman" w:eastAsia="Times New Roman" w:hAnsi="Times New Roman" w:cs="Times New Roman"/>
          <w:color w:val="000000"/>
          <w:kern w:val="0"/>
          <w:sz w:val="28"/>
          <w:szCs w:val="28"/>
          <w:lang w:eastAsia="en-GB"/>
          <w14:ligatures w14:val="none"/>
        </w:rPr>
        <w:t xml:space="preserve">, S., 2017. THE “SCIENTIFIC MIRACLE OF THE QUR’ĀN,” PSEUDOSCIENCE, AND CONSPIRACISM: with Alexandra </w:t>
      </w:r>
      <w:proofErr w:type="spellStart"/>
      <w:r w:rsidRPr="006B0003">
        <w:rPr>
          <w:rFonts w:ascii="Times New Roman" w:eastAsia="Times New Roman" w:hAnsi="Times New Roman" w:cs="Times New Roman"/>
          <w:color w:val="000000"/>
          <w:kern w:val="0"/>
          <w:sz w:val="28"/>
          <w:szCs w:val="28"/>
          <w:lang w:eastAsia="en-GB"/>
          <w14:ligatures w14:val="none"/>
        </w:rPr>
        <w:t>Prince,“Stirpiculture</w:t>
      </w:r>
      <w:proofErr w:type="spellEnd"/>
      <w:r w:rsidRPr="006B0003">
        <w:rPr>
          <w:rFonts w:ascii="Times New Roman" w:eastAsia="Times New Roman" w:hAnsi="Times New Roman" w:cs="Times New Roman"/>
          <w:color w:val="000000"/>
          <w:kern w:val="0"/>
          <w:sz w:val="28"/>
          <w:szCs w:val="28"/>
          <w:lang w:eastAsia="en-GB"/>
          <w14:ligatures w14:val="none"/>
        </w:rPr>
        <w:t xml:space="preserve">: Science‐Guided Human Propagation and the Oneida Community”; Ismael </w:t>
      </w:r>
      <w:proofErr w:type="spellStart"/>
      <w:r w:rsidRPr="006B0003">
        <w:rPr>
          <w:rFonts w:ascii="Times New Roman" w:eastAsia="Times New Roman" w:hAnsi="Times New Roman" w:cs="Times New Roman"/>
          <w:color w:val="000000"/>
          <w:kern w:val="0"/>
          <w:sz w:val="28"/>
          <w:szCs w:val="28"/>
          <w:lang w:eastAsia="en-GB"/>
          <w14:ligatures w14:val="none"/>
        </w:rPr>
        <w:t>Apud,“Science</w:t>
      </w:r>
      <w:proofErr w:type="spellEnd"/>
      <w:r w:rsidRPr="006B0003">
        <w:rPr>
          <w:rFonts w:ascii="Times New Roman" w:eastAsia="Times New Roman" w:hAnsi="Times New Roman" w:cs="Times New Roman"/>
          <w:color w:val="000000"/>
          <w:kern w:val="0"/>
          <w:sz w:val="28"/>
          <w:szCs w:val="28"/>
          <w:lang w:eastAsia="en-GB"/>
          <w14:ligatures w14:val="none"/>
        </w:rPr>
        <w:t xml:space="preserve">, Spirituality, and Ayahuasca: The Problem of Consciousness and Spiritual Ontologies in the Academy”; Ankur </w:t>
      </w:r>
      <w:proofErr w:type="spellStart"/>
      <w:proofErr w:type="gramStart"/>
      <w:r w:rsidRPr="006B0003">
        <w:rPr>
          <w:rFonts w:ascii="Times New Roman" w:eastAsia="Times New Roman" w:hAnsi="Times New Roman" w:cs="Times New Roman"/>
          <w:color w:val="000000"/>
          <w:kern w:val="0"/>
          <w:sz w:val="28"/>
          <w:szCs w:val="28"/>
          <w:lang w:eastAsia="en-GB"/>
          <w14:ligatures w14:val="none"/>
        </w:rPr>
        <w:t>Barua,“</w:t>
      </w:r>
      <w:proofErr w:type="gramEnd"/>
      <w:r w:rsidRPr="006B0003">
        <w:rPr>
          <w:rFonts w:ascii="Times New Roman" w:eastAsia="Times New Roman" w:hAnsi="Times New Roman" w:cs="Times New Roman"/>
          <w:color w:val="000000"/>
          <w:kern w:val="0"/>
          <w:sz w:val="28"/>
          <w:szCs w:val="28"/>
          <w:lang w:eastAsia="en-GB"/>
          <w14:ligatures w14:val="none"/>
        </w:rPr>
        <w:t>Investigating</w:t>
      </w:r>
      <w:proofErr w:type="spellEnd"/>
      <w:r w:rsidRPr="006B0003">
        <w:rPr>
          <w:rFonts w:ascii="Times New Roman" w:eastAsia="Times New Roman" w:hAnsi="Times New Roman" w:cs="Times New Roman"/>
          <w:color w:val="000000"/>
          <w:kern w:val="0"/>
          <w:sz w:val="28"/>
          <w:szCs w:val="28"/>
          <w:lang w:eastAsia="en-GB"/>
          <w14:ligatures w14:val="none"/>
        </w:rPr>
        <w:t xml:space="preserve"> the ‘</w:t>
      </w:r>
      <w:proofErr w:type="spellStart"/>
      <w:r w:rsidRPr="006B0003">
        <w:rPr>
          <w:rFonts w:ascii="Times New Roman" w:eastAsia="Times New Roman" w:hAnsi="Times New Roman" w:cs="Times New Roman"/>
          <w:color w:val="000000"/>
          <w:kern w:val="0"/>
          <w:sz w:val="28"/>
          <w:szCs w:val="28"/>
          <w:lang w:eastAsia="en-GB"/>
          <w14:ligatures w14:val="none"/>
        </w:rPr>
        <w:t>Science’in</w:t>
      </w:r>
      <w:proofErr w:type="spellEnd"/>
      <w:r w:rsidRPr="006B0003">
        <w:rPr>
          <w:rFonts w:ascii="Times New Roman" w:eastAsia="Times New Roman" w:hAnsi="Times New Roman" w:cs="Times New Roman"/>
          <w:color w:val="000000"/>
          <w:kern w:val="0"/>
          <w:sz w:val="28"/>
          <w:szCs w:val="28"/>
          <w:lang w:eastAsia="en-GB"/>
          <w14:ligatures w14:val="none"/>
        </w:rPr>
        <w:t xml:space="preserve"> ‘Eastern Religions’: A Methodological Inquiry”; Stefano </w:t>
      </w:r>
      <w:proofErr w:type="spellStart"/>
      <w:proofErr w:type="gramStart"/>
      <w:r w:rsidRPr="006B0003">
        <w:rPr>
          <w:rFonts w:ascii="Times New Roman" w:eastAsia="Times New Roman" w:hAnsi="Times New Roman" w:cs="Times New Roman"/>
          <w:color w:val="000000"/>
          <w:kern w:val="0"/>
          <w:sz w:val="28"/>
          <w:szCs w:val="28"/>
          <w:lang w:eastAsia="en-GB"/>
          <w14:ligatures w14:val="none"/>
        </w:rPr>
        <w:t>Bigliardi</w:t>
      </w:r>
      <w:proofErr w:type="spellEnd"/>
      <w:r w:rsidRPr="006B0003">
        <w:rPr>
          <w:rFonts w:ascii="Times New Roman" w:eastAsia="Times New Roman" w:hAnsi="Times New Roman" w:cs="Times New Roman"/>
          <w:color w:val="000000"/>
          <w:kern w:val="0"/>
          <w:sz w:val="28"/>
          <w:szCs w:val="28"/>
          <w:lang w:eastAsia="en-GB"/>
          <w14:ligatures w14:val="none"/>
        </w:rPr>
        <w:t>,“</w:t>
      </w:r>
      <w:proofErr w:type="gramEnd"/>
      <w:r w:rsidRPr="006B0003">
        <w:rPr>
          <w:rFonts w:ascii="Times New Roman" w:eastAsia="Times New Roman" w:hAnsi="Times New Roman" w:cs="Times New Roman"/>
          <w:color w:val="000000"/>
          <w:kern w:val="0"/>
          <w:sz w:val="28"/>
          <w:szCs w:val="28"/>
          <w:lang w:eastAsia="en-GB"/>
          <w14:ligatures w14:val="none"/>
        </w:rPr>
        <w:t>The ‘Scientific Miracle of the Qur’</w:t>
      </w:r>
      <w:proofErr w:type="spellStart"/>
      <w:r w:rsidRPr="006B0003">
        <w:rPr>
          <w:rFonts w:ascii="Times New Roman" w:eastAsia="Times New Roman" w:hAnsi="Times New Roman" w:cs="Times New Roman"/>
          <w:color w:val="000000"/>
          <w:kern w:val="0"/>
          <w:sz w:val="28"/>
          <w:szCs w:val="28"/>
          <w:lang w:eastAsia="en-GB"/>
          <w14:ligatures w14:val="none"/>
        </w:rPr>
        <w:t>ān</w:t>
      </w:r>
      <w:proofErr w:type="spellEnd"/>
      <w:r w:rsidRPr="006B0003">
        <w:rPr>
          <w:rFonts w:ascii="Times New Roman" w:eastAsia="Times New Roman" w:hAnsi="Times New Roman" w:cs="Times New Roman"/>
          <w:color w:val="000000"/>
          <w:kern w:val="0"/>
          <w:sz w:val="28"/>
          <w:szCs w:val="28"/>
          <w:lang w:eastAsia="en-GB"/>
          <w14:ligatures w14:val="none"/>
        </w:rPr>
        <w:t>,’Pseudoscience, and Conspiracism”; and E. Allen Jones III, “A.... Zygon®, 52(1), pp.146-171.</w:t>
      </w:r>
    </w:p>
    <w:p w14:paraId="063D5F9B"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7B895F53"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Bindewald, B.J., 2015. In the world, but not of the world: Understanding conservative Christianity and its relationship with American public schools. Educational Studies, 51(2), pp. 93-111.</w:t>
      </w:r>
    </w:p>
    <w:p w14:paraId="601ADED3"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01E31F3F"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Wombwell, E., Fangman, M.T., Yoder, A.K. and Spero, D.L., 2015. Religious barriers to measles vaccination. Journal of community health, 40, pp. 597-604.</w:t>
      </w:r>
    </w:p>
    <w:p w14:paraId="01325828"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036CA6B7"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Shaus, A., Gerber, Y., </w:t>
      </w:r>
      <w:proofErr w:type="spellStart"/>
      <w:r w:rsidRPr="006B0003">
        <w:rPr>
          <w:rFonts w:ascii="Times New Roman" w:eastAsia="Times New Roman" w:hAnsi="Times New Roman" w:cs="Times New Roman"/>
          <w:color w:val="000000"/>
          <w:kern w:val="0"/>
          <w:sz w:val="28"/>
          <w:szCs w:val="28"/>
          <w:lang w:eastAsia="en-GB"/>
          <w14:ligatures w14:val="none"/>
        </w:rPr>
        <w:t>Faigenbaum</w:t>
      </w:r>
      <w:proofErr w:type="spellEnd"/>
      <w:r w:rsidRPr="006B0003">
        <w:rPr>
          <w:rFonts w:ascii="Times New Roman" w:eastAsia="Times New Roman" w:hAnsi="Times New Roman" w:cs="Times New Roman"/>
          <w:color w:val="000000"/>
          <w:kern w:val="0"/>
          <w:sz w:val="28"/>
          <w:szCs w:val="28"/>
          <w:lang w:eastAsia="en-GB"/>
          <w14:ligatures w14:val="none"/>
        </w:rPr>
        <w:t xml:space="preserve">-Golovin, S., Sober, B., </w:t>
      </w:r>
      <w:proofErr w:type="spellStart"/>
      <w:r w:rsidRPr="006B0003">
        <w:rPr>
          <w:rFonts w:ascii="Times New Roman" w:eastAsia="Times New Roman" w:hAnsi="Times New Roman" w:cs="Times New Roman"/>
          <w:color w:val="000000"/>
          <w:kern w:val="0"/>
          <w:sz w:val="28"/>
          <w:szCs w:val="28"/>
          <w:lang w:eastAsia="en-GB"/>
          <w14:ligatures w14:val="none"/>
        </w:rPr>
        <w:t>Piasetzky</w:t>
      </w:r>
      <w:proofErr w:type="spellEnd"/>
      <w:r w:rsidRPr="006B0003">
        <w:rPr>
          <w:rFonts w:ascii="Times New Roman" w:eastAsia="Times New Roman" w:hAnsi="Times New Roman" w:cs="Times New Roman"/>
          <w:color w:val="000000"/>
          <w:kern w:val="0"/>
          <w:sz w:val="28"/>
          <w:szCs w:val="28"/>
          <w:lang w:eastAsia="en-GB"/>
          <w14:ligatures w14:val="none"/>
        </w:rPr>
        <w:t xml:space="preserve">, E. and Finkelstein, I., 2020. Forensic document examination and algorithmic handwriting analysis of Judahite biblical period inscriptions revealed a significant literacy level. </w:t>
      </w:r>
      <w:proofErr w:type="spellStart"/>
      <w:r w:rsidRPr="006B0003">
        <w:rPr>
          <w:rFonts w:ascii="Times New Roman" w:eastAsia="Times New Roman" w:hAnsi="Times New Roman" w:cs="Times New Roman"/>
          <w:color w:val="000000"/>
          <w:kern w:val="0"/>
          <w:sz w:val="28"/>
          <w:szCs w:val="28"/>
          <w:lang w:eastAsia="en-GB"/>
          <w14:ligatures w14:val="none"/>
        </w:rPr>
        <w:t>Plos</w:t>
      </w:r>
      <w:proofErr w:type="spellEnd"/>
      <w:r w:rsidRPr="006B0003">
        <w:rPr>
          <w:rFonts w:ascii="Times New Roman" w:eastAsia="Times New Roman" w:hAnsi="Times New Roman" w:cs="Times New Roman"/>
          <w:color w:val="000000"/>
          <w:kern w:val="0"/>
          <w:sz w:val="28"/>
          <w:szCs w:val="28"/>
          <w:lang w:eastAsia="en-GB"/>
          <w14:ligatures w14:val="none"/>
        </w:rPr>
        <w:t xml:space="preserve"> one, 15(9), p.e0237962.</w:t>
      </w:r>
    </w:p>
    <w:p w14:paraId="7A447D15"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307F8E11"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Morrison, M., Duncan, R. and Parton, K., 2015. Religion does matter for climate change attitudes and behaviour. </w:t>
      </w:r>
      <w:proofErr w:type="spellStart"/>
      <w:r w:rsidRPr="006B0003">
        <w:rPr>
          <w:rFonts w:ascii="Times New Roman" w:eastAsia="Times New Roman" w:hAnsi="Times New Roman" w:cs="Times New Roman"/>
          <w:color w:val="000000"/>
          <w:kern w:val="0"/>
          <w:sz w:val="28"/>
          <w:szCs w:val="28"/>
          <w:lang w:eastAsia="en-GB"/>
          <w14:ligatures w14:val="none"/>
        </w:rPr>
        <w:t>PloS</w:t>
      </w:r>
      <w:proofErr w:type="spellEnd"/>
      <w:r w:rsidRPr="006B0003">
        <w:rPr>
          <w:rFonts w:ascii="Times New Roman" w:eastAsia="Times New Roman" w:hAnsi="Times New Roman" w:cs="Times New Roman"/>
          <w:color w:val="000000"/>
          <w:kern w:val="0"/>
          <w:sz w:val="28"/>
          <w:szCs w:val="28"/>
          <w:lang w:eastAsia="en-GB"/>
          <w14:ligatures w14:val="none"/>
        </w:rPr>
        <w:t xml:space="preserve"> one, 10(8), p.e0134868.</w:t>
      </w:r>
    </w:p>
    <w:p w14:paraId="2879DC66"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6608EDB3"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Compare, C. and Albanesi, C., 2023. Belief, attitude and critical understanding. A systematic review of social justice in Service‐Learning experiences. Journal of Community &amp; Applied Social Psychology, 33(2), pp.332-355.</w:t>
      </w:r>
    </w:p>
    <w:p w14:paraId="7F93D227"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64F2121C"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proofErr w:type="spellStart"/>
      <w:r w:rsidRPr="006B0003">
        <w:rPr>
          <w:rFonts w:ascii="Times New Roman" w:eastAsia="Times New Roman" w:hAnsi="Times New Roman" w:cs="Times New Roman"/>
          <w:color w:val="000000"/>
          <w:kern w:val="0"/>
          <w:sz w:val="28"/>
          <w:szCs w:val="28"/>
          <w:lang w:eastAsia="en-GB"/>
          <w14:ligatures w14:val="none"/>
        </w:rPr>
        <w:t>Pattaro</w:t>
      </w:r>
      <w:proofErr w:type="spellEnd"/>
      <w:r w:rsidRPr="006B0003">
        <w:rPr>
          <w:rFonts w:ascii="Times New Roman" w:eastAsia="Times New Roman" w:hAnsi="Times New Roman" w:cs="Times New Roman"/>
          <w:color w:val="000000"/>
          <w:kern w:val="0"/>
          <w:sz w:val="28"/>
          <w:szCs w:val="28"/>
          <w:lang w:eastAsia="en-GB"/>
          <w14:ligatures w14:val="none"/>
        </w:rPr>
        <w:t xml:space="preserve">, C., 2016. Character education: Themes and </w:t>
      </w:r>
      <w:proofErr w:type="gramStart"/>
      <w:r w:rsidRPr="006B0003">
        <w:rPr>
          <w:rFonts w:ascii="Times New Roman" w:eastAsia="Times New Roman" w:hAnsi="Times New Roman" w:cs="Times New Roman"/>
          <w:color w:val="000000"/>
          <w:kern w:val="0"/>
          <w:sz w:val="28"/>
          <w:szCs w:val="28"/>
          <w:lang w:eastAsia="en-GB"/>
          <w14:ligatures w14:val="none"/>
        </w:rPr>
        <w:t>researches</w:t>
      </w:r>
      <w:proofErr w:type="gramEnd"/>
      <w:r w:rsidRPr="006B0003">
        <w:rPr>
          <w:rFonts w:ascii="Times New Roman" w:eastAsia="Times New Roman" w:hAnsi="Times New Roman" w:cs="Times New Roman"/>
          <w:color w:val="000000"/>
          <w:kern w:val="0"/>
          <w:sz w:val="28"/>
          <w:szCs w:val="28"/>
          <w:lang w:eastAsia="en-GB"/>
          <w14:ligatures w14:val="none"/>
        </w:rPr>
        <w:t>. An academic literature review. Italian Journal of Sociology of Education, 8(1), pp.6-30.</w:t>
      </w:r>
    </w:p>
    <w:p w14:paraId="35ADA466"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w:t>
      </w:r>
    </w:p>
    <w:p w14:paraId="6188A9EE" w14:textId="77777777" w:rsidR="006B0003" w:rsidRPr="006B0003" w:rsidRDefault="006B0003" w:rsidP="006B0003">
      <w:pPr>
        <w:spacing w:after="0" w:line="240" w:lineRule="auto"/>
        <w:textAlignment w:val="baseline"/>
        <w:rPr>
          <w:rFonts w:ascii="Times New Roman" w:eastAsia="Times New Roman" w:hAnsi="Times New Roman" w:cs="Times New Roman"/>
          <w:color w:val="000000"/>
          <w:kern w:val="0"/>
          <w:sz w:val="28"/>
          <w:szCs w:val="28"/>
          <w:lang w:eastAsia="en-GB"/>
          <w14:ligatures w14:val="none"/>
        </w:rPr>
      </w:pPr>
      <w:r w:rsidRPr="006B0003">
        <w:rPr>
          <w:rFonts w:ascii="Times New Roman" w:eastAsia="Times New Roman" w:hAnsi="Times New Roman" w:cs="Times New Roman"/>
          <w:color w:val="000000"/>
          <w:kern w:val="0"/>
          <w:sz w:val="28"/>
          <w:szCs w:val="28"/>
          <w:lang w:eastAsia="en-GB"/>
          <w14:ligatures w14:val="none"/>
        </w:rPr>
        <w:t xml:space="preserve">Engler, S. and </w:t>
      </w:r>
      <w:proofErr w:type="spellStart"/>
      <w:r w:rsidRPr="006B0003">
        <w:rPr>
          <w:rFonts w:ascii="Times New Roman" w:eastAsia="Times New Roman" w:hAnsi="Times New Roman" w:cs="Times New Roman"/>
          <w:color w:val="000000"/>
          <w:kern w:val="0"/>
          <w:sz w:val="28"/>
          <w:szCs w:val="28"/>
          <w:lang w:eastAsia="en-GB"/>
          <w14:ligatures w14:val="none"/>
        </w:rPr>
        <w:t>Stausberg</w:t>
      </w:r>
      <w:proofErr w:type="spellEnd"/>
      <w:r w:rsidRPr="006B0003">
        <w:rPr>
          <w:rFonts w:ascii="Times New Roman" w:eastAsia="Times New Roman" w:hAnsi="Times New Roman" w:cs="Times New Roman"/>
          <w:color w:val="000000"/>
          <w:kern w:val="0"/>
          <w:sz w:val="28"/>
          <w:szCs w:val="28"/>
          <w:lang w:eastAsia="en-GB"/>
          <w14:ligatures w14:val="none"/>
        </w:rPr>
        <w:t>, M. eds., 2021. The Routledge handbook of research methods in the study of religion. Routledge.</w:t>
      </w:r>
    </w:p>
    <w:p w14:paraId="6E4CE16E" w14:textId="77777777" w:rsidR="008E13C4" w:rsidRPr="006B0003" w:rsidRDefault="008E13C4">
      <w:pPr>
        <w:rPr>
          <w:rFonts w:ascii="Times New Roman" w:hAnsi="Times New Roman" w:cs="Times New Roman"/>
          <w:sz w:val="28"/>
          <w:szCs w:val="28"/>
        </w:rPr>
      </w:pPr>
    </w:p>
    <w:sectPr w:rsidR="008E13C4" w:rsidRPr="006B0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15341" w14:textId="77777777" w:rsidR="0062032E" w:rsidRDefault="0062032E" w:rsidP="0066300D">
      <w:pPr>
        <w:spacing w:after="0" w:line="240" w:lineRule="auto"/>
      </w:pPr>
      <w:r>
        <w:separator/>
      </w:r>
    </w:p>
  </w:endnote>
  <w:endnote w:type="continuationSeparator" w:id="0">
    <w:p w14:paraId="736523F8" w14:textId="77777777" w:rsidR="0062032E" w:rsidRDefault="0062032E" w:rsidP="00663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1E745" w14:textId="77777777" w:rsidR="0062032E" w:rsidRDefault="0062032E" w:rsidP="0066300D">
      <w:pPr>
        <w:spacing w:after="0" w:line="240" w:lineRule="auto"/>
      </w:pPr>
      <w:r>
        <w:separator/>
      </w:r>
    </w:p>
  </w:footnote>
  <w:footnote w:type="continuationSeparator" w:id="0">
    <w:p w14:paraId="1A65B1DF" w14:textId="77777777" w:rsidR="0062032E" w:rsidRDefault="0062032E" w:rsidP="006630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25E"/>
    <w:rsid w:val="0004025E"/>
    <w:rsid w:val="001C7C63"/>
    <w:rsid w:val="0062032E"/>
    <w:rsid w:val="0066300D"/>
    <w:rsid w:val="006B0003"/>
    <w:rsid w:val="008E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185E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25E"/>
    <w:rPr>
      <w:rFonts w:eastAsiaTheme="majorEastAsia" w:cstheme="majorBidi"/>
      <w:color w:val="272727" w:themeColor="text1" w:themeTint="D8"/>
    </w:rPr>
  </w:style>
  <w:style w:type="paragraph" w:styleId="Title">
    <w:name w:val="Title"/>
    <w:basedOn w:val="Normal"/>
    <w:next w:val="Normal"/>
    <w:link w:val="TitleChar"/>
    <w:uiPriority w:val="10"/>
    <w:qFormat/>
    <w:rsid w:val="00040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25E"/>
    <w:pPr>
      <w:spacing w:before="160"/>
      <w:jc w:val="center"/>
    </w:pPr>
    <w:rPr>
      <w:i/>
      <w:iCs/>
      <w:color w:val="404040" w:themeColor="text1" w:themeTint="BF"/>
    </w:rPr>
  </w:style>
  <w:style w:type="character" w:customStyle="1" w:styleId="QuoteChar">
    <w:name w:val="Quote Char"/>
    <w:basedOn w:val="DefaultParagraphFont"/>
    <w:link w:val="Quote"/>
    <w:uiPriority w:val="29"/>
    <w:rsid w:val="0004025E"/>
    <w:rPr>
      <w:i/>
      <w:iCs/>
      <w:color w:val="404040" w:themeColor="text1" w:themeTint="BF"/>
    </w:rPr>
  </w:style>
  <w:style w:type="paragraph" w:styleId="ListParagraph">
    <w:name w:val="List Paragraph"/>
    <w:basedOn w:val="Normal"/>
    <w:uiPriority w:val="34"/>
    <w:qFormat/>
    <w:rsid w:val="0004025E"/>
    <w:pPr>
      <w:ind w:left="720"/>
      <w:contextualSpacing/>
    </w:pPr>
  </w:style>
  <w:style w:type="character" w:styleId="IntenseEmphasis">
    <w:name w:val="Intense Emphasis"/>
    <w:basedOn w:val="DefaultParagraphFont"/>
    <w:uiPriority w:val="21"/>
    <w:qFormat/>
    <w:rsid w:val="0004025E"/>
    <w:rPr>
      <w:i/>
      <w:iCs/>
      <w:color w:val="0F4761" w:themeColor="accent1" w:themeShade="BF"/>
    </w:rPr>
  </w:style>
  <w:style w:type="paragraph" w:styleId="IntenseQuote">
    <w:name w:val="Intense Quote"/>
    <w:basedOn w:val="Normal"/>
    <w:next w:val="Normal"/>
    <w:link w:val="IntenseQuoteChar"/>
    <w:uiPriority w:val="30"/>
    <w:qFormat/>
    <w:rsid w:val="00040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25E"/>
    <w:rPr>
      <w:i/>
      <w:iCs/>
      <w:color w:val="0F4761" w:themeColor="accent1" w:themeShade="BF"/>
    </w:rPr>
  </w:style>
  <w:style w:type="character" w:styleId="IntenseReference">
    <w:name w:val="Intense Reference"/>
    <w:basedOn w:val="DefaultParagraphFont"/>
    <w:uiPriority w:val="32"/>
    <w:qFormat/>
    <w:rsid w:val="0004025E"/>
    <w:rPr>
      <w:b/>
      <w:bCs/>
      <w:smallCaps/>
      <w:color w:val="0F4761" w:themeColor="accent1" w:themeShade="BF"/>
      <w:spacing w:val="5"/>
    </w:rPr>
  </w:style>
  <w:style w:type="paragraph" w:styleId="Header">
    <w:name w:val="header"/>
    <w:basedOn w:val="Normal"/>
    <w:link w:val="HeaderChar"/>
    <w:uiPriority w:val="99"/>
    <w:unhideWhenUsed/>
    <w:rsid w:val="00663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00D"/>
  </w:style>
  <w:style w:type="paragraph" w:styleId="Footer">
    <w:name w:val="footer"/>
    <w:basedOn w:val="Normal"/>
    <w:link w:val="FooterChar"/>
    <w:uiPriority w:val="99"/>
    <w:unhideWhenUsed/>
    <w:rsid w:val="00663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26037">
      <w:bodyDiv w:val="1"/>
      <w:marLeft w:val="0"/>
      <w:marRight w:val="0"/>
      <w:marTop w:val="0"/>
      <w:marBottom w:val="0"/>
      <w:divBdr>
        <w:top w:val="none" w:sz="0" w:space="0" w:color="auto"/>
        <w:left w:val="none" w:sz="0" w:space="0" w:color="auto"/>
        <w:bottom w:val="none" w:sz="0" w:space="0" w:color="auto"/>
        <w:right w:val="none" w:sz="0" w:space="0" w:color="auto"/>
      </w:divBdr>
    </w:div>
    <w:div w:id="431367008">
      <w:bodyDiv w:val="1"/>
      <w:marLeft w:val="0"/>
      <w:marRight w:val="0"/>
      <w:marTop w:val="0"/>
      <w:marBottom w:val="0"/>
      <w:divBdr>
        <w:top w:val="none" w:sz="0" w:space="0" w:color="auto"/>
        <w:left w:val="none" w:sz="0" w:space="0" w:color="auto"/>
        <w:bottom w:val="none" w:sz="0" w:space="0" w:color="auto"/>
        <w:right w:val="none" w:sz="0" w:space="0" w:color="auto"/>
      </w:divBdr>
    </w:div>
    <w:div w:id="122895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1004</Words>
  <Characters>5726</Characters>
  <Application>Microsoft Office Word</Application>
  <DocSecurity>0</DocSecurity>
  <Lines>47</Lines>
  <Paragraphs>13</Paragraphs>
  <ScaleCrop>false</ScaleCrop>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2025-04-08T18:40:00Z</dcterms:created>
  <dcterms:modified xsi:type="dcterms:W3CDTF">2025-04-08T18:40:00Z</dcterms:modified>
</cp:coreProperties>
</file>