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pPr w:leftFromText="180" w:rightFromText="180" w:vertAnchor="text" w:horzAnchor="margin" w:tblpY="-1439"/>
        <w:tblW w:w="9016" w:type="dxa"/>
        <w:tblLayout w:type="fixed"/>
        <w:tblLook w:val="04A0" w:firstRow="1" w:lastRow="0" w:firstColumn="1" w:lastColumn="0" w:noHBand="0" w:noVBand="1"/>
      </w:tblPr>
      <w:tblGrid>
        <w:gridCol w:w="2689"/>
        <w:gridCol w:w="6327"/>
      </w:tblGrid>
      <w:tr w:rsidR="00C63019" w:rsidRPr="00F81FDC" w14:paraId="083C16CF" w14:textId="77777777" w:rsidTr="00A75C61">
        <w:trPr>
          <w:trHeight w:val="1370"/>
        </w:trPr>
        <w:tc>
          <w:tcPr>
            <w:tcW w:w="9016" w:type="dxa"/>
            <w:gridSpan w:val="2"/>
          </w:tcPr>
          <w:p w14:paraId="755991D2" w14:textId="4A3E6537" w:rsidR="00C63019" w:rsidRPr="00F81FDC" w:rsidRDefault="00C63019" w:rsidP="005E4EA8">
            <w:pPr>
              <w:jc w:val="center"/>
              <w:rPr>
                <w:rFonts w:ascii="Arial" w:hAnsi="Arial" w:cs="Arial"/>
                <w:b/>
                <w:bCs/>
                <w:sz w:val="48"/>
                <w:szCs w:val="48"/>
                <w:u w:val="single"/>
              </w:rPr>
            </w:pPr>
            <w:r w:rsidRPr="00F81FDC">
              <w:rPr>
                <w:rFonts w:ascii="Arial" w:hAnsi="Arial" w:cs="Arial"/>
                <w:b/>
                <w:bCs/>
                <w:sz w:val="36"/>
                <w:szCs w:val="36"/>
                <w:u w:val="single"/>
              </w:rPr>
              <w:t>Part One</w:t>
            </w:r>
          </w:p>
        </w:tc>
      </w:tr>
      <w:tr w:rsidR="00D239A7" w:rsidRPr="00F81FDC" w14:paraId="027F1C4B" w14:textId="77777777" w:rsidTr="00A75C61">
        <w:trPr>
          <w:trHeight w:val="1370"/>
        </w:trPr>
        <w:tc>
          <w:tcPr>
            <w:tcW w:w="2689" w:type="dxa"/>
          </w:tcPr>
          <w:p w14:paraId="437B07B8" w14:textId="77777777" w:rsidR="00D239A7" w:rsidRPr="00F81FDC" w:rsidRDefault="00D239A7" w:rsidP="00D239A7">
            <w:pPr>
              <w:pStyle w:val="Heading2"/>
              <w:jc w:val="center"/>
              <w:rPr>
                <w:rFonts w:ascii="Arial" w:hAnsi="Arial" w:cs="Arial"/>
              </w:rPr>
            </w:pPr>
            <w:r w:rsidRPr="00F81FDC">
              <w:rPr>
                <w:rFonts w:ascii="Arial" w:hAnsi="Arial" w:cs="Arial"/>
              </w:rPr>
              <w:t>Professional Experience Template 1</w:t>
            </w:r>
          </w:p>
        </w:tc>
        <w:tc>
          <w:tcPr>
            <w:tcW w:w="6327" w:type="dxa"/>
          </w:tcPr>
          <w:p w14:paraId="61E3FD73" w14:textId="77777777" w:rsidR="00D239A7" w:rsidRPr="00F81FDC" w:rsidRDefault="00D239A7" w:rsidP="00D239A7">
            <w:pPr>
              <w:rPr>
                <w:rFonts w:ascii="Arial" w:hAnsi="Arial" w:cs="Arial"/>
              </w:rPr>
            </w:pPr>
            <w:r w:rsidRPr="00F81FDC">
              <w:rPr>
                <w:rFonts w:ascii="Arial" w:hAnsi="Arial" w:cs="Arial"/>
              </w:rPr>
              <w:t>Stories – The Witches</w:t>
            </w:r>
          </w:p>
        </w:tc>
      </w:tr>
      <w:tr w:rsidR="00D239A7" w:rsidRPr="00F81FDC" w14:paraId="44E0F44E" w14:textId="77777777" w:rsidTr="00A75C61">
        <w:trPr>
          <w:trHeight w:val="1030"/>
        </w:trPr>
        <w:tc>
          <w:tcPr>
            <w:tcW w:w="2689" w:type="dxa"/>
          </w:tcPr>
          <w:p w14:paraId="616D11DB" w14:textId="77777777" w:rsidR="00D239A7" w:rsidRPr="00F81FDC" w:rsidRDefault="00D239A7" w:rsidP="00D239A7">
            <w:pPr>
              <w:pStyle w:val="Heading2"/>
              <w:jc w:val="center"/>
              <w:rPr>
                <w:rFonts w:ascii="Arial" w:hAnsi="Arial" w:cs="Arial"/>
              </w:rPr>
            </w:pPr>
            <w:r w:rsidRPr="00F81FDC">
              <w:rPr>
                <w:rFonts w:ascii="Arial" w:hAnsi="Arial" w:cs="Arial"/>
              </w:rPr>
              <w:t xml:space="preserve">Pedagogy </w:t>
            </w:r>
          </w:p>
          <w:p w14:paraId="3052E9A2" w14:textId="77777777" w:rsidR="00D239A7" w:rsidRPr="00F81FDC" w:rsidRDefault="00D239A7" w:rsidP="00D239A7">
            <w:pPr>
              <w:pStyle w:val="Heading2"/>
              <w:jc w:val="center"/>
              <w:rPr>
                <w:rFonts w:ascii="Arial" w:hAnsi="Arial" w:cs="Arial"/>
              </w:rPr>
            </w:pPr>
            <w:r w:rsidRPr="00F81FDC">
              <w:rPr>
                <w:rFonts w:ascii="Arial" w:hAnsi="Arial" w:cs="Arial"/>
              </w:rPr>
              <w:t>Standards</w:t>
            </w:r>
          </w:p>
        </w:tc>
        <w:tc>
          <w:tcPr>
            <w:tcW w:w="6327" w:type="dxa"/>
          </w:tcPr>
          <w:p w14:paraId="77D9CBFB" w14:textId="77777777" w:rsidR="00D239A7" w:rsidRPr="00F81FDC" w:rsidRDefault="00D239A7" w:rsidP="00D239A7">
            <w:pPr>
              <w:pStyle w:val="BodyA"/>
              <w:rPr>
                <w:rFonts w:ascii="Arial" w:eastAsia="Carlito" w:hAnsi="Arial" w:cs="Arial"/>
                <w:b/>
                <w:bCs/>
                <w:color w:val="2E74B5"/>
                <w:sz w:val="28"/>
                <w:szCs w:val="28"/>
                <w:u w:color="2E74B5"/>
              </w:rPr>
            </w:pPr>
            <w:r w:rsidRPr="00F81FDC">
              <w:rPr>
                <w:rFonts w:ascii="Arial" w:eastAsia="Carlito" w:hAnsi="Arial" w:cs="Arial"/>
                <w:b/>
                <w:bCs/>
                <w:color w:val="2E74B5"/>
                <w:sz w:val="28"/>
                <w:szCs w:val="28"/>
                <w:u w:color="2E74B5"/>
              </w:rPr>
              <w:t xml:space="preserve">Employing a broad repertoire of teaching </w:t>
            </w:r>
          </w:p>
          <w:p w14:paraId="79735E1B" w14:textId="77777777" w:rsidR="00D239A7" w:rsidRPr="00F81FDC" w:rsidRDefault="00D239A7" w:rsidP="00D239A7">
            <w:pPr>
              <w:pStyle w:val="BodyA"/>
              <w:rPr>
                <w:rFonts w:ascii="Arial" w:eastAsia="Carlito" w:hAnsi="Arial" w:cs="Arial"/>
                <w:b/>
                <w:bCs/>
                <w:color w:val="2E74B5"/>
                <w:sz w:val="28"/>
                <w:szCs w:val="28"/>
                <w:u w:color="2E74B5"/>
              </w:rPr>
            </w:pPr>
            <w:r w:rsidRPr="00F81FDC">
              <w:rPr>
                <w:rFonts w:ascii="Arial" w:eastAsia="Carlito" w:hAnsi="Arial" w:cs="Arial"/>
                <w:b/>
                <w:bCs/>
                <w:color w:val="2E74B5"/>
                <w:sz w:val="28"/>
                <w:szCs w:val="28"/>
                <w:u w:color="2E74B5"/>
              </w:rPr>
              <w:t>Approaches</w:t>
            </w:r>
          </w:p>
          <w:p w14:paraId="59EE30D0" w14:textId="77777777" w:rsidR="00D239A7" w:rsidRPr="00F81FDC" w:rsidRDefault="00D239A7" w:rsidP="00D239A7">
            <w:pPr>
              <w:pStyle w:val="BodyA"/>
              <w:rPr>
                <w:rFonts w:ascii="Arial" w:eastAsia="Carlito" w:hAnsi="Arial" w:cs="Arial"/>
                <w:b/>
                <w:bCs/>
                <w:color w:val="2E74B5"/>
                <w:sz w:val="28"/>
                <w:szCs w:val="28"/>
                <w:u w:color="2E74B5"/>
              </w:rPr>
            </w:pPr>
          </w:p>
          <w:p w14:paraId="21D370E8" w14:textId="77777777" w:rsidR="00D239A7" w:rsidRPr="00F81FDC" w:rsidRDefault="00D239A7" w:rsidP="00D239A7">
            <w:pPr>
              <w:pStyle w:val="BodyA"/>
              <w:rPr>
                <w:rFonts w:ascii="Arial" w:eastAsia="Carlito" w:hAnsi="Arial" w:cs="Arial"/>
                <w:b/>
                <w:bCs/>
                <w:color w:val="2E74B5"/>
                <w:sz w:val="28"/>
                <w:szCs w:val="28"/>
                <w:u w:color="2E74B5"/>
              </w:rPr>
            </w:pPr>
            <w:r w:rsidRPr="00F81FDC">
              <w:rPr>
                <w:rFonts w:ascii="Arial" w:eastAsia="Carlito" w:hAnsi="Arial" w:cs="Arial"/>
                <w:b/>
                <w:bCs/>
                <w:color w:val="2E74B5"/>
                <w:sz w:val="28"/>
                <w:szCs w:val="28"/>
                <w:u w:color="2E74B5"/>
              </w:rPr>
              <w:t>Assessment for Learning</w:t>
            </w:r>
          </w:p>
          <w:p w14:paraId="479F49D9" w14:textId="77777777" w:rsidR="00D239A7" w:rsidRPr="00F81FDC" w:rsidRDefault="00D239A7" w:rsidP="00D239A7">
            <w:pPr>
              <w:pStyle w:val="BodyA"/>
              <w:rPr>
                <w:rFonts w:ascii="Arial" w:hAnsi="Arial" w:cs="Arial"/>
              </w:rPr>
            </w:pPr>
          </w:p>
        </w:tc>
      </w:tr>
      <w:tr w:rsidR="00D239A7" w:rsidRPr="00F81FDC" w14:paraId="73619AF9" w14:textId="77777777" w:rsidTr="00A75C61">
        <w:trPr>
          <w:trHeight w:val="1078"/>
        </w:trPr>
        <w:tc>
          <w:tcPr>
            <w:tcW w:w="2689" w:type="dxa"/>
          </w:tcPr>
          <w:p w14:paraId="05093273" w14:textId="77777777" w:rsidR="00D239A7" w:rsidRPr="00F81FDC" w:rsidRDefault="00D239A7" w:rsidP="00D239A7">
            <w:pPr>
              <w:pStyle w:val="Heading3"/>
              <w:jc w:val="center"/>
              <w:rPr>
                <w:rFonts w:ascii="Arial" w:hAnsi="Arial" w:cs="Arial"/>
              </w:rPr>
            </w:pPr>
            <w:r w:rsidRPr="00F81FDC">
              <w:rPr>
                <w:rFonts w:ascii="Arial" w:hAnsi="Arial" w:cs="Arial"/>
              </w:rPr>
              <w:t>What did you do and why?</w:t>
            </w:r>
          </w:p>
        </w:tc>
        <w:tc>
          <w:tcPr>
            <w:tcW w:w="6327" w:type="dxa"/>
          </w:tcPr>
          <w:p w14:paraId="4CE11EA6" w14:textId="77777777" w:rsidR="00D239A7" w:rsidRPr="00F81FDC" w:rsidRDefault="00D239A7" w:rsidP="00D239A7">
            <w:pPr>
              <w:rPr>
                <w:rFonts w:ascii="Arial" w:hAnsi="Arial" w:cs="Arial"/>
              </w:rPr>
            </w:pPr>
            <w:r w:rsidRPr="00F81FDC">
              <w:rPr>
                <w:rFonts w:ascii="Arial" w:hAnsi="Arial" w:cs="Arial"/>
              </w:rPr>
              <w:t>Year 6 were beginning to look at the topic stories as part of their literacy, language and communication area of learning and experience (AoLE). The class had already looked at the features of a story such as introductions, paragraphs, characters, resolutions and conclusions in the previous lesson. Therefore, in this session, I wanted to explore some of these features more deeply to give more context for learners, while still giving the learners control over some elements of the lesson. I began by reading chapter 2 of The Witches by Roald Dahl to the class. Then I went on to question learners over particular features of the story. For example, what is the problem in the story? During this time I also asked what learners think the introduction, resolution and conclusion could be. This led onto to the main task, which I modelled using the feedback given by learners, this is shown as part of the evidence in this template.</w:t>
            </w:r>
          </w:p>
        </w:tc>
      </w:tr>
      <w:tr w:rsidR="00D239A7" w:rsidRPr="00F81FDC" w14:paraId="33228635" w14:textId="77777777" w:rsidTr="00A75C61">
        <w:trPr>
          <w:trHeight w:val="710"/>
        </w:trPr>
        <w:tc>
          <w:tcPr>
            <w:tcW w:w="2689" w:type="dxa"/>
          </w:tcPr>
          <w:p w14:paraId="0283260A" w14:textId="77777777" w:rsidR="00D239A7" w:rsidRPr="00F81FDC" w:rsidRDefault="00D239A7" w:rsidP="00D239A7">
            <w:pPr>
              <w:pStyle w:val="Heading3"/>
              <w:jc w:val="center"/>
              <w:rPr>
                <w:rFonts w:ascii="Arial" w:hAnsi="Arial" w:cs="Arial"/>
              </w:rPr>
            </w:pPr>
            <w:r w:rsidRPr="00F81FDC">
              <w:rPr>
                <w:rFonts w:ascii="Arial" w:hAnsi="Arial" w:cs="Arial"/>
              </w:rPr>
              <w:t>What have you learned?</w:t>
            </w:r>
          </w:p>
        </w:tc>
        <w:tc>
          <w:tcPr>
            <w:tcW w:w="6327" w:type="dxa"/>
          </w:tcPr>
          <w:p w14:paraId="7C57108A" w14:textId="77777777" w:rsidR="00D239A7" w:rsidRPr="00F81FDC" w:rsidRDefault="00D239A7" w:rsidP="00D239A7">
            <w:pPr>
              <w:rPr>
                <w:rFonts w:ascii="Arial" w:hAnsi="Arial" w:cs="Arial"/>
              </w:rPr>
            </w:pPr>
            <w:r w:rsidRPr="00F81FDC">
              <w:rPr>
                <w:rFonts w:ascii="Arial" w:hAnsi="Arial" w:cs="Arial"/>
              </w:rPr>
              <w:t xml:space="preserve">This experience was significant in my PTE3 experience as it showed the impact that an interesting story read with expression can encourage learners to fully immerse themselves in a story and engage in a way I had not expected. For example, after reading Chapter 2 to the whole class, a group of learners asked me if there were any other copies in the school that they could read including a child with ASD who up to that point refused to read any new books. This demonstrated a level of engagement with the story beyond anything I had expected. This links to the teaching standard of exploiting subject disciplines specifically planning appropriately across areas of learning. Initially, the lesson plan included me reading Little Red Riding Hood as a short story instead of The Witches. However, I decided to change this to Chapter 2 of The Witches to be more age-appropriate for the learners and generate more interest from them. This also links to blended learning experiences due to my selection of The Witches instead of Little Red Riding Hood and the benefit of this to several learners with their aforementioned continued reading of the book. Regarding the main task, which was based on the questioning used during the input of the lesson, learners were able to give their own ideas for alternative introductions, resolutions and conclusions of the story in addition to identifying the given problem in Chapter 2 of The Witches. The resolutions in particular were an interesting aspect of the lesson because this is where learners had the most creative ideas. This demonstrated a reasonable level of </w:t>
            </w:r>
            <w:r w:rsidRPr="00F81FDC">
              <w:rPr>
                <w:rFonts w:ascii="Arial" w:hAnsi="Arial" w:cs="Arial"/>
              </w:rPr>
              <w:lastRenderedPageBreak/>
              <w:t>engagement with the task as well as allowed me to see the levels of differentiation needed for further storytelling tasks. The differentiation of the class might not follow the usual grouping for literacy because storytelling involves a heavy amount of creativity as well as literacy skills that would be used in any given task. The assessment for this task was based on two items. The first and main method was the aforementioned questioning of learners during the input, which revealed the differing levels of creativity in the class. The second method was marking the books using the strategy "tickle pink and green for growth".  This showed me how important, relevant questioning can be for learners because it demonstrated a clear misconception that a lot of learners had that a resolution and conclusion of a story were the same. By asking these questions I was able to correct this before learners were set on the main task.</w:t>
            </w:r>
          </w:p>
        </w:tc>
      </w:tr>
      <w:tr w:rsidR="00D239A7" w:rsidRPr="00F81FDC" w14:paraId="78732EE4" w14:textId="77777777" w:rsidTr="00A75C61">
        <w:trPr>
          <w:trHeight w:val="655"/>
        </w:trPr>
        <w:tc>
          <w:tcPr>
            <w:tcW w:w="2689" w:type="dxa"/>
          </w:tcPr>
          <w:p w14:paraId="4E83646A" w14:textId="77777777" w:rsidR="00D239A7" w:rsidRPr="00F81FDC" w:rsidRDefault="00D239A7" w:rsidP="00D239A7">
            <w:pPr>
              <w:pStyle w:val="Heading3"/>
              <w:jc w:val="center"/>
              <w:rPr>
                <w:rFonts w:ascii="Arial" w:hAnsi="Arial" w:cs="Arial"/>
              </w:rPr>
            </w:pPr>
            <w:r w:rsidRPr="00F81FDC">
              <w:rPr>
                <w:rFonts w:ascii="Arial" w:hAnsi="Arial" w:cs="Arial"/>
              </w:rPr>
              <w:lastRenderedPageBreak/>
              <w:t>What next?</w:t>
            </w:r>
          </w:p>
        </w:tc>
        <w:tc>
          <w:tcPr>
            <w:tcW w:w="6327" w:type="dxa"/>
          </w:tcPr>
          <w:p w14:paraId="21B00316" w14:textId="77777777" w:rsidR="00D239A7" w:rsidRPr="00F81FDC" w:rsidRDefault="00D239A7" w:rsidP="00D239A7">
            <w:pPr>
              <w:rPr>
                <w:rFonts w:ascii="Arial" w:hAnsi="Arial" w:cs="Arial"/>
              </w:rPr>
            </w:pPr>
            <w:r w:rsidRPr="00F81FDC">
              <w:rPr>
                <w:rFonts w:ascii="Arial" w:hAnsi="Arial" w:cs="Arial"/>
              </w:rPr>
              <w:t>In the immediate future, I will go through the rest of the story with learners so they can compare their versions of the story and identify any missing features. In regard to, my future practice, I will be using class stories to encourage learners to engage with reading no matter the age group. Prior to this, I would only have used class stories with a lower age group. I will also make sure that my questioning is completely relevant to the session to reveal any misconceptions and allow learners to magpie ideas from each other. </w:t>
            </w:r>
          </w:p>
        </w:tc>
      </w:tr>
    </w:tbl>
    <w:p w14:paraId="7D78F339" w14:textId="3F589AC7" w:rsidR="00D239A7" w:rsidRPr="00F81FDC" w:rsidRDefault="00D239A7" w:rsidP="00D239A7">
      <w:pPr>
        <w:tabs>
          <w:tab w:val="left" w:pos="2825"/>
        </w:tabs>
        <w:rPr>
          <w:rFonts w:ascii="Arial" w:hAnsi="Arial" w:cs="Arial"/>
          <w:sz w:val="36"/>
          <w:szCs w:val="36"/>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0B0298" w14:paraId="7619CF1D" w14:textId="77777777" w:rsidTr="00783BE1">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E6F1D" w14:textId="57791576" w:rsidR="000B0298" w:rsidRDefault="000B0298" w:rsidP="00783BE1">
            <w:pPr>
              <w:pStyle w:val="Heading2"/>
              <w:jc w:val="center"/>
            </w:pPr>
            <w:r>
              <w:lastRenderedPageBreak/>
              <w:t xml:space="preserve">Professional Experience Template </w:t>
            </w:r>
            <w:r w:rsidR="00E94077">
              <w:t>2</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F297FD3" w14:textId="77777777" w:rsidR="000B0298" w:rsidRDefault="000B0298" w:rsidP="00783BE1">
            <w:r>
              <w:rPr>
                <w:rFonts w:ascii="Open Sans" w:hAnsi="Open Sans" w:cs="Open Sans"/>
                <w:color w:val="161616"/>
                <w:shd w:val="clear" w:color="auto" w:fill="FFFFFF"/>
              </w:rPr>
              <w:t>Real Life Living Game - Inquiry</w:t>
            </w:r>
          </w:p>
        </w:tc>
      </w:tr>
      <w:tr w:rsidR="000B0298" w14:paraId="176870A4" w14:textId="77777777" w:rsidTr="00783BE1">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72B8957" w14:textId="77777777" w:rsidR="000B0298" w:rsidRDefault="000B0298" w:rsidP="00783BE1">
            <w:pPr>
              <w:pStyle w:val="Heading2"/>
              <w:jc w:val="center"/>
            </w:pPr>
            <w: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C40A78C" w14:textId="77777777" w:rsidR="000B0298" w:rsidRDefault="000B0298" w:rsidP="00783BE1">
            <w:pPr>
              <w:pStyle w:val="BodyA"/>
              <w:spacing w:after="0" w:line="240" w:lineRule="auto"/>
            </w:pPr>
            <w:r>
              <w:rPr>
                <w:rFonts w:ascii="Carlito" w:eastAsia="Carlito" w:hAnsi="Carlito" w:cs="Carlito"/>
                <w:b/>
                <w:bCs/>
                <w:color w:val="2E74B5"/>
                <w:sz w:val="28"/>
                <w:szCs w:val="28"/>
                <w:u w:color="2E74B5"/>
              </w:rPr>
              <w:t xml:space="preserve">Real life authentic contexts </w:t>
            </w:r>
          </w:p>
        </w:tc>
      </w:tr>
      <w:tr w:rsidR="000B0298" w14:paraId="7C999956" w14:textId="77777777" w:rsidTr="00783BE1">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B601B2" w14:textId="77777777" w:rsidR="000B0298" w:rsidRDefault="000B0298" w:rsidP="00783BE1">
            <w:pPr>
              <w:pStyle w:val="Heading3"/>
              <w:jc w:val="center"/>
            </w:pPr>
            <w: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D6BD366" w14:textId="77777777" w:rsidR="000B0298" w:rsidRDefault="000B0298" w:rsidP="00783BE1">
            <w:r>
              <w:t>As part of the year 6 inquiry topic "Waste Not Want Not" learners have been researching foodbanks and why they are used across the country. So far this research has been limited to learners making fact files about statistics using chrome books in addition to a visit from a food bank volunteer to the school. However, it became clear that while learners knew what a foodbank was, they did not truly grasp its necessity in society, with several learners making comments such as "Why can't people go to the shop to get food?" To resolve this, it was agreed between myself, the class teacher and the foodbank volunteer that year 6 needed more real-life context for why so many adults use food banks. Therefore, we collaborated to make a resource that would create different scenarios for learners. Learners would go into groups of three be given a fake scenario, where they had a job such as a doctor, engineer or sales assistant and would receive fake money to represent a monthly payment. Then each group would have to give money back to the bank depending on how much rent they had to pay. For example, a group might receive £200 at the start of the game but have to give £80 back as rent. Then learners would collect cards showing different scenarios such as a washing machine breaking down so they would have to give more money back to the bank to get it repaired or replaced. These scenarios would be different for each group. After 3 scenarios each group needed to have enough money left over for a food shop or collect a voucher for the foodbank. If a group has less than £20, they could collect a food bank voucher. This game aimed to represent real-life scenarios to provide context for the inquiry topic. The money used was taken from a monopoly board and the figures were kept mostly to whole numbers to make it easier for learners to keep track of how much money they had. </w:t>
            </w:r>
          </w:p>
        </w:tc>
      </w:tr>
      <w:tr w:rsidR="000B0298" w14:paraId="3582D16C" w14:textId="77777777" w:rsidTr="00783BE1">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9C7BAB" w14:textId="77777777" w:rsidR="000B0298" w:rsidRDefault="000B0298" w:rsidP="00783BE1">
            <w:pPr>
              <w:pStyle w:val="Heading3"/>
              <w:jc w:val="center"/>
            </w:pPr>
            <w: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D4119AD" w14:textId="77777777" w:rsidR="000B0298" w:rsidRDefault="000B0298" w:rsidP="00783BE1">
            <w:r>
              <w:t>This experience was significant to my development as a practitioner because it showed me how important context is for learners to get the most out of their learning. As aforementioned, before this game learners were asking why food banks were needed when you can buy food from a shop despite being told why at the beginning of the topic. After playing this game with the class and asking them questions about food banks in a later lesson there appeared to be more understanding of the topic. With learners explaining to each other why we need food banks and even trying to provide potential solutions. This made me as the teacher understand my role to facilitate learning. This met various aspects of the four purposes. For example, ethically informed citizens and healthy confident individuals who are informed about lifestyle decisions (Welsh Government, 2018). Additionally, this project demonstrated the importance of collaboration in teaching. The original idea for the game was from the food bank volunteer, who had seen a similar exercise in another school. After hearing this, the class teacher and I worked together to create our version of the resource for year 6. Therefore, this lesson would not have happened were it not for the collaboration that enabled the progression in learners. This was demonstrated by the learners, who accessed higher-order thinking skills in comparison to the ideas they had given in the previous lesson. This led to further access to the four purposes in the concepts of ambitious capable learners and enterprising creative contributors. </w:t>
            </w:r>
          </w:p>
        </w:tc>
      </w:tr>
      <w:tr w:rsidR="000B0298" w14:paraId="2B961A43" w14:textId="77777777" w:rsidTr="00783BE1">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6A8F253" w14:textId="77777777" w:rsidR="000B0298" w:rsidRDefault="000B0298" w:rsidP="00783BE1">
            <w:pPr>
              <w:pStyle w:val="Heading3"/>
              <w:jc w:val="center"/>
            </w:pPr>
            <w:r>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A654F0A" w14:textId="77777777" w:rsidR="000B0298" w:rsidRDefault="000B0298" w:rsidP="00783BE1">
            <w:r>
              <w:t>In my own practice, I intend to use this experience to inspire more real-life context scenarios for the classroom. For example, for a younger year group, I would use role play in the form of a shop. However, for year 6 they needed something more complex to be appropriate for their progression step. Perhaps this game could be adapted to other scenarios other than foodbanks. I would also like to collaborate with outside agencies to provide some of these resources in the future, to make them accessible to schools across Wales. </w:t>
            </w:r>
          </w:p>
        </w:tc>
      </w:tr>
    </w:tbl>
    <w:p w14:paraId="387A37D5" w14:textId="77777777" w:rsidR="000B0298" w:rsidRDefault="000B0298" w:rsidP="000B0298">
      <w:pPr>
        <w:pStyle w:val="BodyA"/>
        <w:widowControl w:val="0"/>
        <w:spacing w:line="240" w:lineRule="auto"/>
        <w:ind w:left="108" w:hanging="108"/>
      </w:pPr>
    </w:p>
    <w:p w14:paraId="43BCC8C3" w14:textId="77777777" w:rsidR="000B0298" w:rsidRDefault="000B0298" w:rsidP="000B0298">
      <w:pPr>
        <w:pStyle w:val="BodyA"/>
        <w:widowControl w:val="0"/>
        <w:spacing w:line="240" w:lineRule="auto"/>
      </w:pPr>
    </w:p>
    <w:p w14:paraId="3C6EA746" w14:textId="77777777" w:rsidR="000B0298" w:rsidRDefault="000B0298" w:rsidP="000B0298">
      <w:pPr>
        <w:pStyle w:val="BodyA"/>
      </w:pPr>
    </w:p>
    <w:p w14:paraId="7C13F860" w14:textId="77777777" w:rsidR="000B0298" w:rsidRDefault="000B0298" w:rsidP="000B0298">
      <w:pPr>
        <w:pStyle w:val="BodyA"/>
      </w:pPr>
    </w:p>
    <w:p w14:paraId="4F66C0F7" w14:textId="77777777" w:rsidR="00FE4A58" w:rsidRPr="00F81FDC" w:rsidRDefault="00FE4A58" w:rsidP="00730C04">
      <w:pPr>
        <w:jc w:val="center"/>
        <w:rPr>
          <w:rFonts w:ascii="Arial" w:hAnsi="Arial" w:cs="Arial"/>
          <w:b/>
          <w:bCs/>
          <w:sz w:val="36"/>
          <w:szCs w:val="36"/>
          <w:u w:val="single"/>
        </w:rPr>
      </w:pPr>
    </w:p>
    <w:tbl>
      <w:tblPr>
        <w:tblW w:w="9016"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2689"/>
        <w:gridCol w:w="6327"/>
      </w:tblGrid>
      <w:tr w:rsidR="00F560C5" w:rsidRPr="00F81FDC" w14:paraId="724039A4" w14:textId="77777777" w:rsidTr="00DC0E7E">
        <w:trPr>
          <w:trHeight w:val="137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F815F23" w14:textId="3DF5D46A" w:rsidR="00F560C5" w:rsidRPr="00F81FDC" w:rsidRDefault="00F560C5" w:rsidP="00DC0E7E">
            <w:pPr>
              <w:pStyle w:val="Heading2"/>
              <w:jc w:val="center"/>
              <w:rPr>
                <w:rFonts w:ascii="Arial" w:hAnsi="Arial" w:cs="Arial"/>
              </w:rPr>
            </w:pPr>
            <w:r w:rsidRPr="00F81FDC">
              <w:rPr>
                <w:rFonts w:ascii="Arial" w:hAnsi="Arial" w:cs="Arial"/>
              </w:rPr>
              <w:lastRenderedPageBreak/>
              <w:t xml:space="preserve">Professional Experience Template </w:t>
            </w:r>
            <w:r w:rsidR="00E94077">
              <w:rPr>
                <w:rFonts w:ascii="Arial" w:hAnsi="Arial" w:cs="Arial"/>
              </w:rPr>
              <w:t>3</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2BA406" w14:textId="77777777" w:rsidR="00F560C5" w:rsidRPr="00F81FDC" w:rsidRDefault="00F560C5" w:rsidP="00DC0E7E">
            <w:pPr>
              <w:rPr>
                <w:rFonts w:ascii="Arial" w:hAnsi="Arial" w:cs="Arial"/>
              </w:rPr>
            </w:pPr>
            <w:r w:rsidRPr="00F81FDC">
              <w:rPr>
                <w:rFonts w:ascii="Arial" w:hAnsi="Arial" w:cs="Arial"/>
              </w:rPr>
              <w:t>Inquiry – Waste Not Want Not</w:t>
            </w:r>
          </w:p>
        </w:tc>
      </w:tr>
      <w:tr w:rsidR="00F560C5" w:rsidRPr="00F81FDC" w14:paraId="46494011" w14:textId="77777777" w:rsidTr="00DC0E7E">
        <w:trPr>
          <w:trHeight w:val="86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4F04303" w14:textId="77777777" w:rsidR="00F560C5" w:rsidRPr="00F81FDC" w:rsidRDefault="00F560C5" w:rsidP="00DC0E7E">
            <w:pPr>
              <w:pStyle w:val="Heading2"/>
              <w:jc w:val="center"/>
              <w:rPr>
                <w:rFonts w:ascii="Arial" w:hAnsi="Arial" w:cs="Arial"/>
              </w:rPr>
            </w:pPr>
            <w:r w:rsidRPr="00F81FDC">
              <w:rPr>
                <w:rFonts w:ascii="Arial" w:hAnsi="Arial" w:cs="Arial"/>
              </w:rPr>
              <w:t>Pedagogy Standard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479C70" w14:textId="77777777" w:rsidR="00F560C5" w:rsidRPr="00F81FDC" w:rsidRDefault="00F560C5" w:rsidP="00DC0E7E">
            <w:pPr>
              <w:pStyle w:val="BodyA"/>
              <w:spacing w:after="0" w:line="240" w:lineRule="auto"/>
              <w:rPr>
                <w:rFonts w:ascii="Arial" w:hAnsi="Arial" w:cs="Arial"/>
              </w:rPr>
            </w:pPr>
            <w:r w:rsidRPr="00F81FDC">
              <w:rPr>
                <w:rFonts w:ascii="Arial" w:eastAsia="Carlito" w:hAnsi="Arial" w:cs="Arial"/>
                <w:b/>
                <w:bCs/>
                <w:color w:val="2E74B5"/>
                <w:sz w:val="28"/>
                <w:szCs w:val="28"/>
                <w:u w:color="2E74B5"/>
              </w:rPr>
              <w:t>Cross-curricular themes</w:t>
            </w:r>
          </w:p>
        </w:tc>
      </w:tr>
      <w:tr w:rsidR="00F560C5" w:rsidRPr="00F81FDC" w14:paraId="0BB1C51C" w14:textId="77777777" w:rsidTr="00DC0E7E">
        <w:trPr>
          <w:trHeight w:val="1078"/>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32B9BAE" w14:textId="77777777" w:rsidR="00F560C5" w:rsidRPr="00F81FDC" w:rsidRDefault="00F560C5" w:rsidP="00DC0E7E">
            <w:pPr>
              <w:pStyle w:val="Heading3"/>
              <w:jc w:val="center"/>
              <w:rPr>
                <w:rFonts w:ascii="Arial" w:hAnsi="Arial" w:cs="Arial"/>
              </w:rPr>
            </w:pPr>
            <w:r w:rsidRPr="00F81FDC">
              <w:rPr>
                <w:rFonts w:ascii="Arial" w:hAnsi="Arial" w:cs="Arial"/>
              </w:rPr>
              <w:t>What did you do and why?</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B000AF9" w14:textId="77777777" w:rsidR="00F560C5" w:rsidRPr="00F81FDC" w:rsidRDefault="00F560C5" w:rsidP="00DC0E7E">
            <w:pPr>
              <w:rPr>
                <w:rFonts w:ascii="Arial" w:hAnsi="Arial" w:cs="Arial"/>
              </w:rPr>
            </w:pPr>
            <w:r w:rsidRPr="00F81FDC">
              <w:rPr>
                <w:rFonts w:ascii="Arial" w:hAnsi="Arial" w:cs="Arial"/>
              </w:rPr>
              <w:t>During this session, I led part of the Inquiry topic based on “waste not want not,” which has a broad focus on climate change and its possible solutions. Inquiry topics link to various parts of the curriculum and have a cross-curricular theme embedded within the topic. For example, inquiry can link to numeracy, literacy and digital competency skills in addition to many areas of learning and development.  This specific inquiry session had the title "just make more" and followed that section of the presented evidence with this template. This session related mostly to humanities and science and technology.  For inquiry sessions, learners often work in “cooperative groups,” which are made up of three learners of mixed ability from the class. I began by asking if you don’t have enough of something, what can you do? As well as what do you think are some factors that are stopping people from just growing more food? During this discussion, I reminded learners to look back through prior learning from their inquiry that was relevant to the task. After discussing this as a class, I modelled their ideas on the board to assist with their main task. The main task was to research different countries where issues such as climate change and greedy companies are negatively affecting food production. Throughout the session I checked on various groups' progress, giving ideas to help and ensuring they stayed on task. The aims of the session were for learners to Demonstrate deeper thinking by thinking of initial solutions to a wider problem, show an understanding of how external factors can affect food production and research where this is happening. </w:t>
            </w:r>
          </w:p>
        </w:tc>
      </w:tr>
      <w:tr w:rsidR="00F560C5" w:rsidRPr="00F81FDC" w14:paraId="6CB8820D" w14:textId="77777777" w:rsidTr="00DC0E7E">
        <w:trPr>
          <w:trHeight w:val="710"/>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E374B3" w14:textId="77777777" w:rsidR="00F560C5" w:rsidRPr="00F81FDC" w:rsidRDefault="00F560C5" w:rsidP="00DC0E7E">
            <w:pPr>
              <w:pStyle w:val="Heading3"/>
              <w:jc w:val="center"/>
              <w:rPr>
                <w:rFonts w:ascii="Arial" w:hAnsi="Arial" w:cs="Arial"/>
              </w:rPr>
            </w:pPr>
            <w:r w:rsidRPr="00F81FDC">
              <w:rPr>
                <w:rFonts w:ascii="Arial" w:hAnsi="Arial" w:cs="Arial"/>
              </w:rPr>
              <w:lastRenderedPageBreak/>
              <w:t>What have you learned?</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A00D356" w14:textId="77777777" w:rsidR="00F560C5" w:rsidRPr="00F81FDC" w:rsidRDefault="00F560C5" w:rsidP="00DC0E7E">
            <w:pPr>
              <w:rPr>
                <w:rFonts w:ascii="Arial" w:hAnsi="Arial" w:cs="Arial"/>
              </w:rPr>
            </w:pPr>
            <w:r w:rsidRPr="00F81FDC">
              <w:rPr>
                <w:rFonts w:ascii="Arial" w:hAnsi="Arial" w:cs="Arial"/>
              </w:rPr>
              <w:t>Expectations for the session were made clear to the groups that they had to research at least eight countries by the end of the session. This number was not differentiated because the cooperative groups are set in mixed ability and change frequently. Therefore, eight seemed appropriate for the different needs of the classroom, with the challenge of effectively working together adding another purpose to the session. Cooperative groups meant that learners had to work in groups of 3, which for some presented a new type of challenge. For example, some high-ability learners, who often found work relatively easy in other areas found inquiry particularly challenging because they had to cooperate with others and accept new ideas from other learners. This concept was important to address because cooperation is a skill that learners will need to take with them and use throughout their lives. With the learners being in year six this skill became more imperative than ever, with them moving to secondary school next year. Learners led their own learning at the beginning of the session by discussing and answering questions in their groups that would encourage a deeper level of thinking from them before they moved on to the main task. Examples of these questions are what can you do if you don’t have enough food and what factors do you think could stop people from growing food? Engagement with this was evident with a very interesting whole class discussion following. Answers ranged from extreme weather, which was later expanded on to climate change. Another answer was insects and animals eating the food on farms before it can grow fully. The main task continued the theme of learners leading their own learning because it was based on the ideas that they had come up with during the aforementioned discussion. In their cooperative groups, learners had to research 8 different countries, where the issues they came up with affected food production. For example, in Kenya climate change and extreme weather are reducing crop yields. I was surprised at both how some learners prospered with group work and how others were floundered by it. In some cases, I intervened with groups who found it particularly difficult to work together productively. I broke the task up into smaller jobs for them to choose from and combine at the end to make up the main task. To reflect on their learning I had learners share their ideas from the session and say anything they enjoyed or found challenging about the task. In addition to this, learners had to decide a country they would like to look at in more detail. This involved them considering which country had a lot of information and what they found interesting. </w:t>
            </w:r>
          </w:p>
        </w:tc>
      </w:tr>
      <w:tr w:rsidR="00F560C5" w:rsidRPr="00F81FDC" w14:paraId="2489A8EF" w14:textId="77777777" w:rsidTr="00DC0E7E">
        <w:trPr>
          <w:trHeight w:val="655"/>
        </w:trPr>
        <w:tc>
          <w:tcPr>
            <w:tcW w:w="2689"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D621791" w14:textId="77777777" w:rsidR="00F560C5" w:rsidRPr="00F81FDC" w:rsidRDefault="00F560C5" w:rsidP="00DC0E7E">
            <w:pPr>
              <w:pStyle w:val="Heading3"/>
              <w:jc w:val="center"/>
              <w:rPr>
                <w:rFonts w:ascii="Arial" w:hAnsi="Arial" w:cs="Arial"/>
              </w:rPr>
            </w:pPr>
            <w:r w:rsidRPr="00F81FDC">
              <w:rPr>
                <w:rFonts w:ascii="Arial" w:hAnsi="Arial" w:cs="Arial"/>
              </w:rPr>
              <w:lastRenderedPageBreak/>
              <w:t>What next?</w:t>
            </w:r>
          </w:p>
        </w:tc>
        <w:tc>
          <w:tcPr>
            <w:tcW w:w="632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72F16C7" w14:textId="77777777" w:rsidR="00F560C5" w:rsidRPr="00F81FDC" w:rsidRDefault="00F560C5" w:rsidP="00DC0E7E">
            <w:pPr>
              <w:rPr>
                <w:rFonts w:ascii="Arial" w:hAnsi="Arial" w:cs="Arial"/>
              </w:rPr>
            </w:pPr>
            <w:r w:rsidRPr="00F81FDC">
              <w:rPr>
                <w:rFonts w:ascii="Arial" w:hAnsi="Arial" w:cs="Arial"/>
              </w:rPr>
              <w:t>I believe that the group work aspect of this task needs more work. Therefore, I would create more opportunities where learners have to work together to achieve a target. However, I appreciate that other learners from a different cohort would react differently from my current year 6 class. </w:t>
            </w:r>
          </w:p>
        </w:tc>
      </w:tr>
    </w:tbl>
    <w:p w14:paraId="5022AE18" w14:textId="77777777" w:rsidR="00F560C5" w:rsidRPr="00F81FDC" w:rsidRDefault="00F560C5" w:rsidP="00F560C5">
      <w:pPr>
        <w:pStyle w:val="BodyA"/>
        <w:widowControl w:val="0"/>
        <w:spacing w:line="240" w:lineRule="auto"/>
        <w:ind w:left="108" w:hanging="108"/>
        <w:rPr>
          <w:rFonts w:ascii="Arial" w:hAnsi="Arial" w:cs="Arial"/>
        </w:rPr>
      </w:pPr>
    </w:p>
    <w:p w14:paraId="23331787" w14:textId="03C77B42" w:rsidR="00C018F4" w:rsidRDefault="00CC246F" w:rsidP="00730C04">
      <w:pPr>
        <w:jc w:val="center"/>
        <w:rPr>
          <w:b/>
          <w:bCs/>
          <w:sz w:val="36"/>
          <w:szCs w:val="36"/>
          <w:u w:val="single"/>
        </w:rPr>
      </w:pPr>
      <w:r>
        <w:rPr>
          <w:b/>
          <w:bCs/>
          <w:sz w:val="36"/>
          <w:szCs w:val="36"/>
          <w:u w:val="single"/>
        </w:rPr>
        <w:t>Part Two</w:t>
      </w:r>
    </w:p>
    <w:p w14:paraId="4F98DCE6" w14:textId="25828330" w:rsidR="00CC246F" w:rsidRPr="00ED1690" w:rsidRDefault="00D7667E" w:rsidP="00ED1690">
      <w:pPr>
        <w:spacing w:line="360" w:lineRule="auto"/>
        <w:rPr>
          <w:rFonts w:ascii="Arial" w:hAnsi="Arial" w:cs="Arial"/>
        </w:rPr>
      </w:pPr>
      <w:r w:rsidRPr="00ED1690">
        <w:rPr>
          <w:rFonts w:ascii="Arial" w:hAnsi="Arial" w:cs="Arial"/>
        </w:rPr>
        <w:t>Word Count:</w:t>
      </w:r>
      <w:r w:rsidR="00AC7D5D" w:rsidRPr="00ED1690">
        <w:rPr>
          <w:rFonts w:ascii="Arial" w:hAnsi="Arial" w:cs="Arial"/>
        </w:rPr>
        <w:t xml:space="preserve"> 28</w:t>
      </w:r>
      <w:r w:rsidR="00811799" w:rsidRPr="00ED1690">
        <w:rPr>
          <w:rFonts w:ascii="Arial" w:hAnsi="Arial" w:cs="Arial"/>
        </w:rPr>
        <w:t>5</w:t>
      </w:r>
      <w:r w:rsidR="00C45FC0">
        <w:rPr>
          <w:rFonts w:ascii="Arial" w:hAnsi="Arial" w:cs="Arial"/>
        </w:rPr>
        <w:t>1</w:t>
      </w:r>
    </w:p>
    <w:p w14:paraId="03776A78" w14:textId="23F820B3" w:rsidR="00D7667E" w:rsidRPr="00ED1690" w:rsidRDefault="00D7667E" w:rsidP="00ED1690">
      <w:pPr>
        <w:spacing w:line="360" w:lineRule="auto"/>
        <w:rPr>
          <w:rFonts w:ascii="Arial" w:hAnsi="Arial" w:cs="Arial"/>
        </w:rPr>
      </w:pPr>
      <w:r w:rsidRPr="00ED1690">
        <w:rPr>
          <w:rFonts w:ascii="Arial" w:hAnsi="Arial" w:cs="Arial"/>
        </w:rPr>
        <w:t>Student Number: 2103376</w:t>
      </w:r>
    </w:p>
    <w:tbl>
      <w:tblPr>
        <w:tblStyle w:val="TableGrid"/>
        <w:tblW w:w="0" w:type="auto"/>
        <w:tblLook w:val="04A0" w:firstRow="1" w:lastRow="0" w:firstColumn="1" w:lastColumn="0" w:noHBand="0" w:noVBand="1"/>
      </w:tblPr>
      <w:tblGrid>
        <w:gridCol w:w="1271"/>
        <w:gridCol w:w="3544"/>
        <w:gridCol w:w="4201"/>
      </w:tblGrid>
      <w:tr w:rsidR="00157E82" w:rsidRPr="00ED1690" w14:paraId="3B6A111B" w14:textId="77777777" w:rsidTr="00003EDC">
        <w:tc>
          <w:tcPr>
            <w:tcW w:w="1271" w:type="dxa"/>
          </w:tcPr>
          <w:p w14:paraId="5EAFFCC5" w14:textId="278BAEB9" w:rsidR="00157E82" w:rsidRPr="00ED1690" w:rsidRDefault="00157E82" w:rsidP="00ED1690">
            <w:pPr>
              <w:spacing w:line="360" w:lineRule="auto"/>
              <w:jc w:val="center"/>
              <w:rPr>
                <w:rFonts w:ascii="Arial" w:hAnsi="Arial" w:cs="Arial"/>
              </w:rPr>
            </w:pPr>
            <w:r w:rsidRPr="00ED1690">
              <w:rPr>
                <w:rFonts w:ascii="Arial" w:hAnsi="Arial" w:cs="Arial"/>
              </w:rPr>
              <w:t>Targets</w:t>
            </w:r>
          </w:p>
        </w:tc>
        <w:tc>
          <w:tcPr>
            <w:tcW w:w="3544" w:type="dxa"/>
          </w:tcPr>
          <w:p w14:paraId="2080E796" w14:textId="65C1C7CE" w:rsidR="00157E82" w:rsidRPr="00ED1690" w:rsidRDefault="00003EDC" w:rsidP="00ED1690">
            <w:pPr>
              <w:spacing w:line="360" w:lineRule="auto"/>
              <w:jc w:val="center"/>
              <w:rPr>
                <w:rFonts w:ascii="Arial" w:hAnsi="Arial" w:cs="Arial"/>
              </w:rPr>
            </w:pPr>
            <w:r w:rsidRPr="00ED1690">
              <w:rPr>
                <w:rFonts w:ascii="Arial" w:hAnsi="Arial" w:cs="Arial"/>
              </w:rPr>
              <w:t>How have you worked on this?</w:t>
            </w:r>
          </w:p>
        </w:tc>
        <w:tc>
          <w:tcPr>
            <w:tcW w:w="4201" w:type="dxa"/>
          </w:tcPr>
          <w:p w14:paraId="0C412D0D" w14:textId="42DAE757" w:rsidR="00157E82" w:rsidRPr="00ED1690" w:rsidRDefault="00003EDC" w:rsidP="00ED1690">
            <w:pPr>
              <w:spacing w:line="360" w:lineRule="auto"/>
              <w:jc w:val="center"/>
              <w:rPr>
                <w:rFonts w:ascii="Arial" w:hAnsi="Arial" w:cs="Arial"/>
              </w:rPr>
            </w:pPr>
            <w:r w:rsidRPr="00ED1690">
              <w:rPr>
                <w:rFonts w:ascii="Arial" w:hAnsi="Arial" w:cs="Arial"/>
              </w:rPr>
              <w:t>An example can be found on</w:t>
            </w:r>
          </w:p>
        </w:tc>
      </w:tr>
      <w:tr w:rsidR="00157E82" w:rsidRPr="00ED1690" w14:paraId="3F943D86" w14:textId="77777777" w:rsidTr="00003EDC">
        <w:tc>
          <w:tcPr>
            <w:tcW w:w="1271" w:type="dxa"/>
          </w:tcPr>
          <w:p w14:paraId="6F1F1A4A" w14:textId="3BA563C8" w:rsidR="00157E82" w:rsidRPr="00ED1690" w:rsidRDefault="00157E82" w:rsidP="00ED1690">
            <w:pPr>
              <w:spacing w:line="360" w:lineRule="auto"/>
              <w:jc w:val="center"/>
              <w:rPr>
                <w:rFonts w:ascii="Arial" w:hAnsi="Arial" w:cs="Arial"/>
              </w:rPr>
            </w:pPr>
            <w:r w:rsidRPr="00ED1690">
              <w:rPr>
                <w:rFonts w:ascii="Arial" w:hAnsi="Arial" w:cs="Arial"/>
              </w:rPr>
              <w:t>Target 1</w:t>
            </w:r>
          </w:p>
        </w:tc>
        <w:tc>
          <w:tcPr>
            <w:tcW w:w="3544" w:type="dxa"/>
          </w:tcPr>
          <w:p w14:paraId="17406ECA" w14:textId="15F7D58F" w:rsidR="00157E82" w:rsidRPr="00ED1690" w:rsidRDefault="00D46EA9" w:rsidP="00ED1690">
            <w:pPr>
              <w:spacing w:line="360" w:lineRule="auto"/>
              <w:jc w:val="center"/>
              <w:rPr>
                <w:rFonts w:ascii="Arial" w:hAnsi="Arial" w:cs="Arial"/>
              </w:rPr>
            </w:pPr>
            <w:r w:rsidRPr="00ED1690">
              <w:rPr>
                <w:rFonts w:ascii="Arial" w:hAnsi="Arial" w:cs="Arial"/>
                <w:color w:val="000000"/>
                <w:sz w:val="18"/>
                <w:szCs w:val="18"/>
                <w:shd w:val="clear" w:color="auto" w:fill="FFFFFF"/>
              </w:rPr>
              <w:t>Try to be more accurate and specific with referencing of sources.</w:t>
            </w:r>
          </w:p>
        </w:tc>
        <w:tc>
          <w:tcPr>
            <w:tcW w:w="4201" w:type="dxa"/>
          </w:tcPr>
          <w:p w14:paraId="1DE6F00F" w14:textId="7C37A620" w:rsidR="00157E82" w:rsidRPr="00ED1690" w:rsidRDefault="008472AA" w:rsidP="00ED1690">
            <w:pPr>
              <w:spacing w:line="360" w:lineRule="auto"/>
              <w:jc w:val="center"/>
              <w:rPr>
                <w:rFonts w:ascii="Arial" w:hAnsi="Arial" w:cs="Arial"/>
              </w:rPr>
            </w:pPr>
            <w:r w:rsidRPr="00ED1690">
              <w:rPr>
                <w:rFonts w:ascii="Arial" w:hAnsi="Arial" w:cs="Arial"/>
              </w:rPr>
              <w:t>See</w:t>
            </w:r>
            <w:r w:rsidR="00D8245F" w:rsidRPr="00ED1690">
              <w:rPr>
                <w:rFonts w:ascii="Arial" w:hAnsi="Arial" w:cs="Arial"/>
              </w:rPr>
              <w:t xml:space="preserve"> the</w:t>
            </w:r>
            <w:r w:rsidRPr="00ED1690">
              <w:rPr>
                <w:rFonts w:ascii="Arial" w:hAnsi="Arial" w:cs="Arial"/>
              </w:rPr>
              <w:t xml:space="preserve"> reference list</w:t>
            </w:r>
            <w:r w:rsidR="00D8245F" w:rsidRPr="00ED1690">
              <w:rPr>
                <w:rFonts w:ascii="Arial" w:hAnsi="Arial" w:cs="Arial"/>
              </w:rPr>
              <w:t xml:space="preserve"> and citations.</w:t>
            </w:r>
          </w:p>
        </w:tc>
      </w:tr>
      <w:tr w:rsidR="00157E82" w:rsidRPr="00ED1690" w14:paraId="5F7CD52E" w14:textId="77777777" w:rsidTr="00003EDC">
        <w:tc>
          <w:tcPr>
            <w:tcW w:w="1271" w:type="dxa"/>
          </w:tcPr>
          <w:p w14:paraId="350921DC" w14:textId="59A50A67" w:rsidR="00157E82" w:rsidRPr="00ED1690" w:rsidRDefault="00157E82" w:rsidP="00ED1690">
            <w:pPr>
              <w:spacing w:line="360" w:lineRule="auto"/>
              <w:jc w:val="center"/>
              <w:rPr>
                <w:rFonts w:ascii="Arial" w:hAnsi="Arial" w:cs="Arial"/>
              </w:rPr>
            </w:pPr>
            <w:r w:rsidRPr="00ED1690">
              <w:rPr>
                <w:rFonts w:ascii="Arial" w:hAnsi="Arial" w:cs="Arial"/>
              </w:rPr>
              <w:t>Target 2</w:t>
            </w:r>
          </w:p>
        </w:tc>
        <w:tc>
          <w:tcPr>
            <w:tcW w:w="3544" w:type="dxa"/>
          </w:tcPr>
          <w:p w14:paraId="3A64C924" w14:textId="1085CAF1" w:rsidR="00157E82" w:rsidRPr="00ED1690" w:rsidRDefault="00D46EA9" w:rsidP="00ED1690">
            <w:pPr>
              <w:spacing w:line="360" w:lineRule="auto"/>
              <w:jc w:val="center"/>
              <w:rPr>
                <w:rFonts w:ascii="Arial" w:hAnsi="Arial" w:cs="Arial"/>
              </w:rPr>
            </w:pPr>
            <w:r w:rsidRPr="00ED1690">
              <w:rPr>
                <w:rFonts w:ascii="Arial" w:hAnsi="Arial" w:cs="Arial"/>
                <w:color w:val="000000"/>
                <w:sz w:val="18"/>
                <w:szCs w:val="18"/>
                <w:shd w:val="clear" w:color="auto" w:fill="FFFFFF"/>
              </w:rPr>
              <w:t>Endeavour to make more explicit links between theory and practice.</w:t>
            </w:r>
          </w:p>
        </w:tc>
        <w:tc>
          <w:tcPr>
            <w:tcW w:w="4201" w:type="dxa"/>
          </w:tcPr>
          <w:p w14:paraId="47854A36" w14:textId="7DE70E63" w:rsidR="00157E82" w:rsidRPr="00ED1690" w:rsidRDefault="00D8245F" w:rsidP="00ED1690">
            <w:pPr>
              <w:spacing w:line="360" w:lineRule="auto"/>
              <w:jc w:val="center"/>
              <w:rPr>
                <w:rFonts w:ascii="Arial" w:hAnsi="Arial" w:cs="Arial"/>
              </w:rPr>
            </w:pPr>
            <w:r w:rsidRPr="00ED1690">
              <w:rPr>
                <w:rFonts w:ascii="Arial" w:hAnsi="Arial" w:cs="Arial"/>
              </w:rPr>
              <w:t>See the literature review.</w:t>
            </w:r>
          </w:p>
        </w:tc>
      </w:tr>
    </w:tbl>
    <w:p w14:paraId="58DF71A7" w14:textId="77777777" w:rsidR="00484C25" w:rsidRPr="00ED1690" w:rsidRDefault="00484C25" w:rsidP="00ED1690">
      <w:pPr>
        <w:spacing w:line="360" w:lineRule="auto"/>
        <w:rPr>
          <w:rFonts w:ascii="Arial" w:hAnsi="Arial" w:cs="Arial"/>
        </w:rPr>
      </w:pPr>
    </w:p>
    <w:p w14:paraId="41FC763C" w14:textId="22BF6284" w:rsidR="004449AE" w:rsidRPr="00ED1690" w:rsidRDefault="00730C04" w:rsidP="00ED1690">
      <w:pPr>
        <w:spacing w:line="360" w:lineRule="auto"/>
        <w:jc w:val="center"/>
        <w:rPr>
          <w:rFonts w:ascii="Arial" w:hAnsi="Arial" w:cs="Arial"/>
          <w:b/>
          <w:bCs/>
          <w:sz w:val="36"/>
          <w:szCs w:val="36"/>
          <w:u w:val="single"/>
        </w:rPr>
      </w:pPr>
      <w:r w:rsidRPr="00ED1690">
        <w:rPr>
          <w:rFonts w:ascii="Arial" w:hAnsi="Arial" w:cs="Arial"/>
          <w:b/>
          <w:bCs/>
          <w:sz w:val="36"/>
          <w:szCs w:val="36"/>
          <w:u w:val="single"/>
        </w:rPr>
        <w:t>Critically reflect on your progress in planning, preparing and teaching lessons that incorporate specific pedagogical principles.</w:t>
      </w:r>
    </w:p>
    <w:p w14:paraId="6EB5FADF" w14:textId="77777777" w:rsidR="00730C04" w:rsidRPr="00ED1690" w:rsidRDefault="00730C04" w:rsidP="00ED1690">
      <w:pPr>
        <w:spacing w:line="360" w:lineRule="auto"/>
        <w:rPr>
          <w:rFonts w:ascii="Arial" w:hAnsi="Arial" w:cs="Arial"/>
        </w:rPr>
      </w:pPr>
    </w:p>
    <w:p w14:paraId="7E8BD304" w14:textId="57A6159F" w:rsidR="00E27C8E" w:rsidRPr="00ED1690" w:rsidRDefault="00E27C8E" w:rsidP="00ED1690">
      <w:pPr>
        <w:spacing w:line="360" w:lineRule="auto"/>
        <w:rPr>
          <w:rFonts w:ascii="Arial" w:hAnsi="Arial" w:cs="Arial"/>
          <w:b/>
          <w:bCs/>
          <w:sz w:val="28"/>
          <w:szCs w:val="28"/>
        </w:rPr>
      </w:pPr>
      <w:r w:rsidRPr="00ED1690">
        <w:rPr>
          <w:rFonts w:ascii="Arial" w:hAnsi="Arial" w:cs="Arial"/>
          <w:b/>
          <w:bCs/>
          <w:sz w:val="28"/>
          <w:szCs w:val="28"/>
        </w:rPr>
        <w:t>Introduction</w:t>
      </w:r>
    </w:p>
    <w:p w14:paraId="0775E8CC" w14:textId="6AEE0565" w:rsidR="00E27C8E" w:rsidRPr="00ED1690" w:rsidRDefault="00F93116" w:rsidP="00ED1690">
      <w:pPr>
        <w:spacing w:line="360" w:lineRule="auto"/>
        <w:rPr>
          <w:rFonts w:ascii="Arial" w:hAnsi="Arial" w:cs="Arial"/>
        </w:rPr>
      </w:pPr>
      <w:r w:rsidRPr="00ED1690">
        <w:rPr>
          <w:rFonts w:ascii="Arial" w:hAnsi="Arial" w:cs="Arial"/>
        </w:rPr>
        <w:t>The 12 pedagogical principles in Wales should be embedded within learning experiences (Welsh Government, 2023). The 12 pedagogical principles first introduced by Donaldson (2015) should also be incorporated within the planning and pedagogy of educators in accordance with the professional standards for teaching</w:t>
      </w:r>
      <w:r w:rsidR="0027328A">
        <w:rPr>
          <w:rFonts w:ascii="Arial" w:hAnsi="Arial" w:cs="Arial"/>
        </w:rPr>
        <w:t xml:space="preserve"> and learning</w:t>
      </w:r>
      <w:r w:rsidRPr="00ED1690">
        <w:rPr>
          <w:rFonts w:ascii="Arial" w:hAnsi="Arial" w:cs="Arial"/>
        </w:rPr>
        <w:t xml:space="preserve"> (Welsh Government, 2019). The specific principles focused on here are “employing a blend of approaches including direct teaching” and “reinforces the cross-curricular skills of literacy, numeracy and digital competency and provides opportunities to practise them” (Welsh Government, 2023). Both of these principles have been planned and evidenced within part 1 of this assignment, which I have identified as areas for development. Blended learning approaches and cross-curricular skills may be considered as relatively similar areas for development. However, there is arguably some importance to looking at them simultaneously, considering that Donaldson (2015) referred to the cross-curricular responsibilities as needing to be natural </w:t>
      </w:r>
      <w:r w:rsidRPr="00ED1690">
        <w:rPr>
          <w:rFonts w:ascii="Arial" w:hAnsi="Arial" w:cs="Arial"/>
        </w:rPr>
        <w:lastRenderedPageBreak/>
        <w:t xml:space="preserve">and authentic within lessons. Perhaps a method to achieve this would be by using a blend of different approaches. Moreover, educators can use a range of teaching approaches </w:t>
      </w:r>
      <w:r w:rsidR="00841D29" w:rsidRPr="00ED1690">
        <w:rPr>
          <w:rFonts w:ascii="Arial" w:hAnsi="Arial" w:cs="Arial"/>
        </w:rPr>
        <w:t xml:space="preserve">that are often dependent on the individual pedagogy and background of a teacher and </w:t>
      </w:r>
      <w:r w:rsidR="00B06919" w:rsidRPr="00ED1690">
        <w:rPr>
          <w:rFonts w:ascii="Arial" w:hAnsi="Arial" w:cs="Arial"/>
        </w:rPr>
        <w:t xml:space="preserve">the ethos of </w:t>
      </w:r>
      <w:r w:rsidR="00841D29" w:rsidRPr="00ED1690">
        <w:rPr>
          <w:rFonts w:ascii="Arial" w:hAnsi="Arial" w:cs="Arial"/>
        </w:rPr>
        <w:t xml:space="preserve">a school (TES, 2023). </w:t>
      </w:r>
      <w:r w:rsidR="003A1CCF" w:rsidRPr="00ED1690">
        <w:rPr>
          <w:rFonts w:ascii="Arial" w:hAnsi="Arial" w:cs="Arial"/>
        </w:rPr>
        <w:t xml:space="preserve">Pedagogy could be considered as the influences that surround a practitioner </w:t>
      </w:r>
      <w:r w:rsidR="001F55E6" w:rsidRPr="00ED1690">
        <w:rPr>
          <w:rFonts w:ascii="Arial" w:hAnsi="Arial" w:cs="Arial"/>
        </w:rPr>
        <w:t xml:space="preserve">such as past experiences and personal background that </w:t>
      </w:r>
      <w:r w:rsidR="00B66C18">
        <w:rPr>
          <w:rFonts w:ascii="Arial" w:hAnsi="Arial" w:cs="Arial"/>
        </w:rPr>
        <w:t xml:space="preserve">might </w:t>
      </w:r>
      <w:r w:rsidR="00B66C18" w:rsidRPr="00ED1690">
        <w:rPr>
          <w:rFonts w:ascii="Arial" w:hAnsi="Arial" w:cs="Arial"/>
        </w:rPr>
        <w:t>impact</w:t>
      </w:r>
      <w:r w:rsidR="001F55E6" w:rsidRPr="00ED1690">
        <w:rPr>
          <w:rFonts w:ascii="Arial" w:hAnsi="Arial" w:cs="Arial"/>
        </w:rPr>
        <w:t xml:space="preserve"> their disposition </w:t>
      </w:r>
      <w:r w:rsidR="00CB0EB5" w:rsidRPr="00ED1690">
        <w:rPr>
          <w:rFonts w:ascii="Arial" w:hAnsi="Arial" w:cs="Arial"/>
        </w:rPr>
        <w:t>(Friesen and Kenklies</w:t>
      </w:r>
      <w:r w:rsidR="00B66C18">
        <w:rPr>
          <w:rFonts w:ascii="Arial" w:hAnsi="Arial" w:cs="Arial"/>
        </w:rPr>
        <w:t xml:space="preserve">, </w:t>
      </w:r>
      <w:r w:rsidR="00557E8A">
        <w:rPr>
          <w:rFonts w:ascii="Arial" w:hAnsi="Arial" w:cs="Arial"/>
        </w:rPr>
        <w:t>2020</w:t>
      </w:r>
      <w:r w:rsidR="00CB0EB5" w:rsidRPr="00ED1690">
        <w:rPr>
          <w:rFonts w:ascii="Arial" w:hAnsi="Arial" w:cs="Arial"/>
        </w:rPr>
        <w:t xml:space="preserve">). </w:t>
      </w:r>
      <w:r w:rsidR="000D5910" w:rsidRPr="00ED1690">
        <w:rPr>
          <w:rFonts w:ascii="Arial" w:hAnsi="Arial" w:cs="Arial"/>
        </w:rPr>
        <w:t xml:space="preserve">The pedagogy of a </w:t>
      </w:r>
      <w:r w:rsidR="000D4294" w:rsidRPr="00ED1690">
        <w:rPr>
          <w:rFonts w:ascii="Arial" w:hAnsi="Arial" w:cs="Arial"/>
        </w:rPr>
        <w:t>practitioner</w:t>
      </w:r>
      <w:r w:rsidR="000D5910" w:rsidRPr="00ED1690">
        <w:rPr>
          <w:rFonts w:ascii="Arial" w:hAnsi="Arial" w:cs="Arial"/>
        </w:rPr>
        <w:t xml:space="preserve"> is often made</w:t>
      </w:r>
      <w:r w:rsidR="000D4294" w:rsidRPr="00ED1690">
        <w:rPr>
          <w:rFonts w:ascii="Arial" w:hAnsi="Arial" w:cs="Arial"/>
        </w:rPr>
        <w:t xml:space="preserve"> up of elements from constructivist, social constructivist, behaviourist and humanistic </w:t>
      </w:r>
      <w:r w:rsidR="00CB78E2" w:rsidRPr="00ED1690">
        <w:rPr>
          <w:rFonts w:ascii="Arial" w:hAnsi="Arial" w:cs="Arial"/>
        </w:rPr>
        <w:t>principles (Ebo, 2018).</w:t>
      </w:r>
      <w:r w:rsidR="000D5910" w:rsidRPr="00ED1690">
        <w:rPr>
          <w:rFonts w:ascii="Arial" w:hAnsi="Arial" w:cs="Arial"/>
        </w:rPr>
        <w:t xml:space="preserve"> </w:t>
      </w:r>
      <w:r w:rsidR="00841D29" w:rsidRPr="00ED1690">
        <w:rPr>
          <w:rFonts w:ascii="Arial" w:hAnsi="Arial" w:cs="Arial"/>
        </w:rPr>
        <w:t xml:space="preserve">In broad terms, these usually involve teacher-led strategies and child-led strategies or behaviourist and constructivist pedagogies (Ebo, 2018). </w:t>
      </w:r>
    </w:p>
    <w:p w14:paraId="64A4344B" w14:textId="4A23277E" w:rsidR="00E27C8E" w:rsidRPr="00ED1690" w:rsidRDefault="00E27C8E" w:rsidP="00ED1690">
      <w:pPr>
        <w:spacing w:line="360" w:lineRule="auto"/>
        <w:rPr>
          <w:rFonts w:ascii="Arial" w:hAnsi="Arial" w:cs="Arial"/>
          <w:b/>
          <w:bCs/>
          <w:sz w:val="28"/>
          <w:szCs w:val="28"/>
        </w:rPr>
      </w:pPr>
      <w:r w:rsidRPr="00ED1690">
        <w:rPr>
          <w:rFonts w:ascii="Arial" w:hAnsi="Arial" w:cs="Arial"/>
          <w:b/>
          <w:bCs/>
          <w:sz w:val="28"/>
          <w:szCs w:val="28"/>
        </w:rPr>
        <w:t xml:space="preserve">Literature Review </w:t>
      </w:r>
    </w:p>
    <w:p w14:paraId="11A462D2" w14:textId="7B5900ED" w:rsidR="00E04D6E" w:rsidRPr="00ED1690" w:rsidRDefault="001B58B1" w:rsidP="00ED1690">
      <w:pPr>
        <w:spacing w:line="360" w:lineRule="auto"/>
        <w:rPr>
          <w:rFonts w:ascii="Arial" w:hAnsi="Arial" w:cs="Arial"/>
        </w:rPr>
      </w:pPr>
      <w:r w:rsidRPr="00ED1690">
        <w:rPr>
          <w:rFonts w:ascii="Arial" w:hAnsi="Arial" w:cs="Arial"/>
        </w:rPr>
        <w:t xml:space="preserve">Generally, constructivist theories are involved in conjunction with child-led approaches such as inquiry, active learning, outdoor learning and personalised learning (Mcloed, 2024). Constructivism as a theory is essentially learners leading their own learning by reflecting and building on prior learning, which may promote </w:t>
      </w:r>
      <w:r w:rsidR="00C55E58">
        <w:rPr>
          <w:rFonts w:ascii="Arial" w:hAnsi="Arial" w:cs="Arial"/>
        </w:rPr>
        <w:t>higher-order</w:t>
      </w:r>
      <w:r w:rsidRPr="00ED1690">
        <w:rPr>
          <w:rFonts w:ascii="Arial" w:hAnsi="Arial" w:cs="Arial"/>
        </w:rPr>
        <w:t xml:space="preserve"> thinking skills (Adams, 2015) and (Mcloed, 2024). </w:t>
      </w:r>
      <w:r w:rsidR="00976B8D">
        <w:rPr>
          <w:rFonts w:ascii="Arial" w:hAnsi="Arial" w:cs="Arial"/>
        </w:rPr>
        <w:t>In comparison,</w:t>
      </w:r>
      <w:r w:rsidRPr="00ED1690">
        <w:rPr>
          <w:rFonts w:ascii="Arial" w:hAnsi="Arial" w:cs="Arial"/>
        </w:rPr>
        <w:t xml:space="preserve"> behaviourism can be linked to teacher-led approaches such as direct instruction (Ebo, 2018). Behaviourism is fundamentally the notion that behaviours are acquired through conditioning despite the background of the learner. Behaviourist strategies often appear as reward systems, punishment and learning via association (Cherry, 2022). </w:t>
      </w:r>
      <w:r w:rsidR="00B94C68" w:rsidRPr="00ED1690">
        <w:rPr>
          <w:rFonts w:ascii="Arial" w:hAnsi="Arial" w:cs="Arial"/>
        </w:rPr>
        <w:t xml:space="preserve">In addition to this, the perspective of humanist theories also should be considered here. Humanistic learning theory considers the learner as a whole person (Sanmugarevathi and Iyer, 2020). For example, Maslow’s Hierarchy of Needs (1954) demonstrates how the needs of learners must be met before they can progress through each stage of the hierarchy until they reach the final stage of self-actualisation (Block, 2011, pp. 913-915). </w:t>
      </w:r>
    </w:p>
    <w:p w14:paraId="461B8378" w14:textId="66B43237" w:rsidR="00486905" w:rsidRPr="00ED1690" w:rsidRDefault="00486905" w:rsidP="00ED1690">
      <w:pPr>
        <w:spacing w:line="360" w:lineRule="auto"/>
        <w:rPr>
          <w:rFonts w:ascii="Arial" w:hAnsi="Arial" w:cs="Arial"/>
        </w:rPr>
      </w:pPr>
      <w:r w:rsidRPr="00ED1690">
        <w:rPr>
          <w:rFonts w:ascii="Arial" w:hAnsi="Arial" w:cs="Arial"/>
        </w:rPr>
        <w:t xml:space="preserve">Direct instruction is a behaviourist </w:t>
      </w:r>
      <w:r w:rsidR="00C66E51" w:rsidRPr="00ED1690">
        <w:rPr>
          <w:rFonts w:ascii="Arial" w:hAnsi="Arial" w:cs="Arial"/>
        </w:rPr>
        <w:t xml:space="preserve">approach that involves a teacher giving </w:t>
      </w:r>
      <w:r w:rsidR="008F7B55" w:rsidRPr="00ED1690">
        <w:rPr>
          <w:rFonts w:ascii="Arial" w:hAnsi="Arial" w:cs="Arial"/>
        </w:rPr>
        <w:t>direction</w:t>
      </w:r>
      <w:r w:rsidR="00E043AE" w:rsidRPr="00ED1690">
        <w:rPr>
          <w:rFonts w:ascii="Arial" w:hAnsi="Arial" w:cs="Arial"/>
        </w:rPr>
        <w:t>s</w:t>
      </w:r>
      <w:r w:rsidR="00C66E51" w:rsidRPr="00ED1690">
        <w:rPr>
          <w:rFonts w:ascii="Arial" w:hAnsi="Arial" w:cs="Arial"/>
        </w:rPr>
        <w:t xml:space="preserve"> </w:t>
      </w:r>
      <w:r w:rsidR="00714486" w:rsidRPr="00ED1690">
        <w:rPr>
          <w:rFonts w:ascii="Arial" w:hAnsi="Arial" w:cs="Arial"/>
        </w:rPr>
        <w:t>to learners</w:t>
      </w:r>
      <w:r w:rsidR="00E043AE" w:rsidRPr="00ED1690">
        <w:rPr>
          <w:rFonts w:ascii="Arial" w:hAnsi="Arial" w:cs="Arial"/>
        </w:rPr>
        <w:t xml:space="preserve">. There is some debate over the effectiveness of direct </w:t>
      </w:r>
      <w:r w:rsidR="000128B1" w:rsidRPr="00ED1690">
        <w:rPr>
          <w:rFonts w:ascii="Arial" w:hAnsi="Arial" w:cs="Arial"/>
        </w:rPr>
        <w:t>instruction. According to Barbash (2011)</w:t>
      </w:r>
      <w:r w:rsidR="005D540D" w:rsidRPr="00ED1690">
        <w:rPr>
          <w:rFonts w:ascii="Arial" w:hAnsi="Arial" w:cs="Arial"/>
        </w:rPr>
        <w:t>,</w:t>
      </w:r>
      <w:r w:rsidR="007A7050" w:rsidRPr="00ED1690">
        <w:rPr>
          <w:rFonts w:ascii="Arial" w:hAnsi="Arial" w:cs="Arial"/>
        </w:rPr>
        <w:t xml:space="preserve"> direct instruction is often rejected by </w:t>
      </w:r>
      <w:r w:rsidR="00F03156" w:rsidRPr="00ED1690">
        <w:rPr>
          <w:rFonts w:ascii="Arial" w:hAnsi="Arial" w:cs="Arial"/>
        </w:rPr>
        <w:t xml:space="preserve">practitioners because it “challenges the validity </w:t>
      </w:r>
      <w:r w:rsidR="005D540D" w:rsidRPr="00ED1690">
        <w:rPr>
          <w:rFonts w:ascii="Arial" w:hAnsi="Arial" w:cs="Arial"/>
        </w:rPr>
        <w:t xml:space="preserve">of their beliefs” despite being an effective academic </w:t>
      </w:r>
      <w:r w:rsidR="00CA6E79" w:rsidRPr="00ED1690">
        <w:rPr>
          <w:rFonts w:ascii="Arial" w:hAnsi="Arial" w:cs="Arial"/>
        </w:rPr>
        <w:t xml:space="preserve">technique. Moreover, </w:t>
      </w:r>
      <w:r w:rsidR="00016333" w:rsidRPr="00ED1690">
        <w:rPr>
          <w:rFonts w:ascii="Arial" w:hAnsi="Arial" w:cs="Arial"/>
        </w:rPr>
        <w:t xml:space="preserve">it is suggested that direct instruction </w:t>
      </w:r>
      <w:r w:rsidR="0005180B" w:rsidRPr="00ED1690">
        <w:rPr>
          <w:rFonts w:ascii="Arial" w:hAnsi="Arial" w:cs="Arial"/>
        </w:rPr>
        <w:t>impedes</w:t>
      </w:r>
      <w:r w:rsidR="00016333" w:rsidRPr="00ED1690">
        <w:rPr>
          <w:rFonts w:ascii="Arial" w:hAnsi="Arial" w:cs="Arial"/>
        </w:rPr>
        <w:t xml:space="preserve"> </w:t>
      </w:r>
      <w:r w:rsidR="003D6406" w:rsidRPr="00ED1690">
        <w:rPr>
          <w:rFonts w:ascii="Arial" w:hAnsi="Arial" w:cs="Arial"/>
        </w:rPr>
        <w:t xml:space="preserve">learner creativity and therefore could be implied that </w:t>
      </w:r>
      <w:r w:rsidR="00134340" w:rsidRPr="00ED1690">
        <w:rPr>
          <w:rFonts w:ascii="Arial" w:hAnsi="Arial" w:cs="Arial"/>
        </w:rPr>
        <w:t xml:space="preserve">it may also interfere with some </w:t>
      </w:r>
      <w:r w:rsidR="001D5997">
        <w:rPr>
          <w:rFonts w:ascii="Arial" w:hAnsi="Arial" w:cs="Arial"/>
        </w:rPr>
        <w:t>areas of learning and experience (</w:t>
      </w:r>
      <w:r w:rsidR="00134340" w:rsidRPr="00ED1690">
        <w:rPr>
          <w:rFonts w:ascii="Arial" w:hAnsi="Arial" w:cs="Arial"/>
        </w:rPr>
        <w:t>AoLEs</w:t>
      </w:r>
      <w:r w:rsidR="001D5997">
        <w:rPr>
          <w:rFonts w:ascii="Arial" w:hAnsi="Arial" w:cs="Arial"/>
        </w:rPr>
        <w:t>)</w:t>
      </w:r>
      <w:r w:rsidR="00134340" w:rsidRPr="00ED1690">
        <w:rPr>
          <w:rFonts w:ascii="Arial" w:hAnsi="Arial" w:cs="Arial"/>
        </w:rPr>
        <w:t xml:space="preserve"> such as expressive arts and humanities </w:t>
      </w:r>
      <w:r w:rsidR="0005180B" w:rsidRPr="00ED1690">
        <w:rPr>
          <w:rFonts w:ascii="Arial" w:hAnsi="Arial" w:cs="Arial"/>
        </w:rPr>
        <w:t xml:space="preserve">(Hammond, 2022). </w:t>
      </w:r>
      <w:r w:rsidR="00A0524E" w:rsidRPr="00ED1690">
        <w:rPr>
          <w:rFonts w:ascii="Arial" w:hAnsi="Arial" w:cs="Arial"/>
        </w:rPr>
        <w:t xml:space="preserve">This in turn </w:t>
      </w:r>
      <w:r w:rsidR="0022348B" w:rsidRPr="00ED1690">
        <w:rPr>
          <w:rFonts w:ascii="Arial" w:hAnsi="Arial" w:cs="Arial"/>
        </w:rPr>
        <w:t xml:space="preserve">could have an indirect impact on the cross-curricular responsibilities. However, it should be noted that </w:t>
      </w:r>
      <w:r w:rsidR="0009498D" w:rsidRPr="00ED1690">
        <w:rPr>
          <w:rFonts w:ascii="Arial" w:hAnsi="Arial" w:cs="Arial"/>
        </w:rPr>
        <w:t xml:space="preserve">these negative </w:t>
      </w:r>
      <w:r w:rsidR="005912B3" w:rsidRPr="00ED1690">
        <w:rPr>
          <w:rFonts w:ascii="Arial" w:hAnsi="Arial" w:cs="Arial"/>
        </w:rPr>
        <w:t xml:space="preserve">perceptions were raised by practitioners </w:t>
      </w:r>
      <w:r w:rsidR="007E520D" w:rsidRPr="00ED1690">
        <w:rPr>
          <w:rFonts w:ascii="Arial" w:hAnsi="Arial" w:cs="Arial"/>
        </w:rPr>
        <w:t>with a mostly constructivist pedagogy</w:t>
      </w:r>
      <w:r w:rsidR="009B338B" w:rsidRPr="00ED1690">
        <w:rPr>
          <w:rFonts w:ascii="Arial" w:hAnsi="Arial" w:cs="Arial"/>
        </w:rPr>
        <w:t>, which may affect th</w:t>
      </w:r>
      <w:r w:rsidR="00493777" w:rsidRPr="00ED1690">
        <w:rPr>
          <w:rFonts w:ascii="Arial" w:hAnsi="Arial" w:cs="Arial"/>
        </w:rPr>
        <w:t xml:space="preserve">e validity of the </w:t>
      </w:r>
      <w:r w:rsidR="00F66CCB" w:rsidRPr="00ED1690">
        <w:rPr>
          <w:rFonts w:ascii="Arial" w:hAnsi="Arial" w:cs="Arial"/>
        </w:rPr>
        <w:t xml:space="preserve">data </w:t>
      </w:r>
      <w:r w:rsidR="003705FE">
        <w:rPr>
          <w:rFonts w:ascii="Arial" w:hAnsi="Arial" w:cs="Arial"/>
        </w:rPr>
        <w:t xml:space="preserve">used </w:t>
      </w:r>
      <w:r w:rsidR="00F66CCB" w:rsidRPr="00ED1690">
        <w:rPr>
          <w:rFonts w:ascii="Arial" w:hAnsi="Arial" w:cs="Arial"/>
        </w:rPr>
        <w:t>due to its potential bias</w:t>
      </w:r>
      <w:r w:rsidR="0042265C" w:rsidRPr="00ED1690">
        <w:rPr>
          <w:rFonts w:ascii="Arial" w:hAnsi="Arial" w:cs="Arial"/>
        </w:rPr>
        <w:t xml:space="preserve"> about a behaviourist strategy</w:t>
      </w:r>
      <w:r w:rsidR="00F66CCB" w:rsidRPr="00ED1690">
        <w:rPr>
          <w:rFonts w:ascii="Arial" w:hAnsi="Arial" w:cs="Arial"/>
        </w:rPr>
        <w:t xml:space="preserve">. </w:t>
      </w:r>
      <w:r w:rsidR="0042265C" w:rsidRPr="00ED1690">
        <w:rPr>
          <w:rFonts w:ascii="Arial" w:hAnsi="Arial" w:cs="Arial"/>
        </w:rPr>
        <w:t xml:space="preserve">Nevertheless, </w:t>
      </w:r>
      <w:r w:rsidR="00E34D8A" w:rsidRPr="00ED1690">
        <w:rPr>
          <w:rFonts w:ascii="Arial" w:hAnsi="Arial" w:cs="Arial"/>
        </w:rPr>
        <w:t xml:space="preserve">direct instruction is a valid </w:t>
      </w:r>
      <w:r w:rsidR="003876BC" w:rsidRPr="00ED1690">
        <w:rPr>
          <w:rFonts w:ascii="Arial" w:hAnsi="Arial" w:cs="Arial"/>
        </w:rPr>
        <w:t xml:space="preserve">approach to learning. For example, a comparative study </w:t>
      </w:r>
      <w:r w:rsidR="007E1C09" w:rsidRPr="00ED1690">
        <w:rPr>
          <w:rFonts w:ascii="Arial" w:hAnsi="Arial" w:cs="Arial"/>
        </w:rPr>
        <w:t xml:space="preserve">revealed that using direct instruction </w:t>
      </w:r>
      <w:r w:rsidR="00A07306" w:rsidRPr="00ED1690">
        <w:rPr>
          <w:rFonts w:ascii="Arial" w:hAnsi="Arial" w:cs="Arial"/>
        </w:rPr>
        <w:t xml:space="preserve">with science activities can allow learners to apply </w:t>
      </w:r>
      <w:r w:rsidR="00A07306" w:rsidRPr="00ED1690">
        <w:rPr>
          <w:rFonts w:ascii="Arial" w:hAnsi="Arial" w:cs="Arial"/>
        </w:rPr>
        <w:lastRenderedPageBreak/>
        <w:t xml:space="preserve">transferable skills </w:t>
      </w:r>
      <w:r w:rsidR="00DC24C6" w:rsidRPr="00ED1690">
        <w:rPr>
          <w:rFonts w:ascii="Arial" w:hAnsi="Arial" w:cs="Arial"/>
        </w:rPr>
        <w:t xml:space="preserve">to unfamiliar topics quicker than </w:t>
      </w:r>
      <w:r w:rsidR="00C02D11" w:rsidRPr="00ED1690">
        <w:rPr>
          <w:rFonts w:ascii="Arial" w:hAnsi="Arial" w:cs="Arial"/>
        </w:rPr>
        <w:t>a group using only a child-led approach (Kruit et al., 2018).</w:t>
      </w:r>
    </w:p>
    <w:p w14:paraId="28B54CB0" w14:textId="7B5D4DAC" w:rsidR="00E1389B" w:rsidRPr="00ED1690" w:rsidRDefault="00DE25A7" w:rsidP="00ED1690">
      <w:pPr>
        <w:spacing w:line="360" w:lineRule="auto"/>
        <w:rPr>
          <w:rFonts w:ascii="Arial" w:hAnsi="Arial" w:cs="Arial"/>
        </w:rPr>
      </w:pPr>
      <w:r w:rsidRPr="00ED1690">
        <w:rPr>
          <w:rFonts w:ascii="Arial" w:hAnsi="Arial" w:cs="Arial"/>
        </w:rPr>
        <w:t xml:space="preserve">Another behaviourist </w:t>
      </w:r>
      <w:r w:rsidR="000F52C2" w:rsidRPr="00ED1690">
        <w:rPr>
          <w:rFonts w:ascii="Arial" w:hAnsi="Arial" w:cs="Arial"/>
        </w:rPr>
        <w:t>approach used by practitioners is reward systems</w:t>
      </w:r>
      <w:r w:rsidR="00EA0493" w:rsidRPr="00ED1690">
        <w:rPr>
          <w:rFonts w:ascii="Arial" w:hAnsi="Arial" w:cs="Arial"/>
        </w:rPr>
        <w:t xml:space="preserve">, which is derived from operant conditioning originally coined by theorists </w:t>
      </w:r>
      <w:r w:rsidR="002170E5" w:rsidRPr="00ED1690">
        <w:rPr>
          <w:rFonts w:ascii="Arial" w:hAnsi="Arial" w:cs="Arial"/>
        </w:rPr>
        <w:t>such as Thorndike (</w:t>
      </w:r>
      <w:r w:rsidR="00D3458C" w:rsidRPr="00ED1690">
        <w:rPr>
          <w:rFonts w:ascii="Arial" w:hAnsi="Arial" w:cs="Arial"/>
        </w:rPr>
        <w:t xml:space="preserve">1898) and </w:t>
      </w:r>
      <w:r w:rsidR="002170E5" w:rsidRPr="00ED1690">
        <w:rPr>
          <w:rFonts w:ascii="Arial" w:hAnsi="Arial" w:cs="Arial"/>
        </w:rPr>
        <w:t>Skinner (1953)</w:t>
      </w:r>
      <w:r w:rsidR="00D3458C" w:rsidRPr="00ED1690">
        <w:rPr>
          <w:rFonts w:ascii="Arial" w:hAnsi="Arial" w:cs="Arial"/>
        </w:rPr>
        <w:t>.</w:t>
      </w:r>
      <w:r w:rsidR="007346C4" w:rsidRPr="00ED1690">
        <w:rPr>
          <w:rFonts w:ascii="Arial" w:hAnsi="Arial" w:cs="Arial"/>
        </w:rPr>
        <w:t xml:space="preserve"> </w:t>
      </w:r>
      <w:r w:rsidR="0018580D" w:rsidRPr="00ED1690">
        <w:rPr>
          <w:rFonts w:ascii="Arial" w:hAnsi="Arial" w:cs="Arial"/>
        </w:rPr>
        <w:t xml:space="preserve">Thorndike (1898) tested how long it took cats to escape a cage </w:t>
      </w:r>
      <w:r w:rsidR="00C158F7" w:rsidRPr="00ED1690">
        <w:rPr>
          <w:rFonts w:ascii="Arial" w:hAnsi="Arial" w:cs="Arial"/>
        </w:rPr>
        <w:t xml:space="preserve">with favourable rewards to encourage them. After repeating the </w:t>
      </w:r>
      <w:r w:rsidR="0044419B" w:rsidRPr="00ED1690">
        <w:rPr>
          <w:rFonts w:ascii="Arial" w:hAnsi="Arial" w:cs="Arial"/>
        </w:rPr>
        <w:t>experiment,</w:t>
      </w:r>
      <w:r w:rsidR="00C158F7" w:rsidRPr="00ED1690">
        <w:rPr>
          <w:rFonts w:ascii="Arial" w:hAnsi="Arial" w:cs="Arial"/>
        </w:rPr>
        <w:t xml:space="preserve"> </w:t>
      </w:r>
      <w:r w:rsidR="00792138" w:rsidRPr="00ED1690">
        <w:rPr>
          <w:rFonts w:ascii="Arial" w:hAnsi="Arial" w:cs="Arial"/>
        </w:rPr>
        <w:t xml:space="preserve">the </w:t>
      </w:r>
      <w:r w:rsidR="00167FB0">
        <w:rPr>
          <w:rFonts w:ascii="Arial" w:hAnsi="Arial" w:cs="Arial"/>
        </w:rPr>
        <w:t>cats'</w:t>
      </w:r>
      <w:r w:rsidR="00792138" w:rsidRPr="00ED1690">
        <w:rPr>
          <w:rFonts w:ascii="Arial" w:hAnsi="Arial" w:cs="Arial"/>
        </w:rPr>
        <w:t xml:space="preserve"> escape time improved. As a result, Thorndike </w:t>
      </w:r>
      <w:r w:rsidR="00B35D75" w:rsidRPr="00ED1690">
        <w:rPr>
          <w:rFonts w:ascii="Arial" w:hAnsi="Arial" w:cs="Arial"/>
        </w:rPr>
        <w:t>theorised</w:t>
      </w:r>
      <w:r w:rsidR="00792138" w:rsidRPr="00ED1690">
        <w:rPr>
          <w:rFonts w:ascii="Arial" w:hAnsi="Arial" w:cs="Arial"/>
        </w:rPr>
        <w:t xml:space="preserve"> </w:t>
      </w:r>
      <w:r w:rsidR="00531D79" w:rsidRPr="00ED1690">
        <w:rPr>
          <w:rFonts w:ascii="Arial" w:hAnsi="Arial" w:cs="Arial"/>
        </w:rPr>
        <w:t xml:space="preserve">that behaviour followed by a positive outcome is more likely to be repeated </w:t>
      </w:r>
      <w:r w:rsidR="00B35D75" w:rsidRPr="00ED1690">
        <w:rPr>
          <w:rFonts w:ascii="Arial" w:hAnsi="Arial" w:cs="Arial"/>
        </w:rPr>
        <w:t xml:space="preserve">(Mcleod, 2018). Similarly, Skinner (1953) </w:t>
      </w:r>
      <w:r w:rsidR="003B0CBD" w:rsidRPr="00ED1690">
        <w:rPr>
          <w:rFonts w:ascii="Arial" w:hAnsi="Arial" w:cs="Arial"/>
        </w:rPr>
        <w:t xml:space="preserve">created an experiment using rats that builds on Thorndike’s original conclusion of law and effect. </w:t>
      </w:r>
      <w:r w:rsidR="009E424E" w:rsidRPr="00ED1690">
        <w:rPr>
          <w:rFonts w:ascii="Arial" w:hAnsi="Arial" w:cs="Arial"/>
        </w:rPr>
        <w:t xml:space="preserve">Skinner used both positive and negative reinforcement during </w:t>
      </w:r>
      <w:r w:rsidR="0092390C" w:rsidRPr="00ED1690">
        <w:rPr>
          <w:rFonts w:ascii="Arial" w:hAnsi="Arial" w:cs="Arial"/>
        </w:rPr>
        <w:t>experiments, which led to the term operant conditioning</w:t>
      </w:r>
      <w:r w:rsidR="00F34E38" w:rsidRPr="00ED1690">
        <w:rPr>
          <w:rFonts w:ascii="Arial" w:hAnsi="Arial" w:cs="Arial"/>
        </w:rPr>
        <w:t xml:space="preserve"> (Leeder, 2022)</w:t>
      </w:r>
      <w:r w:rsidR="0092390C" w:rsidRPr="00ED1690">
        <w:rPr>
          <w:rFonts w:ascii="Arial" w:hAnsi="Arial" w:cs="Arial"/>
        </w:rPr>
        <w:t>.</w:t>
      </w:r>
      <w:r w:rsidR="009B084E" w:rsidRPr="00ED1690">
        <w:rPr>
          <w:rFonts w:ascii="Arial" w:hAnsi="Arial" w:cs="Arial"/>
        </w:rPr>
        <w:t xml:space="preserve"> In modern </w:t>
      </w:r>
      <w:r w:rsidR="00B629C6" w:rsidRPr="00ED1690">
        <w:rPr>
          <w:rFonts w:ascii="Arial" w:hAnsi="Arial" w:cs="Arial"/>
        </w:rPr>
        <w:t>practice</w:t>
      </w:r>
      <w:r w:rsidR="00716CFE" w:rsidRPr="00ED1690">
        <w:rPr>
          <w:rFonts w:ascii="Arial" w:hAnsi="Arial" w:cs="Arial"/>
        </w:rPr>
        <w:t>,</w:t>
      </w:r>
      <w:r w:rsidR="009B084E" w:rsidRPr="00ED1690">
        <w:rPr>
          <w:rFonts w:ascii="Arial" w:hAnsi="Arial" w:cs="Arial"/>
        </w:rPr>
        <w:t xml:space="preserve"> this is demonstrated mostly in reward systems</w:t>
      </w:r>
      <w:r w:rsidR="00B629C6" w:rsidRPr="00ED1690">
        <w:rPr>
          <w:rFonts w:ascii="Arial" w:hAnsi="Arial" w:cs="Arial"/>
        </w:rPr>
        <w:t xml:space="preserve">. For example, </w:t>
      </w:r>
      <w:r w:rsidR="00676737" w:rsidRPr="00ED1690">
        <w:rPr>
          <w:rFonts w:ascii="Arial" w:hAnsi="Arial" w:cs="Arial"/>
        </w:rPr>
        <w:t xml:space="preserve">a school with severe behavioural issues </w:t>
      </w:r>
      <w:r w:rsidR="00D26F6B" w:rsidRPr="00ED1690">
        <w:rPr>
          <w:rFonts w:ascii="Arial" w:hAnsi="Arial" w:cs="Arial"/>
        </w:rPr>
        <w:t>introduced a strategy that rewarded learners for displaying pro-social behaviour</w:t>
      </w:r>
      <w:r w:rsidR="00B0182C" w:rsidRPr="00ED1690">
        <w:rPr>
          <w:rFonts w:ascii="Arial" w:hAnsi="Arial" w:cs="Arial"/>
        </w:rPr>
        <w:t xml:space="preserve"> such as attending school on time, completing tasks to a good standard and </w:t>
      </w:r>
      <w:r w:rsidR="00716CFE" w:rsidRPr="00ED1690">
        <w:rPr>
          <w:rFonts w:ascii="Arial" w:hAnsi="Arial" w:cs="Arial"/>
        </w:rPr>
        <w:t>being respectful towards each other</w:t>
      </w:r>
      <w:r w:rsidR="00D26F6B" w:rsidRPr="00ED1690">
        <w:rPr>
          <w:rFonts w:ascii="Arial" w:hAnsi="Arial" w:cs="Arial"/>
        </w:rPr>
        <w:t xml:space="preserve">. </w:t>
      </w:r>
      <w:r w:rsidR="0002265E" w:rsidRPr="00ED1690">
        <w:rPr>
          <w:rFonts w:ascii="Arial" w:hAnsi="Arial" w:cs="Arial"/>
        </w:rPr>
        <w:t xml:space="preserve">Learners </w:t>
      </w:r>
      <w:r w:rsidR="00633247" w:rsidRPr="00ED1690">
        <w:rPr>
          <w:rFonts w:ascii="Arial" w:hAnsi="Arial" w:cs="Arial"/>
        </w:rPr>
        <w:t xml:space="preserve">are awarded points that can be exchanged for free time. Overall, this strategy has </w:t>
      </w:r>
      <w:r w:rsidR="00E1389B" w:rsidRPr="00ED1690">
        <w:rPr>
          <w:rFonts w:ascii="Arial" w:hAnsi="Arial" w:cs="Arial"/>
        </w:rPr>
        <w:t xml:space="preserve">had a positive impact on the school and learners, who appear </w:t>
      </w:r>
      <w:r w:rsidR="003A44CF" w:rsidRPr="00ED1690">
        <w:rPr>
          <w:rFonts w:ascii="Arial" w:hAnsi="Arial" w:cs="Arial"/>
        </w:rPr>
        <w:t xml:space="preserve">to manage behaviour more successfully as well as increasing attendance (Estyn, 2018). </w:t>
      </w:r>
      <w:r w:rsidR="00F014D4" w:rsidRPr="00ED1690">
        <w:rPr>
          <w:rFonts w:ascii="Arial" w:hAnsi="Arial" w:cs="Arial"/>
        </w:rPr>
        <w:t xml:space="preserve">Perhaps this demonstrates the requirement of using a blend of </w:t>
      </w:r>
      <w:r w:rsidR="00731A9A">
        <w:rPr>
          <w:rFonts w:ascii="Arial" w:hAnsi="Arial" w:cs="Arial"/>
        </w:rPr>
        <w:t xml:space="preserve">various </w:t>
      </w:r>
      <w:r w:rsidR="00F014D4" w:rsidRPr="00ED1690">
        <w:rPr>
          <w:rFonts w:ascii="Arial" w:hAnsi="Arial" w:cs="Arial"/>
        </w:rPr>
        <w:t xml:space="preserve">approaches depending on the circumstances and background </w:t>
      </w:r>
      <w:r w:rsidR="00536049" w:rsidRPr="00ED1690">
        <w:rPr>
          <w:rFonts w:ascii="Arial" w:hAnsi="Arial" w:cs="Arial"/>
        </w:rPr>
        <w:t>of each learner.</w:t>
      </w:r>
    </w:p>
    <w:p w14:paraId="4B026DEC" w14:textId="77777777" w:rsidR="00E04D6E" w:rsidRPr="00ED1690" w:rsidRDefault="00E04D6E" w:rsidP="00ED1690">
      <w:pPr>
        <w:spacing w:line="360" w:lineRule="auto"/>
        <w:rPr>
          <w:rFonts w:ascii="Arial" w:hAnsi="Arial" w:cs="Arial"/>
        </w:rPr>
      </w:pPr>
    </w:p>
    <w:p w14:paraId="25A76F49" w14:textId="1BEAE70C" w:rsidR="00E04D6E" w:rsidRPr="00ED1690" w:rsidRDefault="00DE14E1" w:rsidP="00ED1690">
      <w:pPr>
        <w:spacing w:line="360" w:lineRule="auto"/>
        <w:rPr>
          <w:rFonts w:ascii="Arial" w:hAnsi="Arial" w:cs="Arial"/>
        </w:rPr>
      </w:pPr>
      <w:r w:rsidRPr="00ED1690">
        <w:rPr>
          <w:rFonts w:ascii="Arial" w:hAnsi="Arial" w:cs="Arial"/>
        </w:rPr>
        <w:t xml:space="preserve">A constructivist approach to consider </w:t>
      </w:r>
      <w:r w:rsidR="0064647F" w:rsidRPr="00ED1690">
        <w:rPr>
          <w:rFonts w:ascii="Arial" w:hAnsi="Arial" w:cs="Arial"/>
        </w:rPr>
        <w:t>could be inquiry-based learning.</w:t>
      </w:r>
      <w:r w:rsidR="0097330F" w:rsidRPr="00ED1690">
        <w:rPr>
          <w:rFonts w:ascii="Arial" w:hAnsi="Arial" w:cs="Arial"/>
        </w:rPr>
        <w:t xml:space="preserve"> </w:t>
      </w:r>
      <w:r w:rsidR="00EC7B91" w:rsidRPr="00ED1690">
        <w:rPr>
          <w:rFonts w:ascii="Arial" w:hAnsi="Arial" w:cs="Arial"/>
        </w:rPr>
        <w:t>Inquiry-based</w:t>
      </w:r>
      <w:r w:rsidR="0097330F" w:rsidRPr="00ED1690">
        <w:rPr>
          <w:rFonts w:ascii="Arial" w:hAnsi="Arial" w:cs="Arial"/>
        </w:rPr>
        <w:t xml:space="preserve"> learning is an approach that has the learner at the centre</w:t>
      </w:r>
      <w:r w:rsidR="00AC74D7" w:rsidRPr="00ED1690">
        <w:rPr>
          <w:rFonts w:ascii="Arial" w:hAnsi="Arial" w:cs="Arial"/>
        </w:rPr>
        <w:t>. Usually, it will have an overarching question or theme that learners will investigate for themselves (</w:t>
      </w:r>
      <w:r w:rsidR="00C81F35" w:rsidRPr="00ED1690">
        <w:rPr>
          <w:rFonts w:ascii="Arial" w:hAnsi="Arial" w:cs="Arial"/>
        </w:rPr>
        <w:t xml:space="preserve">Ernst et al., 2017). The flexibility of </w:t>
      </w:r>
      <w:r w:rsidR="00EC7B91" w:rsidRPr="00ED1690">
        <w:rPr>
          <w:rFonts w:ascii="Arial" w:hAnsi="Arial" w:cs="Arial"/>
        </w:rPr>
        <w:t>inquiry-based</w:t>
      </w:r>
      <w:r w:rsidR="00C81F35" w:rsidRPr="00ED1690">
        <w:rPr>
          <w:rFonts w:ascii="Arial" w:hAnsi="Arial" w:cs="Arial"/>
        </w:rPr>
        <w:t xml:space="preserve"> learning can be tailored </w:t>
      </w:r>
      <w:r w:rsidR="00851115" w:rsidRPr="00ED1690">
        <w:rPr>
          <w:rFonts w:ascii="Arial" w:hAnsi="Arial" w:cs="Arial"/>
        </w:rPr>
        <w:t xml:space="preserve">to the interests of each learner similar to personalised learning. </w:t>
      </w:r>
      <w:r w:rsidR="00E179BB" w:rsidRPr="00ED1690">
        <w:rPr>
          <w:rFonts w:ascii="Arial" w:hAnsi="Arial" w:cs="Arial"/>
        </w:rPr>
        <w:t>In addition to this, the questioning nature of inquiry</w:t>
      </w:r>
      <w:r w:rsidR="00984493" w:rsidRPr="00ED1690">
        <w:rPr>
          <w:rFonts w:ascii="Arial" w:hAnsi="Arial" w:cs="Arial"/>
        </w:rPr>
        <w:t xml:space="preserve">-based learning can build critical thinking and </w:t>
      </w:r>
      <w:r w:rsidR="00EC7B91" w:rsidRPr="00ED1690">
        <w:rPr>
          <w:rFonts w:ascii="Arial" w:hAnsi="Arial" w:cs="Arial"/>
        </w:rPr>
        <w:t>problem-solving</w:t>
      </w:r>
      <w:r w:rsidR="00984493" w:rsidRPr="00ED1690">
        <w:rPr>
          <w:rFonts w:ascii="Arial" w:hAnsi="Arial" w:cs="Arial"/>
        </w:rPr>
        <w:t xml:space="preserve"> skills</w:t>
      </w:r>
      <w:r w:rsidR="00AA0F50" w:rsidRPr="00ED1690">
        <w:rPr>
          <w:rFonts w:ascii="Arial" w:hAnsi="Arial" w:cs="Arial"/>
        </w:rPr>
        <w:t xml:space="preserve"> (Meirbekov and Salikhanova, 2021)</w:t>
      </w:r>
      <w:r w:rsidR="00EC7B91" w:rsidRPr="00ED1690">
        <w:rPr>
          <w:rFonts w:ascii="Arial" w:hAnsi="Arial" w:cs="Arial"/>
        </w:rPr>
        <w:t>.</w:t>
      </w:r>
      <w:r w:rsidR="0064647F" w:rsidRPr="00ED1690">
        <w:rPr>
          <w:rFonts w:ascii="Arial" w:hAnsi="Arial" w:cs="Arial"/>
        </w:rPr>
        <w:t xml:space="preserve"> </w:t>
      </w:r>
      <w:r w:rsidR="00E04D6E" w:rsidRPr="00ED1690">
        <w:rPr>
          <w:rFonts w:ascii="Arial" w:hAnsi="Arial" w:cs="Arial"/>
        </w:rPr>
        <w:t xml:space="preserve">Another method to consider here to achieve a broad repertoire of approaches could be </w:t>
      </w:r>
      <w:r w:rsidR="00125B02" w:rsidRPr="00ED1690">
        <w:rPr>
          <w:rFonts w:ascii="Arial" w:hAnsi="Arial" w:cs="Arial"/>
        </w:rPr>
        <w:t>active learning</w:t>
      </w:r>
      <w:r w:rsidR="00E04D6E" w:rsidRPr="00ED1690">
        <w:rPr>
          <w:rFonts w:ascii="Arial" w:hAnsi="Arial" w:cs="Arial"/>
        </w:rPr>
        <w:t>.</w:t>
      </w:r>
      <w:r w:rsidR="00125B02" w:rsidRPr="00ED1690">
        <w:rPr>
          <w:rFonts w:ascii="Arial" w:hAnsi="Arial" w:cs="Arial"/>
        </w:rPr>
        <w:t xml:space="preserve"> Active learning </w:t>
      </w:r>
      <w:r w:rsidR="0064647F" w:rsidRPr="00ED1690">
        <w:rPr>
          <w:rFonts w:ascii="Arial" w:hAnsi="Arial" w:cs="Arial"/>
        </w:rPr>
        <w:t>is</w:t>
      </w:r>
      <w:r w:rsidR="00125B02" w:rsidRPr="00ED1690">
        <w:rPr>
          <w:rFonts w:ascii="Arial" w:hAnsi="Arial" w:cs="Arial"/>
        </w:rPr>
        <w:t xml:space="preserve"> strategies</w:t>
      </w:r>
      <w:r w:rsidR="00AB47E5" w:rsidRPr="00ED1690">
        <w:rPr>
          <w:rFonts w:ascii="Arial" w:hAnsi="Arial" w:cs="Arial"/>
        </w:rPr>
        <w:t xml:space="preserve"> such as questioning</w:t>
      </w:r>
      <w:r w:rsidR="00125B02" w:rsidRPr="00ED1690">
        <w:rPr>
          <w:rFonts w:ascii="Arial" w:hAnsi="Arial" w:cs="Arial"/>
        </w:rPr>
        <w:t xml:space="preserve"> that </w:t>
      </w:r>
      <w:r w:rsidR="00AB47E5" w:rsidRPr="00ED1690">
        <w:rPr>
          <w:rFonts w:ascii="Arial" w:hAnsi="Arial" w:cs="Arial"/>
        </w:rPr>
        <w:t>engage</w:t>
      </w:r>
      <w:r w:rsidR="00125B02" w:rsidRPr="00ED1690">
        <w:rPr>
          <w:rFonts w:ascii="Arial" w:hAnsi="Arial" w:cs="Arial"/>
        </w:rPr>
        <w:t xml:space="preserve"> </w:t>
      </w:r>
      <w:r w:rsidR="00AB47E5" w:rsidRPr="00ED1690">
        <w:rPr>
          <w:rFonts w:ascii="Arial" w:hAnsi="Arial" w:cs="Arial"/>
        </w:rPr>
        <w:t>learners</w:t>
      </w:r>
      <w:r w:rsidR="00125B02" w:rsidRPr="00ED1690">
        <w:rPr>
          <w:rFonts w:ascii="Arial" w:hAnsi="Arial" w:cs="Arial"/>
        </w:rPr>
        <w:t xml:space="preserve"> beyond passive </w:t>
      </w:r>
      <w:r w:rsidR="00AB47E5" w:rsidRPr="00ED1690">
        <w:rPr>
          <w:rFonts w:ascii="Arial" w:hAnsi="Arial" w:cs="Arial"/>
        </w:rPr>
        <w:t xml:space="preserve">listening by promoting </w:t>
      </w:r>
      <w:r w:rsidR="0064647F" w:rsidRPr="00ED1690">
        <w:rPr>
          <w:rFonts w:ascii="Arial" w:hAnsi="Arial" w:cs="Arial"/>
        </w:rPr>
        <w:t>higher-order</w:t>
      </w:r>
      <w:r w:rsidR="00AB47E5" w:rsidRPr="00ED1690">
        <w:rPr>
          <w:rFonts w:ascii="Arial" w:hAnsi="Arial" w:cs="Arial"/>
        </w:rPr>
        <w:t xml:space="preserve"> thinking skills (Felder and Brent, 2009).</w:t>
      </w:r>
      <w:r w:rsidR="00E04D6E" w:rsidRPr="00ED1690">
        <w:rPr>
          <w:rFonts w:ascii="Arial" w:hAnsi="Arial" w:cs="Arial"/>
        </w:rPr>
        <w:t xml:space="preserve"> In the context of the PET template linked to this strand in part 1, both Barrett’s and Bloom’s taxonomy would be an appropriate basis for questioning techniques. Barrett’s taxonomy focuses on </w:t>
      </w:r>
      <w:r w:rsidR="0064647F" w:rsidRPr="00ED1690">
        <w:rPr>
          <w:rFonts w:ascii="Arial" w:hAnsi="Arial" w:cs="Arial"/>
        </w:rPr>
        <w:t>comprehension-style</w:t>
      </w:r>
      <w:r w:rsidR="00E04D6E" w:rsidRPr="00ED1690">
        <w:rPr>
          <w:rFonts w:ascii="Arial" w:hAnsi="Arial" w:cs="Arial"/>
        </w:rPr>
        <w:t xml:space="preserve"> tasks and progresses in five stages of thinking. The stages are literal comprehension, reorganisation, </w:t>
      </w:r>
      <w:r w:rsidR="00125B02" w:rsidRPr="00ED1690">
        <w:rPr>
          <w:rFonts w:ascii="Arial" w:hAnsi="Arial" w:cs="Arial"/>
        </w:rPr>
        <w:t xml:space="preserve">inferential comprehension, evaluation and appreciation (Pettit and Cockriel, 1974). Whereas Bloom’s taxonomy has six stages that are recall, understanding, application, analysing, evaluating and creating (Adams, 2018). Both </w:t>
      </w:r>
      <w:r w:rsidR="00125B02" w:rsidRPr="00ED1690">
        <w:rPr>
          <w:rFonts w:ascii="Arial" w:hAnsi="Arial" w:cs="Arial"/>
        </w:rPr>
        <w:lastRenderedPageBreak/>
        <w:t xml:space="preserve">strategies follow a similar structure by linking to an order of thinking often used as a guide by practitioners. </w:t>
      </w:r>
      <w:r w:rsidR="002358AE" w:rsidRPr="00ED1690">
        <w:rPr>
          <w:rFonts w:ascii="Arial" w:hAnsi="Arial" w:cs="Arial"/>
        </w:rPr>
        <w:t xml:space="preserve">While inquiry-based learning can be beneficial to learners, it is a </w:t>
      </w:r>
      <w:r w:rsidR="00786C50" w:rsidRPr="00ED1690">
        <w:rPr>
          <w:rFonts w:ascii="Arial" w:hAnsi="Arial" w:cs="Arial"/>
        </w:rPr>
        <w:t xml:space="preserve">particularly </w:t>
      </w:r>
      <w:r w:rsidR="001176B8" w:rsidRPr="00ED1690">
        <w:rPr>
          <w:rFonts w:ascii="Arial" w:hAnsi="Arial" w:cs="Arial"/>
        </w:rPr>
        <w:t>time-consuming</w:t>
      </w:r>
      <w:r w:rsidR="00786C50" w:rsidRPr="00ED1690">
        <w:rPr>
          <w:rFonts w:ascii="Arial" w:hAnsi="Arial" w:cs="Arial"/>
        </w:rPr>
        <w:t xml:space="preserve"> exercise </w:t>
      </w:r>
      <w:r w:rsidR="001176B8" w:rsidRPr="00ED1690">
        <w:rPr>
          <w:rFonts w:ascii="Arial" w:hAnsi="Arial" w:cs="Arial"/>
        </w:rPr>
        <w:t xml:space="preserve">and could be frustrating for learners working in groups with </w:t>
      </w:r>
      <w:r w:rsidR="00B843D5" w:rsidRPr="00ED1690">
        <w:rPr>
          <w:rFonts w:ascii="Arial" w:hAnsi="Arial" w:cs="Arial"/>
        </w:rPr>
        <w:t xml:space="preserve">a significant skill or knowledge gap (Subba et al., 2019). </w:t>
      </w:r>
      <w:r w:rsidR="00705125" w:rsidRPr="00ED1690">
        <w:rPr>
          <w:rFonts w:ascii="Arial" w:hAnsi="Arial" w:cs="Arial"/>
        </w:rPr>
        <w:t>Perhaps</w:t>
      </w:r>
      <w:r w:rsidR="00BA5290" w:rsidRPr="00ED1690">
        <w:rPr>
          <w:rFonts w:ascii="Arial" w:hAnsi="Arial" w:cs="Arial"/>
        </w:rPr>
        <w:t xml:space="preserve"> using a </w:t>
      </w:r>
      <w:r w:rsidR="00826985" w:rsidRPr="00ED1690">
        <w:rPr>
          <w:rFonts w:ascii="Arial" w:hAnsi="Arial" w:cs="Arial"/>
        </w:rPr>
        <w:t>mixed-ability</w:t>
      </w:r>
      <w:r w:rsidR="00BA5290" w:rsidRPr="00ED1690">
        <w:rPr>
          <w:rFonts w:ascii="Arial" w:hAnsi="Arial" w:cs="Arial"/>
        </w:rPr>
        <w:t xml:space="preserve"> approach </w:t>
      </w:r>
      <w:r w:rsidR="00826985" w:rsidRPr="00ED1690">
        <w:rPr>
          <w:rFonts w:ascii="Arial" w:hAnsi="Arial" w:cs="Arial"/>
        </w:rPr>
        <w:t xml:space="preserve">to inquiry learning </w:t>
      </w:r>
      <w:r w:rsidR="00A511E5" w:rsidRPr="00ED1690">
        <w:rPr>
          <w:rFonts w:ascii="Arial" w:hAnsi="Arial" w:cs="Arial"/>
        </w:rPr>
        <w:t xml:space="preserve">might also be potentially beneficial to learners. </w:t>
      </w:r>
      <w:r w:rsidR="00B60585" w:rsidRPr="00ED1690">
        <w:rPr>
          <w:rFonts w:ascii="Arial" w:hAnsi="Arial" w:cs="Arial"/>
        </w:rPr>
        <w:t xml:space="preserve">For example, </w:t>
      </w:r>
      <w:r w:rsidR="00EB5C0B" w:rsidRPr="00ED1690">
        <w:rPr>
          <w:rFonts w:ascii="Arial" w:hAnsi="Arial" w:cs="Arial"/>
        </w:rPr>
        <w:t xml:space="preserve">a school experimented </w:t>
      </w:r>
      <w:r w:rsidR="00563532" w:rsidRPr="00ED1690">
        <w:rPr>
          <w:rFonts w:ascii="Arial" w:hAnsi="Arial" w:cs="Arial"/>
        </w:rPr>
        <w:t xml:space="preserve">with using a </w:t>
      </w:r>
      <w:r w:rsidR="00FF205E" w:rsidRPr="00ED1690">
        <w:rPr>
          <w:rFonts w:ascii="Arial" w:hAnsi="Arial" w:cs="Arial"/>
        </w:rPr>
        <w:t>mixed-ability</w:t>
      </w:r>
      <w:r w:rsidR="00563532" w:rsidRPr="00ED1690">
        <w:rPr>
          <w:rFonts w:ascii="Arial" w:hAnsi="Arial" w:cs="Arial"/>
        </w:rPr>
        <w:t xml:space="preserve"> approach that led to higher</w:t>
      </w:r>
      <w:r w:rsidR="00FF205E" w:rsidRPr="00ED1690">
        <w:rPr>
          <w:rFonts w:ascii="Arial" w:hAnsi="Arial" w:cs="Arial"/>
        </w:rPr>
        <w:t xml:space="preserve"> and lower-ability</w:t>
      </w:r>
      <w:r w:rsidR="00563532" w:rsidRPr="00ED1690">
        <w:rPr>
          <w:rFonts w:ascii="Arial" w:hAnsi="Arial" w:cs="Arial"/>
        </w:rPr>
        <w:t xml:space="preserve"> learners having to communicate </w:t>
      </w:r>
      <w:r w:rsidR="00FF205E" w:rsidRPr="00ED1690">
        <w:rPr>
          <w:rFonts w:ascii="Arial" w:hAnsi="Arial" w:cs="Arial"/>
        </w:rPr>
        <w:t xml:space="preserve">their ideas clearly with each other. This </w:t>
      </w:r>
      <w:r w:rsidR="0074658F" w:rsidRPr="00ED1690">
        <w:rPr>
          <w:rFonts w:ascii="Arial" w:hAnsi="Arial" w:cs="Arial"/>
        </w:rPr>
        <w:t xml:space="preserve">became an opportunity to </w:t>
      </w:r>
      <w:r w:rsidR="008305F7" w:rsidRPr="00ED1690">
        <w:rPr>
          <w:rFonts w:ascii="Arial" w:hAnsi="Arial" w:cs="Arial"/>
        </w:rPr>
        <w:t>consolidate</w:t>
      </w:r>
      <w:r w:rsidR="0074658F" w:rsidRPr="00ED1690">
        <w:rPr>
          <w:rFonts w:ascii="Arial" w:hAnsi="Arial" w:cs="Arial"/>
        </w:rPr>
        <w:t xml:space="preserve"> learning and for learners </w:t>
      </w:r>
      <w:r w:rsidR="008305F7" w:rsidRPr="00ED1690">
        <w:rPr>
          <w:rFonts w:ascii="Arial" w:hAnsi="Arial" w:cs="Arial"/>
        </w:rPr>
        <w:t xml:space="preserve">to develop communication skills (Estyn, 2023). </w:t>
      </w:r>
      <w:r w:rsidR="00665481" w:rsidRPr="00ED1690">
        <w:rPr>
          <w:rFonts w:ascii="Arial" w:hAnsi="Arial" w:cs="Arial"/>
        </w:rPr>
        <w:t xml:space="preserve">However, learners particularly from the </w:t>
      </w:r>
      <w:r w:rsidR="00DB508E" w:rsidRPr="00ED1690">
        <w:rPr>
          <w:rFonts w:ascii="Arial" w:hAnsi="Arial" w:cs="Arial"/>
        </w:rPr>
        <w:t>higher-ability</w:t>
      </w:r>
      <w:r w:rsidR="00665481" w:rsidRPr="00ED1690">
        <w:rPr>
          <w:rFonts w:ascii="Arial" w:hAnsi="Arial" w:cs="Arial"/>
        </w:rPr>
        <w:t xml:space="preserve"> group did express some frustration</w:t>
      </w:r>
      <w:r w:rsidR="00DB508E" w:rsidRPr="00ED1690">
        <w:rPr>
          <w:rFonts w:ascii="Arial" w:hAnsi="Arial" w:cs="Arial"/>
        </w:rPr>
        <w:t xml:space="preserve"> at this approach because it slowed their rate of completion down </w:t>
      </w:r>
      <w:r w:rsidR="00B0357E" w:rsidRPr="00ED1690">
        <w:rPr>
          <w:rFonts w:ascii="Arial" w:hAnsi="Arial" w:cs="Arial"/>
        </w:rPr>
        <w:t xml:space="preserve">(Estyn, 2023). This somewhat supports the criticism </w:t>
      </w:r>
      <w:r w:rsidR="00160D2D" w:rsidRPr="00ED1690">
        <w:rPr>
          <w:rFonts w:ascii="Arial" w:hAnsi="Arial" w:cs="Arial"/>
        </w:rPr>
        <w:t xml:space="preserve">found in the earlier study </w:t>
      </w:r>
      <w:r w:rsidR="00F33D70" w:rsidRPr="00ED1690">
        <w:rPr>
          <w:rFonts w:ascii="Arial" w:hAnsi="Arial" w:cs="Arial"/>
        </w:rPr>
        <w:t xml:space="preserve">(Scubba et al., 2019). Although, it should be noted that </w:t>
      </w:r>
      <w:r w:rsidR="002916F5" w:rsidRPr="00ED1690">
        <w:rPr>
          <w:rFonts w:ascii="Arial" w:hAnsi="Arial" w:cs="Arial"/>
        </w:rPr>
        <w:t xml:space="preserve">these results were the perception of a group of learners and may </w:t>
      </w:r>
      <w:r w:rsidR="006F6BB5">
        <w:rPr>
          <w:rFonts w:ascii="Arial" w:hAnsi="Arial" w:cs="Arial"/>
        </w:rPr>
        <w:t xml:space="preserve">not </w:t>
      </w:r>
      <w:r w:rsidR="002916F5" w:rsidRPr="00ED1690">
        <w:rPr>
          <w:rFonts w:ascii="Arial" w:hAnsi="Arial" w:cs="Arial"/>
        </w:rPr>
        <w:t>be indicative of any</w:t>
      </w:r>
      <w:r w:rsidR="00F93D1D" w:rsidRPr="00ED1690">
        <w:rPr>
          <w:rFonts w:ascii="Arial" w:hAnsi="Arial" w:cs="Arial"/>
        </w:rPr>
        <w:t xml:space="preserve"> lack of</w:t>
      </w:r>
      <w:r w:rsidR="002916F5" w:rsidRPr="00ED1690">
        <w:rPr>
          <w:rFonts w:ascii="Arial" w:hAnsi="Arial" w:cs="Arial"/>
        </w:rPr>
        <w:t xml:space="preserve"> academic success </w:t>
      </w:r>
      <w:r w:rsidR="00F93D1D" w:rsidRPr="00ED1690">
        <w:rPr>
          <w:rFonts w:ascii="Arial" w:hAnsi="Arial" w:cs="Arial"/>
        </w:rPr>
        <w:t xml:space="preserve">or social skills gained by using a </w:t>
      </w:r>
      <w:r w:rsidR="00DD747F" w:rsidRPr="00ED1690">
        <w:rPr>
          <w:rFonts w:ascii="Arial" w:hAnsi="Arial" w:cs="Arial"/>
        </w:rPr>
        <w:t>mixed-ability</w:t>
      </w:r>
      <w:r w:rsidR="00F93D1D" w:rsidRPr="00ED1690">
        <w:rPr>
          <w:rFonts w:ascii="Arial" w:hAnsi="Arial" w:cs="Arial"/>
        </w:rPr>
        <w:t xml:space="preserve"> </w:t>
      </w:r>
      <w:r w:rsidR="00DD747F" w:rsidRPr="00ED1690">
        <w:rPr>
          <w:rFonts w:ascii="Arial" w:hAnsi="Arial" w:cs="Arial"/>
        </w:rPr>
        <w:t xml:space="preserve">approach in conjunction with inquiry-based learning. </w:t>
      </w:r>
    </w:p>
    <w:p w14:paraId="6A701818" w14:textId="42D779B1" w:rsidR="007637D1" w:rsidRPr="00ED1690" w:rsidRDefault="007637D1" w:rsidP="00ED1690">
      <w:pPr>
        <w:spacing w:line="360" w:lineRule="auto"/>
        <w:rPr>
          <w:rFonts w:ascii="Arial" w:eastAsia="Times New Roman" w:hAnsi="Arial" w:cs="Arial"/>
          <w:kern w:val="0"/>
          <w:sz w:val="24"/>
          <w:szCs w:val="24"/>
          <w:lang w:eastAsia="en-GB"/>
          <w14:ligatures w14:val="none"/>
        </w:rPr>
      </w:pPr>
      <w:r w:rsidRPr="00ED1690">
        <w:rPr>
          <w:rFonts w:ascii="Arial" w:hAnsi="Arial" w:cs="Arial"/>
        </w:rPr>
        <w:t xml:space="preserve">An additional method to consider here is differentiation. </w:t>
      </w:r>
      <w:r w:rsidR="00023B51" w:rsidRPr="00ED1690">
        <w:rPr>
          <w:rFonts w:ascii="Arial" w:hAnsi="Arial" w:cs="Arial"/>
        </w:rPr>
        <w:t xml:space="preserve">Many practitioners use differentiation in their </w:t>
      </w:r>
      <w:r w:rsidR="00BD59E1">
        <w:rPr>
          <w:rFonts w:ascii="Arial" w:hAnsi="Arial" w:cs="Arial"/>
        </w:rPr>
        <w:t>classrooms</w:t>
      </w:r>
      <w:r w:rsidR="00023B51" w:rsidRPr="00ED1690">
        <w:rPr>
          <w:rFonts w:ascii="Arial" w:hAnsi="Arial" w:cs="Arial"/>
        </w:rPr>
        <w:t xml:space="preserve"> </w:t>
      </w:r>
      <w:r w:rsidR="00B76A7C" w:rsidRPr="00ED1690">
        <w:rPr>
          <w:rFonts w:ascii="Arial" w:hAnsi="Arial" w:cs="Arial"/>
        </w:rPr>
        <w:t>to varying degrees of extent depending on the abilities of learners within their classroom</w:t>
      </w:r>
      <w:r w:rsidR="00F07C9E" w:rsidRPr="00ED1690">
        <w:rPr>
          <w:rFonts w:ascii="Arial" w:hAnsi="Arial" w:cs="Arial"/>
        </w:rPr>
        <w:t xml:space="preserve"> (</w:t>
      </w:r>
      <w:r w:rsidR="003D1F43" w:rsidRPr="00ED1690">
        <w:rPr>
          <w:rFonts w:ascii="Arial" w:hAnsi="Arial" w:cs="Arial"/>
        </w:rPr>
        <w:t>Deunk et al., 2018</w:t>
      </w:r>
      <w:r w:rsidR="00F07C9E" w:rsidRPr="00ED1690">
        <w:rPr>
          <w:rFonts w:ascii="Arial" w:hAnsi="Arial" w:cs="Arial"/>
        </w:rPr>
        <w:t>)</w:t>
      </w:r>
      <w:r w:rsidR="00B76A7C" w:rsidRPr="00ED1690">
        <w:rPr>
          <w:rFonts w:ascii="Arial" w:hAnsi="Arial" w:cs="Arial"/>
        </w:rPr>
        <w:t xml:space="preserve">. </w:t>
      </w:r>
      <w:r w:rsidR="00F07C9E" w:rsidRPr="00ED1690">
        <w:rPr>
          <w:rFonts w:ascii="Arial" w:hAnsi="Arial" w:cs="Arial"/>
        </w:rPr>
        <w:t xml:space="preserve">This partly </w:t>
      </w:r>
      <w:r w:rsidR="00702821" w:rsidRPr="00ED1690">
        <w:rPr>
          <w:rFonts w:ascii="Arial" w:hAnsi="Arial" w:cs="Arial"/>
        </w:rPr>
        <w:t>suits</w:t>
      </w:r>
      <w:r w:rsidR="00F07C9E" w:rsidRPr="00ED1690">
        <w:rPr>
          <w:rFonts w:ascii="Arial" w:hAnsi="Arial" w:cs="Arial"/>
        </w:rPr>
        <w:t xml:space="preserve"> the </w:t>
      </w:r>
      <w:r w:rsidR="00702821" w:rsidRPr="00ED1690">
        <w:rPr>
          <w:rFonts w:ascii="Arial" w:hAnsi="Arial" w:cs="Arial"/>
        </w:rPr>
        <w:t>curricul</w:t>
      </w:r>
      <w:r w:rsidR="00624C6A">
        <w:rPr>
          <w:rFonts w:ascii="Arial" w:hAnsi="Arial" w:cs="Arial"/>
        </w:rPr>
        <w:t>ar</w:t>
      </w:r>
      <w:r w:rsidR="00702821" w:rsidRPr="00ED1690">
        <w:rPr>
          <w:rFonts w:ascii="Arial" w:hAnsi="Arial" w:cs="Arial"/>
        </w:rPr>
        <w:t xml:space="preserve"> aim to support learners based on the progression step they are working at rather than their age (Welsh Government, 2020).</w:t>
      </w:r>
      <w:r w:rsidR="00164305" w:rsidRPr="00ED1690">
        <w:rPr>
          <w:rFonts w:ascii="Arial" w:hAnsi="Arial" w:cs="Arial"/>
        </w:rPr>
        <w:t xml:space="preserve"> Furthermore, differentiation can allow practitioners to adapt to the needs of the learner</w:t>
      </w:r>
      <w:r w:rsidR="00D602C2" w:rsidRPr="00ED1690">
        <w:rPr>
          <w:rFonts w:ascii="Arial" w:hAnsi="Arial" w:cs="Arial"/>
        </w:rPr>
        <w:t xml:space="preserve">. </w:t>
      </w:r>
      <w:r w:rsidR="00624FC7" w:rsidRPr="00ED1690">
        <w:rPr>
          <w:rFonts w:ascii="Arial" w:hAnsi="Arial" w:cs="Arial"/>
        </w:rPr>
        <w:t>However, aspects</w:t>
      </w:r>
      <w:r w:rsidR="00D602C2" w:rsidRPr="00ED1690">
        <w:rPr>
          <w:rFonts w:ascii="Arial" w:hAnsi="Arial" w:cs="Arial"/>
        </w:rPr>
        <w:t xml:space="preserve"> of differentiation </w:t>
      </w:r>
      <w:r w:rsidR="00CE77DE" w:rsidRPr="00ED1690">
        <w:rPr>
          <w:rFonts w:ascii="Arial" w:hAnsi="Arial" w:cs="Arial"/>
        </w:rPr>
        <w:t>have</w:t>
      </w:r>
      <w:r w:rsidR="00D602C2" w:rsidRPr="00ED1690">
        <w:rPr>
          <w:rFonts w:ascii="Arial" w:hAnsi="Arial" w:cs="Arial"/>
        </w:rPr>
        <w:t xml:space="preserve"> faced some criticism</w:t>
      </w:r>
      <w:r w:rsidR="00CE77DE" w:rsidRPr="00ED1690">
        <w:rPr>
          <w:rFonts w:ascii="Arial" w:hAnsi="Arial" w:cs="Arial"/>
        </w:rPr>
        <w:t xml:space="preserve">. By placing learners in near permanent groups of ability </w:t>
      </w:r>
      <w:r w:rsidR="001B6D75" w:rsidRPr="00ED1690">
        <w:rPr>
          <w:rFonts w:ascii="Arial" w:hAnsi="Arial" w:cs="Arial"/>
        </w:rPr>
        <w:t>c</w:t>
      </w:r>
      <w:r w:rsidR="007646CD">
        <w:rPr>
          <w:rFonts w:ascii="Arial" w:hAnsi="Arial" w:cs="Arial"/>
        </w:rPr>
        <w:t>ould</w:t>
      </w:r>
      <w:r w:rsidR="001B6D75" w:rsidRPr="00ED1690">
        <w:rPr>
          <w:rFonts w:ascii="Arial" w:hAnsi="Arial" w:cs="Arial"/>
        </w:rPr>
        <w:t xml:space="preserve"> limit the types of approaches used thus increasing the attainment gap </w:t>
      </w:r>
      <w:r w:rsidR="005F7FD3" w:rsidRPr="00ED1690">
        <w:rPr>
          <w:rFonts w:ascii="Arial" w:hAnsi="Arial" w:cs="Arial"/>
        </w:rPr>
        <w:t xml:space="preserve">(Eikeland and Ohna, 2022). </w:t>
      </w:r>
      <w:r w:rsidR="00624FC7" w:rsidRPr="00ED1690">
        <w:rPr>
          <w:rFonts w:ascii="Arial" w:hAnsi="Arial" w:cs="Arial"/>
        </w:rPr>
        <w:t xml:space="preserve">Moreover, according to Schofield (2010) </w:t>
      </w:r>
      <w:r w:rsidR="00AC5970" w:rsidRPr="00ED1690">
        <w:rPr>
          <w:rFonts w:ascii="Arial" w:hAnsi="Arial" w:cs="Arial"/>
        </w:rPr>
        <w:t>offering different opportunities based on a differentiated scale may undermine the confiden</w:t>
      </w:r>
      <w:r w:rsidR="00B94329" w:rsidRPr="00ED1690">
        <w:rPr>
          <w:rFonts w:ascii="Arial" w:hAnsi="Arial" w:cs="Arial"/>
        </w:rPr>
        <w:t>ce</w:t>
      </w:r>
      <w:r w:rsidR="00AC5970" w:rsidRPr="00ED1690">
        <w:rPr>
          <w:rFonts w:ascii="Arial" w:hAnsi="Arial" w:cs="Arial"/>
        </w:rPr>
        <w:t xml:space="preserve"> and achievements of </w:t>
      </w:r>
      <w:r w:rsidR="00D31DA8" w:rsidRPr="00ED1690">
        <w:rPr>
          <w:rFonts w:ascii="Arial" w:hAnsi="Arial" w:cs="Arial"/>
        </w:rPr>
        <w:t xml:space="preserve">learners in a </w:t>
      </w:r>
      <w:r w:rsidR="00B94329" w:rsidRPr="00ED1690">
        <w:rPr>
          <w:rFonts w:ascii="Arial" w:hAnsi="Arial" w:cs="Arial"/>
        </w:rPr>
        <w:t>lower-ability</w:t>
      </w:r>
      <w:r w:rsidR="00D31DA8" w:rsidRPr="00ED1690">
        <w:rPr>
          <w:rFonts w:ascii="Arial" w:hAnsi="Arial" w:cs="Arial"/>
        </w:rPr>
        <w:t xml:space="preserve"> group, </w:t>
      </w:r>
      <w:r w:rsidR="00B94329" w:rsidRPr="00ED1690">
        <w:rPr>
          <w:rFonts w:ascii="Arial" w:hAnsi="Arial" w:cs="Arial"/>
        </w:rPr>
        <w:t>promoting</w:t>
      </w:r>
      <w:r w:rsidR="00D31DA8" w:rsidRPr="00ED1690">
        <w:rPr>
          <w:rFonts w:ascii="Arial" w:hAnsi="Arial" w:cs="Arial"/>
        </w:rPr>
        <w:t xml:space="preserve"> an eventual disengagement </w:t>
      </w:r>
      <w:r w:rsidR="00B94329" w:rsidRPr="00ED1690">
        <w:rPr>
          <w:rFonts w:ascii="Arial" w:hAnsi="Arial" w:cs="Arial"/>
        </w:rPr>
        <w:t>from school expectations.</w:t>
      </w:r>
      <w:r w:rsidR="00224E60" w:rsidRPr="00ED1690">
        <w:rPr>
          <w:rFonts w:ascii="Arial" w:hAnsi="Arial" w:cs="Arial"/>
        </w:rPr>
        <w:t xml:space="preserve"> Nevertheless, differentiation when used </w:t>
      </w:r>
      <w:r w:rsidR="00AA4775" w:rsidRPr="00ED1690">
        <w:rPr>
          <w:rFonts w:ascii="Arial" w:hAnsi="Arial" w:cs="Arial"/>
        </w:rPr>
        <w:t xml:space="preserve">as </w:t>
      </w:r>
      <w:r w:rsidR="00224E60" w:rsidRPr="00ED1690">
        <w:rPr>
          <w:rFonts w:ascii="Arial" w:hAnsi="Arial" w:cs="Arial"/>
        </w:rPr>
        <w:t>an adaptive tool is often considered necessary by practitioners</w:t>
      </w:r>
      <w:r w:rsidR="00D3424B" w:rsidRPr="00ED1690">
        <w:rPr>
          <w:rFonts w:ascii="Arial" w:hAnsi="Arial" w:cs="Arial"/>
        </w:rPr>
        <w:t xml:space="preserve"> to </w:t>
      </w:r>
      <w:r w:rsidR="00AA4775" w:rsidRPr="00ED1690">
        <w:rPr>
          <w:rFonts w:ascii="Arial" w:hAnsi="Arial" w:cs="Arial"/>
        </w:rPr>
        <w:t>appropriately</w:t>
      </w:r>
      <w:r w:rsidR="00D3424B" w:rsidRPr="00ED1690">
        <w:rPr>
          <w:rFonts w:ascii="Arial" w:hAnsi="Arial" w:cs="Arial"/>
        </w:rPr>
        <w:t xml:space="preserve"> meet the diverse needs of a class</w:t>
      </w:r>
      <w:r w:rsidR="00AA4775" w:rsidRPr="00ED1690">
        <w:rPr>
          <w:rFonts w:ascii="Arial" w:hAnsi="Arial" w:cs="Arial"/>
        </w:rPr>
        <w:t xml:space="preserve"> gap (Eikeland and Ohna, 2022). </w:t>
      </w:r>
      <w:r w:rsidR="00B77253" w:rsidRPr="00ED1690">
        <w:rPr>
          <w:rFonts w:ascii="Arial" w:hAnsi="Arial" w:cs="Arial"/>
        </w:rPr>
        <w:t xml:space="preserve">Here differentiation would be presented as a change of task and content for learners rather than </w:t>
      </w:r>
      <w:r w:rsidR="00BA240C" w:rsidRPr="00ED1690">
        <w:rPr>
          <w:rFonts w:ascii="Arial" w:hAnsi="Arial" w:cs="Arial"/>
        </w:rPr>
        <w:t>a segregation of ability groups. Furthermore, by using differentiation</w:t>
      </w:r>
      <w:r w:rsidR="00037442" w:rsidRPr="00ED1690">
        <w:rPr>
          <w:rFonts w:ascii="Arial" w:hAnsi="Arial" w:cs="Arial"/>
        </w:rPr>
        <w:t xml:space="preserve">, it could be considered as the opposite </w:t>
      </w:r>
      <w:r w:rsidR="007B2C31" w:rsidRPr="00ED1690">
        <w:rPr>
          <w:rFonts w:ascii="Arial" w:hAnsi="Arial" w:cs="Arial"/>
        </w:rPr>
        <w:t xml:space="preserve">of the aforementioned </w:t>
      </w:r>
      <w:r w:rsidR="00C46704" w:rsidRPr="00ED1690">
        <w:rPr>
          <w:rFonts w:ascii="Arial" w:hAnsi="Arial" w:cs="Arial"/>
        </w:rPr>
        <w:t>mixed-ability</w:t>
      </w:r>
      <w:r w:rsidR="007B2C31" w:rsidRPr="00ED1690">
        <w:rPr>
          <w:rFonts w:ascii="Arial" w:hAnsi="Arial" w:cs="Arial"/>
        </w:rPr>
        <w:t xml:space="preserve"> approach </w:t>
      </w:r>
      <w:r w:rsidR="0063754E" w:rsidRPr="00ED1690">
        <w:rPr>
          <w:rFonts w:ascii="Arial" w:hAnsi="Arial" w:cs="Arial"/>
        </w:rPr>
        <w:t>(Deunk et al., 2018</w:t>
      </w:r>
      <w:r w:rsidR="007B2C31" w:rsidRPr="00ED1690">
        <w:rPr>
          <w:rFonts w:ascii="Arial" w:hAnsi="Arial" w:cs="Arial"/>
        </w:rPr>
        <w:t xml:space="preserve">). Additionally, </w:t>
      </w:r>
      <w:r w:rsidR="006D2BB5" w:rsidRPr="00ED1690">
        <w:rPr>
          <w:rFonts w:ascii="Arial" w:hAnsi="Arial" w:cs="Arial"/>
        </w:rPr>
        <w:t>the issues presented by whole class differentiation might be somewhat counteracted by</w:t>
      </w:r>
      <w:r w:rsidR="002A4BFD" w:rsidRPr="00ED1690">
        <w:rPr>
          <w:rFonts w:ascii="Arial" w:hAnsi="Arial" w:cs="Arial"/>
        </w:rPr>
        <w:t xml:space="preserve"> giving learners the choice over </w:t>
      </w:r>
      <w:r w:rsidR="00FE0D0F" w:rsidRPr="00ED1690">
        <w:rPr>
          <w:rFonts w:ascii="Arial" w:hAnsi="Arial" w:cs="Arial"/>
        </w:rPr>
        <w:t xml:space="preserve">the level of the task they would complete. The possibility of </w:t>
      </w:r>
      <w:r w:rsidR="00E867A8" w:rsidRPr="00ED1690">
        <w:rPr>
          <w:rFonts w:ascii="Arial" w:hAnsi="Arial" w:cs="Arial"/>
        </w:rPr>
        <w:t>undermining</w:t>
      </w:r>
      <w:r w:rsidR="00FE0D0F" w:rsidRPr="00ED1690">
        <w:rPr>
          <w:rFonts w:ascii="Arial" w:hAnsi="Arial" w:cs="Arial"/>
        </w:rPr>
        <w:t xml:space="preserve"> </w:t>
      </w:r>
      <w:r w:rsidR="0006639C" w:rsidRPr="00ED1690">
        <w:rPr>
          <w:rFonts w:ascii="Arial" w:hAnsi="Arial" w:cs="Arial"/>
        </w:rPr>
        <w:t>the confidence and achievement of</w:t>
      </w:r>
      <w:r w:rsidR="00E867A8" w:rsidRPr="00ED1690">
        <w:rPr>
          <w:rFonts w:ascii="Arial" w:hAnsi="Arial" w:cs="Arial"/>
        </w:rPr>
        <w:t xml:space="preserve"> learners</w:t>
      </w:r>
      <w:r w:rsidR="0006639C" w:rsidRPr="00ED1690">
        <w:rPr>
          <w:rFonts w:ascii="Arial" w:hAnsi="Arial" w:cs="Arial"/>
        </w:rPr>
        <w:t xml:space="preserve"> would dissipate by giving learners a choice </w:t>
      </w:r>
      <w:r w:rsidR="00E867A8" w:rsidRPr="00ED1690">
        <w:rPr>
          <w:rFonts w:ascii="Arial" w:hAnsi="Arial" w:cs="Arial"/>
        </w:rPr>
        <w:t>(</w:t>
      </w:r>
      <w:r w:rsidR="00FB479D" w:rsidRPr="00ED1690">
        <w:rPr>
          <w:rFonts w:ascii="Arial" w:hAnsi="Arial" w:cs="Arial"/>
        </w:rPr>
        <w:t>Estyn, 2016</w:t>
      </w:r>
      <w:r w:rsidR="00E867A8" w:rsidRPr="00ED1690">
        <w:rPr>
          <w:rFonts w:ascii="Arial" w:hAnsi="Arial" w:cs="Arial"/>
        </w:rPr>
        <w:t xml:space="preserve">). </w:t>
      </w:r>
      <w:r w:rsidR="0043200C" w:rsidRPr="00ED1690">
        <w:rPr>
          <w:rFonts w:ascii="Arial" w:hAnsi="Arial" w:cs="Arial"/>
        </w:rPr>
        <w:t xml:space="preserve">However, constantly giving learners the choice may also risk </w:t>
      </w:r>
      <w:r w:rsidR="00100CB9" w:rsidRPr="00ED1690">
        <w:rPr>
          <w:rFonts w:ascii="Arial" w:hAnsi="Arial" w:cs="Arial"/>
        </w:rPr>
        <w:t xml:space="preserve">them under or </w:t>
      </w:r>
      <w:r w:rsidR="008011C4" w:rsidRPr="00ED1690">
        <w:rPr>
          <w:rFonts w:ascii="Arial" w:hAnsi="Arial" w:cs="Arial"/>
        </w:rPr>
        <w:t>over-challenging</w:t>
      </w:r>
      <w:r w:rsidR="00100CB9" w:rsidRPr="00ED1690">
        <w:rPr>
          <w:rFonts w:ascii="Arial" w:hAnsi="Arial" w:cs="Arial"/>
        </w:rPr>
        <w:t xml:space="preserve"> themselves. This could be detrimental to </w:t>
      </w:r>
      <w:r w:rsidR="007E5B06" w:rsidRPr="00ED1690">
        <w:rPr>
          <w:rFonts w:ascii="Arial" w:hAnsi="Arial" w:cs="Arial"/>
        </w:rPr>
        <w:t xml:space="preserve">the </w:t>
      </w:r>
      <w:r w:rsidR="008011C4" w:rsidRPr="00ED1690">
        <w:rPr>
          <w:rFonts w:ascii="Arial" w:hAnsi="Arial" w:cs="Arial"/>
        </w:rPr>
        <w:t>learner's</w:t>
      </w:r>
      <w:r w:rsidR="007E5B06" w:rsidRPr="00ED1690">
        <w:rPr>
          <w:rFonts w:ascii="Arial" w:hAnsi="Arial" w:cs="Arial"/>
        </w:rPr>
        <w:t xml:space="preserve"> overall progression</w:t>
      </w:r>
      <w:r w:rsidR="008011C4" w:rsidRPr="00ED1690">
        <w:rPr>
          <w:rFonts w:ascii="Arial" w:hAnsi="Arial" w:cs="Arial"/>
        </w:rPr>
        <w:t>,</w:t>
      </w:r>
      <w:r w:rsidR="007E5B06" w:rsidRPr="00ED1690">
        <w:rPr>
          <w:rFonts w:ascii="Arial" w:hAnsi="Arial" w:cs="Arial"/>
        </w:rPr>
        <w:t xml:space="preserve"> especially among the middle and </w:t>
      </w:r>
      <w:r w:rsidR="008011C4" w:rsidRPr="00ED1690">
        <w:rPr>
          <w:rFonts w:ascii="Arial" w:hAnsi="Arial" w:cs="Arial"/>
        </w:rPr>
        <w:t>higher-ability</w:t>
      </w:r>
      <w:r w:rsidR="007E5B06" w:rsidRPr="00ED1690">
        <w:rPr>
          <w:rFonts w:ascii="Arial" w:hAnsi="Arial" w:cs="Arial"/>
        </w:rPr>
        <w:t xml:space="preserve"> groups.</w:t>
      </w:r>
      <w:r w:rsidR="00001E2D" w:rsidRPr="00ED1690">
        <w:rPr>
          <w:rFonts w:ascii="Arial" w:hAnsi="Arial" w:cs="Arial"/>
        </w:rPr>
        <w:t xml:space="preserve"> For example, </w:t>
      </w:r>
      <w:r w:rsidR="008B4647" w:rsidRPr="00ED1690">
        <w:rPr>
          <w:rFonts w:ascii="Arial" w:hAnsi="Arial" w:cs="Arial"/>
        </w:rPr>
        <w:t xml:space="preserve">if a higher ability </w:t>
      </w:r>
      <w:r w:rsidR="008B4647" w:rsidRPr="00ED1690">
        <w:rPr>
          <w:rFonts w:ascii="Arial" w:hAnsi="Arial" w:cs="Arial"/>
        </w:rPr>
        <w:lastRenderedPageBreak/>
        <w:t xml:space="preserve">learner were to consistently </w:t>
      </w:r>
      <w:r w:rsidR="00A007C9" w:rsidRPr="00ED1690">
        <w:rPr>
          <w:rFonts w:ascii="Arial" w:hAnsi="Arial" w:cs="Arial"/>
        </w:rPr>
        <w:t xml:space="preserve">choose the easiest level of </w:t>
      </w:r>
      <w:r w:rsidR="008011C4" w:rsidRPr="00ED1690">
        <w:rPr>
          <w:rFonts w:ascii="Arial" w:hAnsi="Arial" w:cs="Arial"/>
        </w:rPr>
        <w:t>work,</w:t>
      </w:r>
      <w:r w:rsidR="00A007C9" w:rsidRPr="00ED1690">
        <w:rPr>
          <w:rFonts w:ascii="Arial" w:hAnsi="Arial" w:cs="Arial"/>
        </w:rPr>
        <w:t xml:space="preserve"> then they would not fulfil their full </w:t>
      </w:r>
      <w:r w:rsidR="008011C4" w:rsidRPr="00ED1690">
        <w:rPr>
          <w:rFonts w:ascii="Arial" w:hAnsi="Arial" w:cs="Arial"/>
        </w:rPr>
        <w:t>potential</w:t>
      </w:r>
      <w:r w:rsidR="00A007C9" w:rsidRPr="00ED1690">
        <w:rPr>
          <w:rFonts w:ascii="Arial" w:hAnsi="Arial" w:cs="Arial"/>
        </w:rPr>
        <w:t xml:space="preserve">. Whereas </w:t>
      </w:r>
      <w:r w:rsidR="001C2EF1" w:rsidRPr="00ED1690">
        <w:rPr>
          <w:rFonts w:ascii="Arial" w:hAnsi="Arial" w:cs="Arial"/>
        </w:rPr>
        <w:t xml:space="preserve">if this choice were intervened with by the </w:t>
      </w:r>
      <w:r w:rsidR="008011C4" w:rsidRPr="00ED1690">
        <w:rPr>
          <w:rFonts w:ascii="Arial" w:hAnsi="Arial" w:cs="Arial"/>
        </w:rPr>
        <w:t>practitioner,</w:t>
      </w:r>
      <w:r w:rsidR="001C2EF1" w:rsidRPr="00ED1690">
        <w:rPr>
          <w:rFonts w:ascii="Arial" w:hAnsi="Arial" w:cs="Arial"/>
        </w:rPr>
        <w:t xml:space="preserve"> then the learner would be </w:t>
      </w:r>
      <w:r w:rsidR="008011C4" w:rsidRPr="00ED1690">
        <w:rPr>
          <w:rFonts w:ascii="Arial" w:hAnsi="Arial" w:cs="Arial"/>
        </w:rPr>
        <w:t>more likely to push themselves to their highest achievements</w:t>
      </w:r>
      <w:r w:rsidR="009604D0" w:rsidRPr="00ED1690">
        <w:rPr>
          <w:rFonts w:ascii="Arial" w:hAnsi="Arial" w:cs="Arial"/>
        </w:rPr>
        <w:t xml:space="preserve"> </w:t>
      </w:r>
      <w:r w:rsidR="009604D0" w:rsidRPr="00876118">
        <w:rPr>
          <w:rFonts w:ascii="Arial" w:eastAsia="Times New Roman" w:hAnsi="Arial" w:cs="Arial"/>
          <w:kern w:val="0"/>
          <w:lang w:eastAsia="en-GB"/>
          <w14:ligatures w14:val="none"/>
        </w:rPr>
        <w:t>(Beymer and Thomson, 2015)</w:t>
      </w:r>
      <w:r w:rsidR="008011C4" w:rsidRPr="00876118">
        <w:rPr>
          <w:rFonts w:ascii="Arial" w:hAnsi="Arial" w:cs="Arial"/>
        </w:rPr>
        <w:t xml:space="preserve">. </w:t>
      </w:r>
    </w:p>
    <w:p w14:paraId="0980F7A3" w14:textId="77777777" w:rsidR="00764D72" w:rsidRPr="00ED1690" w:rsidRDefault="00764D72" w:rsidP="00ED1690">
      <w:pPr>
        <w:spacing w:line="360" w:lineRule="auto"/>
        <w:rPr>
          <w:rFonts w:ascii="Arial" w:hAnsi="Arial" w:cs="Arial"/>
        </w:rPr>
      </w:pPr>
      <w:r w:rsidRPr="00ED1690">
        <w:rPr>
          <w:rFonts w:ascii="Arial" w:hAnsi="Arial" w:cs="Arial"/>
        </w:rPr>
        <w:t xml:space="preserve">Cross-curricular learning is arguably essential for learners to develop interchangeable lifelong skills across areas such as literacy, numeracy and digital competency in addition to across the areas of learning and experience (AoLEs) (Welsh Government, 2020). Therefore, its implementation into planning and pedagogy is significant and should be explored in greater depth. Howard Gardener’s theory of multiple intelligences suggests that people possess eight different types of intelligence which are visual, linguistic, interpersonal, intrapersonal, logical mathematical, musical, bodily kinaesthetic and naturalistic (Davis et al, 2011, p.488). From a psychological perspective, Gardener’s theory has received some criticism that the eight intelligences are limited and could be considered as personality traits rather than intelligence (Phillips, 2014, pp. 555-557). However, it nevertheless relates to the educational necessity to cater for a diverse range of needs and abilities. Using a blend of different approaches could be a method of achieving this. For example, methods such as personalised learning. Personalised learning focuses on learners as individuals that all have their own unique learning journey. This is rooted in elements of constructivist theory such as Vygotsky’s zone of proximal development (ZPD), which highlights the individual rates of progression for each learner by demonstrating what learners can accomplish alone in comparison to what they can accomplish with scaffolding and a more knowledgeable other (MKO) (Pound and Hughes, 2017, pp. 21-40). Furthermore, Dewey’s theory involving learning and experience suggested that an individual method of teaching should allow more opportunities to base learning on interests (Pound and Hughes, 2017, pp. 21-40). Although, practitioners should act as facilitators of learning rather than using direct instruction the majority of the time (Tenon and Elper-Brooks, 2021, pp. 3-7). However, there can be challenges to the widespread implementation of personalised learning. According to Gross and DeArmond (2018) personalised learning targets are often set by senior leadership but are not fully realised by practitioners. For example, pupil voice could be viewed as an approach to personalised learning because of the variety of choices it can offer to learners. However, pupil voice alone would not be enough to achieve the aforementioned cross-curricular skills set out in the Welsh Curriculum (Welsh Government, 2020) and (Gross and DeArmond, 2018). </w:t>
      </w:r>
    </w:p>
    <w:p w14:paraId="5CC5D311" w14:textId="77777777" w:rsidR="00AB47E5" w:rsidRPr="00ED1690" w:rsidRDefault="00AB47E5" w:rsidP="00ED1690">
      <w:pPr>
        <w:spacing w:line="360" w:lineRule="auto"/>
        <w:rPr>
          <w:rFonts w:ascii="Arial" w:hAnsi="Arial" w:cs="Arial"/>
        </w:rPr>
      </w:pPr>
    </w:p>
    <w:p w14:paraId="0A58FED4" w14:textId="02695D9B" w:rsidR="00AB47E5" w:rsidRPr="00ED1690" w:rsidRDefault="009845BD" w:rsidP="00ED1690">
      <w:pPr>
        <w:spacing w:line="360" w:lineRule="auto"/>
        <w:rPr>
          <w:rFonts w:ascii="Arial" w:hAnsi="Arial" w:cs="Arial"/>
        </w:rPr>
      </w:pPr>
      <w:r w:rsidRPr="00ED1690">
        <w:rPr>
          <w:rFonts w:ascii="Arial" w:hAnsi="Arial" w:cs="Arial"/>
        </w:rPr>
        <w:lastRenderedPageBreak/>
        <w:t xml:space="preserve">It can be argued that </w:t>
      </w:r>
      <w:r w:rsidR="000B5857" w:rsidRPr="00ED1690">
        <w:rPr>
          <w:rFonts w:ascii="Arial" w:hAnsi="Arial" w:cs="Arial"/>
        </w:rPr>
        <w:t xml:space="preserve">using cross-curricular themes will motivate and have more meaningful learning experiences </w:t>
      </w:r>
      <w:r w:rsidR="002E22D2" w:rsidRPr="00ED1690">
        <w:rPr>
          <w:rFonts w:ascii="Arial" w:hAnsi="Arial" w:cs="Arial"/>
        </w:rPr>
        <w:t xml:space="preserve">than a curriculum devoted to single </w:t>
      </w:r>
      <w:r w:rsidR="00862923" w:rsidRPr="00ED1690">
        <w:rPr>
          <w:rFonts w:ascii="Arial" w:hAnsi="Arial" w:cs="Arial"/>
        </w:rPr>
        <w:t>subject</w:t>
      </w:r>
      <w:r w:rsidR="002E22D2" w:rsidRPr="00ED1690">
        <w:rPr>
          <w:rFonts w:ascii="Arial" w:hAnsi="Arial" w:cs="Arial"/>
        </w:rPr>
        <w:t xml:space="preserve"> teaching (Barnes, 2015</w:t>
      </w:r>
      <w:r w:rsidR="00CB7D6C" w:rsidRPr="00ED1690">
        <w:rPr>
          <w:rFonts w:ascii="Arial" w:hAnsi="Arial" w:cs="Arial"/>
        </w:rPr>
        <w:t xml:space="preserve">, pp. 264-274). There are several forms of cross-curricular </w:t>
      </w:r>
      <w:r w:rsidR="00FF1641" w:rsidRPr="00ED1690">
        <w:rPr>
          <w:rFonts w:ascii="Arial" w:hAnsi="Arial" w:cs="Arial"/>
        </w:rPr>
        <w:t xml:space="preserve">themes which include tokenistic, </w:t>
      </w:r>
      <w:r w:rsidR="00BF24A2" w:rsidRPr="00ED1690">
        <w:rPr>
          <w:rFonts w:ascii="Arial" w:hAnsi="Arial" w:cs="Arial"/>
        </w:rPr>
        <w:t xml:space="preserve">hierarchical, multidisciplinary, interdisciplinary and </w:t>
      </w:r>
      <w:r w:rsidR="00862923" w:rsidRPr="00ED1690">
        <w:rPr>
          <w:rFonts w:ascii="Arial" w:hAnsi="Arial" w:cs="Arial"/>
        </w:rPr>
        <w:t>opportunistic teaching and learning</w:t>
      </w:r>
      <w:r w:rsidR="00BF24A2" w:rsidRPr="00ED1690">
        <w:rPr>
          <w:rFonts w:ascii="Arial" w:hAnsi="Arial" w:cs="Arial"/>
        </w:rPr>
        <w:t xml:space="preserve">. </w:t>
      </w:r>
      <w:r w:rsidR="00862923" w:rsidRPr="00ED1690">
        <w:rPr>
          <w:rFonts w:ascii="Arial" w:hAnsi="Arial" w:cs="Arial"/>
        </w:rPr>
        <w:t>The most relevant to my own practi</w:t>
      </w:r>
      <w:r w:rsidR="000D4247" w:rsidRPr="00ED1690">
        <w:rPr>
          <w:rFonts w:ascii="Arial" w:hAnsi="Arial" w:cs="Arial"/>
        </w:rPr>
        <w:t xml:space="preserve">ce </w:t>
      </w:r>
      <w:r w:rsidR="00A47C34" w:rsidRPr="00ED1690">
        <w:rPr>
          <w:rFonts w:ascii="Arial" w:hAnsi="Arial" w:cs="Arial"/>
        </w:rPr>
        <w:t>are</w:t>
      </w:r>
      <w:r w:rsidR="000D4247" w:rsidRPr="00ED1690">
        <w:rPr>
          <w:rFonts w:ascii="Arial" w:hAnsi="Arial" w:cs="Arial"/>
        </w:rPr>
        <w:t xml:space="preserve"> hierarchical and opportunistic. Both </w:t>
      </w:r>
      <w:r w:rsidR="00AC5B18" w:rsidRPr="00ED1690">
        <w:rPr>
          <w:rFonts w:ascii="Arial" w:hAnsi="Arial" w:cs="Arial"/>
        </w:rPr>
        <w:t xml:space="preserve">approaches involve using more than one subject. However, </w:t>
      </w:r>
      <w:r w:rsidR="003D6265" w:rsidRPr="00ED1690">
        <w:rPr>
          <w:rFonts w:ascii="Arial" w:hAnsi="Arial" w:cs="Arial"/>
        </w:rPr>
        <w:t xml:space="preserve">a hierarchical approach </w:t>
      </w:r>
      <w:r w:rsidR="00DF1A17" w:rsidRPr="00ED1690">
        <w:rPr>
          <w:rFonts w:ascii="Arial" w:hAnsi="Arial" w:cs="Arial"/>
        </w:rPr>
        <w:t xml:space="preserve">will value one subject over another by teaching one as the dominant </w:t>
      </w:r>
      <w:r w:rsidR="004948A9" w:rsidRPr="00ED1690">
        <w:rPr>
          <w:rFonts w:ascii="Arial" w:hAnsi="Arial" w:cs="Arial"/>
        </w:rPr>
        <w:t>topic. Whereas a multidisciplinary approach will value all subjects as equal drivers of the lesson</w:t>
      </w:r>
      <w:r w:rsidR="00010F40" w:rsidRPr="00ED1690">
        <w:rPr>
          <w:rFonts w:ascii="Arial" w:hAnsi="Arial" w:cs="Arial"/>
        </w:rPr>
        <w:t xml:space="preserve"> (Lyngstad, 2017). </w:t>
      </w:r>
      <w:r w:rsidR="006965FB" w:rsidRPr="00ED1690">
        <w:rPr>
          <w:rFonts w:ascii="Arial" w:hAnsi="Arial" w:cs="Arial"/>
        </w:rPr>
        <w:t xml:space="preserve">Cross-curricular learning in an opportunistic sense involves a </w:t>
      </w:r>
      <w:r w:rsidR="00A47C34" w:rsidRPr="00ED1690">
        <w:rPr>
          <w:rFonts w:ascii="Arial" w:hAnsi="Arial" w:cs="Arial"/>
        </w:rPr>
        <w:t>practitioner</w:t>
      </w:r>
      <w:r w:rsidR="006965FB" w:rsidRPr="00ED1690">
        <w:rPr>
          <w:rFonts w:ascii="Arial" w:hAnsi="Arial" w:cs="Arial"/>
        </w:rPr>
        <w:t xml:space="preserve"> </w:t>
      </w:r>
      <w:r w:rsidR="00660100" w:rsidRPr="00ED1690">
        <w:rPr>
          <w:rFonts w:ascii="Arial" w:hAnsi="Arial" w:cs="Arial"/>
        </w:rPr>
        <w:t xml:space="preserve">responding to </w:t>
      </w:r>
      <w:r w:rsidR="00A47C34" w:rsidRPr="00ED1690">
        <w:rPr>
          <w:rFonts w:ascii="Arial" w:hAnsi="Arial" w:cs="Arial"/>
        </w:rPr>
        <w:t>learners'</w:t>
      </w:r>
      <w:r w:rsidR="00660100" w:rsidRPr="00ED1690">
        <w:rPr>
          <w:rFonts w:ascii="Arial" w:hAnsi="Arial" w:cs="Arial"/>
        </w:rPr>
        <w:t xml:space="preserve"> reactions to a shared experience such as an expedition, with little planning </w:t>
      </w:r>
      <w:r w:rsidR="009A456A" w:rsidRPr="00ED1690">
        <w:rPr>
          <w:rFonts w:ascii="Arial" w:hAnsi="Arial" w:cs="Arial"/>
        </w:rPr>
        <w:t>towards any particular area of discipline (Barnes, 2015, pp. 2</w:t>
      </w:r>
      <w:r w:rsidR="00A47C34" w:rsidRPr="00ED1690">
        <w:rPr>
          <w:rFonts w:ascii="Arial" w:hAnsi="Arial" w:cs="Arial"/>
        </w:rPr>
        <w:t xml:space="preserve">64-274). </w:t>
      </w:r>
      <w:r w:rsidR="008F1CE3" w:rsidRPr="00ED1690">
        <w:rPr>
          <w:rFonts w:ascii="Arial" w:hAnsi="Arial" w:cs="Arial"/>
        </w:rPr>
        <w:t>For example, o</w:t>
      </w:r>
      <w:r w:rsidR="00AB47E5" w:rsidRPr="00ED1690">
        <w:rPr>
          <w:rFonts w:ascii="Arial" w:hAnsi="Arial" w:cs="Arial"/>
        </w:rPr>
        <w:t xml:space="preserve">utdoor learning can be beneficial for holistic development in children. Learning outdoors could provide opportunities that cannot be found in a classroom because it immerses learners in the natural environment (Donison and Halsall, 2023). According to a study by Donison and Halsall (2023) practitioners have advocated the importance of having nature as a teacher. For example, using sounds to highlight the use of the five senses and observing nature connects to AoLEs such as science and technology </w:t>
      </w:r>
      <w:r w:rsidR="00291A79" w:rsidRPr="00ED1690">
        <w:rPr>
          <w:rFonts w:ascii="Arial" w:hAnsi="Arial" w:cs="Arial"/>
        </w:rPr>
        <w:t>(Welsh Government, 2022b). Outdoor learning can also link to other AoLEs such as Health and Well-being in mindfulness activities such as cloud watching and breathing techniques (Donision and Halsall, 2023)</w:t>
      </w:r>
      <w:r w:rsidR="00CE5C74" w:rsidRPr="00ED1690">
        <w:rPr>
          <w:rFonts w:ascii="Arial" w:hAnsi="Arial" w:cs="Arial"/>
        </w:rPr>
        <w:t xml:space="preserve">. Moreover, by linking to </w:t>
      </w:r>
      <w:r w:rsidR="00683036" w:rsidRPr="00ED1690">
        <w:rPr>
          <w:rFonts w:ascii="Arial" w:hAnsi="Arial" w:cs="Arial"/>
        </w:rPr>
        <w:t xml:space="preserve">more than one </w:t>
      </w:r>
      <w:r w:rsidR="00CE5C74" w:rsidRPr="00ED1690">
        <w:rPr>
          <w:rFonts w:ascii="Arial" w:hAnsi="Arial" w:cs="Arial"/>
        </w:rPr>
        <w:t>AoLEs</w:t>
      </w:r>
      <w:r w:rsidR="00683036" w:rsidRPr="00ED1690">
        <w:rPr>
          <w:rFonts w:ascii="Arial" w:hAnsi="Arial" w:cs="Arial"/>
        </w:rPr>
        <w:t xml:space="preserve"> simultaneously</w:t>
      </w:r>
      <w:r w:rsidR="00AB4012" w:rsidRPr="00ED1690">
        <w:rPr>
          <w:rFonts w:ascii="Arial" w:hAnsi="Arial" w:cs="Arial"/>
        </w:rPr>
        <w:t xml:space="preserve">, perhaps outdoor learning is an example of a practical strategy </w:t>
      </w:r>
      <w:r w:rsidR="00F91B8A" w:rsidRPr="00ED1690">
        <w:rPr>
          <w:rFonts w:ascii="Arial" w:hAnsi="Arial" w:cs="Arial"/>
        </w:rPr>
        <w:t>for</w:t>
      </w:r>
      <w:r w:rsidR="00AB4012" w:rsidRPr="00ED1690">
        <w:rPr>
          <w:rFonts w:ascii="Arial" w:hAnsi="Arial" w:cs="Arial"/>
        </w:rPr>
        <w:t xml:space="preserve"> incorporating cross-curricular themes</w:t>
      </w:r>
      <w:r w:rsidR="00291A79" w:rsidRPr="00ED1690">
        <w:rPr>
          <w:rFonts w:ascii="Arial" w:hAnsi="Arial" w:cs="Arial"/>
        </w:rPr>
        <w:t xml:space="preserve"> (Welsh Government, 2022a). In practice, this could be observed in projects such as Forest Schools, which are often based on weekly sessions of child-led learning in a natural woodland environment (Harris, 2023).</w:t>
      </w:r>
    </w:p>
    <w:p w14:paraId="42D22E58" w14:textId="61A91ACB" w:rsidR="00E27C8E" w:rsidRPr="00ED1690" w:rsidRDefault="00E27C8E" w:rsidP="00ED1690">
      <w:pPr>
        <w:spacing w:line="360" w:lineRule="auto"/>
        <w:rPr>
          <w:rFonts w:ascii="Arial" w:hAnsi="Arial" w:cs="Arial"/>
          <w:b/>
          <w:bCs/>
          <w:sz w:val="28"/>
          <w:szCs w:val="28"/>
        </w:rPr>
      </w:pPr>
      <w:r w:rsidRPr="00ED1690">
        <w:rPr>
          <w:rFonts w:ascii="Arial" w:hAnsi="Arial" w:cs="Arial"/>
          <w:b/>
          <w:bCs/>
          <w:sz w:val="28"/>
          <w:szCs w:val="28"/>
        </w:rPr>
        <w:t>Conclusion</w:t>
      </w:r>
    </w:p>
    <w:p w14:paraId="4801E69C" w14:textId="08F6CB28" w:rsidR="000C275C" w:rsidRPr="00ED1690" w:rsidRDefault="00A318BE" w:rsidP="00ED1690">
      <w:pPr>
        <w:spacing w:line="360" w:lineRule="auto"/>
        <w:rPr>
          <w:rFonts w:ascii="Arial" w:hAnsi="Arial" w:cs="Arial"/>
        </w:rPr>
      </w:pPr>
      <w:r w:rsidRPr="00ED1690">
        <w:rPr>
          <w:rFonts w:ascii="Arial" w:hAnsi="Arial" w:cs="Arial"/>
        </w:rPr>
        <w:t>Overall,</w:t>
      </w:r>
      <w:r w:rsidR="00782A6D" w:rsidRPr="00ED1690">
        <w:rPr>
          <w:rFonts w:ascii="Arial" w:hAnsi="Arial" w:cs="Arial"/>
        </w:rPr>
        <w:t xml:space="preserve"> there are many different approaches that a practitioner could use to achieve a broad repertoire and to engage with the </w:t>
      </w:r>
      <w:r w:rsidR="00F7408D" w:rsidRPr="00ED1690">
        <w:rPr>
          <w:rFonts w:ascii="Arial" w:hAnsi="Arial" w:cs="Arial"/>
        </w:rPr>
        <w:t>cross-curricular</w:t>
      </w:r>
      <w:r w:rsidR="00782A6D" w:rsidRPr="00ED1690">
        <w:rPr>
          <w:rFonts w:ascii="Arial" w:hAnsi="Arial" w:cs="Arial"/>
        </w:rPr>
        <w:t xml:space="preserve"> responsibilities of the curriculum (Welsh Government,</w:t>
      </w:r>
      <w:r w:rsidR="009C6986" w:rsidRPr="00ED1690">
        <w:rPr>
          <w:rFonts w:ascii="Arial" w:hAnsi="Arial" w:cs="Arial"/>
        </w:rPr>
        <w:t xml:space="preserve"> 2023). These approaches are often based on the pedagogy of a practitioner and </w:t>
      </w:r>
      <w:r w:rsidR="00F7408D" w:rsidRPr="00ED1690">
        <w:rPr>
          <w:rFonts w:ascii="Arial" w:hAnsi="Arial" w:cs="Arial"/>
        </w:rPr>
        <w:t xml:space="preserve">the </w:t>
      </w:r>
      <w:r w:rsidR="009C6986" w:rsidRPr="00ED1690">
        <w:rPr>
          <w:rFonts w:ascii="Arial" w:hAnsi="Arial" w:cs="Arial"/>
        </w:rPr>
        <w:t>ethos of a school (Friesen and Kenk</w:t>
      </w:r>
      <w:r w:rsidR="00FD0538" w:rsidRPr="00ED1690">
        <w:rPr>
          <w:rFonts w:ascii="Arial" w:hAnsi="Arial" w:cs="Arial"/>
        </w:rPr>
        <w:t>li</w:t>
      </w:r>
      <w:r w:rsidR="00FB5096" w:rsidRPr="00ED1690">
        <w:rPr>
          <w:rFonts w:ascii="Arial" w:hAnsi="Arial" w:cs="Arial"/>
        </w:rPr>
        <w:t>e</w:t>
      </w:r>
      <w:r w:rsidR="00FD0538" w:rsidRPr="00ED1690">
        <w:rPr>
          <w:rFonts w:ascii="Arial" w:hAnsi="Arial" w:cs="Arial"/>
        </w:rPr>
        <w:t>s). Furthermore, pedagogy will usually be made of constructivist, behaviourist and humanistic principles</w:t>
      </w:r>
      <w:r w:rsidR="00DE206D" w:rsidRPr="00ED1690">
        <w:rPr>
          <w:rFonts w:ascii="Arial" w:hAnsi="Arial" w:cs="Arial"/>
        </w:rPr>
        <w:t>. In practical terms</w:t>
      </w:r>
      <w:r w:rsidR="00F7408D" w:rsidRPr="00ED1690">
        <w:rPr>
          <w:rFonts w:ascii="Arial" w:hAnsi="Arial" w:cs="Arial"/>
        </w:rPr>
        <w:t>,</w:t>
      </w:r>
      <w:r w:rsidR="00DE206D" w:rsidRPr="00ED1690">
        <w:rPr>
          <w:rFonts w:ascii="Arial" w:hAnsi="Arial" w:cs="Arial"/>
        </w:rPr>
        <w:t xml:space="preserve"> this could be a practitioner's use of child</w:t>
      </w:r>
      <w:r w:rsidR="00F7408D" w:rsidRPr="00ED1690">
        <w:rPr>
          <w:rFonts w:ascii="Arial" w:hAnsi="Arial" w:cs="Arial"/>
        </w:rPr>
        <w:t>-led</w:t>
      </w:r>
      <w:r w:rsidR="00DE206D" w:rsidRPr="00ED1690">
        <w:rPr>
          <w:rFonts w:ascii="Arial" w:hAnsi="Arial" w:cs="Arial"/>
        </w:rPr>
        <w:t xml:space="preserve"> </w:t>
      </w:r>
      <w:r w:rsidR="00F7408D" w:rsidRPr="00ED1690">
        <w:rPr>
          <w:rFonts w:ascii="Arial" w:hAnsi="Arial" w:cs="Arial"/>
        </w:rPr>
        <w:t>and</w:t>
      </w:r>
      <w:r w:rsidR="00DE206D" w:rsidRPr="00ED1690">
        <w:rPr>
          <w:rFonts w:ascii="Arial" w:hAnsi="Arial" w:cs="Arial"/>
        </w:rPr>
        <w:t xml:space="preserve"> </w:t>
      </w:r>
      <w:r w:rsidR="0091535E" w:rsidRPr="00ED1690">
        <w:rPr>
          <w:rFonts w:ascii="Arial" w:hAnsi="Arial" w:cs="Arial"/>
        </w:rPr>
        <w:t>teacher-led</w:t>
      </w:r>
      <w:r w:rsidR="00DE206D" w:rsidRPr="00ED1690">
        <w:rPr>
          <w:rFonts w:ascii="Arial" w:hAnsi="Arial" w:cs="Arial"/>
        </w:rPr>
        <w:t xml:space="preserve"> practises (Ebo, 2018). </w:t>
      </w:r>
      <w:r w:rsidR="002B2FE0" w:rsidRPr="00ED1690">
        <w:rPr>
          <w:rFonts w:ascii="Arial" w:hAnsi="Arial" w:cs="Arial"/>
        </w:rPr>
        <w:t xml:space="preserve">In </w:t>
      </w:r>
      <w:r w:rsidR="00F7408D" w:rsidRPr="00ED1690">
        <w:rPr>
          <w:rFonts w:ascii="Arial" w:hAnsi="Arial" w:cs="Arial"/>
        </w:rPr>
        <w:t>regard</w:t>
      </w:r>
      <w:r w:rsidR="002B2FE0" w:rsidRPr="00ED1690">
        <w:rPr>
          <w:rFonts w:ascii="Arial" w:hAnsi="Arial" w:cs="Arial"/>
        </w:rPr>
        <w:t xml:space="preserve"> to the </w:t>
      </w:r>
      <w:r w:rsidR="000C275C" w:rsidRPr="00ED1690">
        <w:rPr>
          <w:rFonts w:ascii="Arial" w:hAnsi="Arial" w:cs="Arial"/>
        </w:rPr>
        <w:t>approaches,</w:t>
      </w:r>
      <w:r w:rsidR="002B2FE0" w:rsidRPr="00ED1690">
        <w:rPr>
          <w:rFonts w:ascii="Arial" w:hAnsi="Arial" w:cs="Arial"/>
        </w:rPr>
        <w:t xml:space="preserve"> I have used as a practitioner to achieve this, I have used group learning through discussion</w:t>
      </w:r>
      <w:r w:rsidR="00FB5096" w:rsidRPr="00ED1690">
        <w:rPr>
          <w:rFonts w:ascii="Arial" w:hAnsi="Arial" w:cs="Arial"/>
        </w:rPr>
        <w:t>,</w:t>
      </w:r>
      <w:r w:rsidR="002B2FE0" w:rsidRPr="00ED1690">
        <w:rPr>
          <w:rFonts w:ascii="Arial" w:hAnsi="Arial" w:cs="Arial"/>
        </w:rPr>
        <w:t xml:space="preserve"> </w:t>
      </w:r>
      <w:r w:rsidR="00F7408D" w:rsidRPr="00ED1690">
        <w:rPr>
          <w:rFonts w:ascii="Arial" w:hAnsi="Arial" w:cs="Arial"/>
        </w:rPr>
        <w:t>inquiry-based</w:t>
      </w:r>
      <w:r w:rsidR="002B2FE0" w:rsidRPr="00ED1690">
        <w:rPr>
          <w:rFonts w:ascii="Arial" w:hAnsi="Arial" w:cs="Arial"/>
        </w:rPr>
        <w:t xml:space="preserve"> learning,</w:t>
      </w:r>
      <w:r w:rsidR="00FB5096" w:rsidRPr="00ED1690">
        <w:rPr>
          <w:rFonts w:ascii="Arial" w:hAnsi="Arial" w:cs="Arial"/>
        </w:rPr>
        <w:t xml:space="preserve"> questioning, differentiation, scaffolding and direct instruction.</w:t>
      </w:r>
      <w:r w:rsidR="00475A72" w:rsidRPr="00ED1690">
        <w:rPr>
          <w:rFonts w:ascii="Arial" w:hAnsi="Arial" w:cs="Arial"/>
        </w:rPr>
        <w:t xml:space="preserve"> </w:t>
      </w:r>
    </w:p>
    <w:p w14:paraId="08111AC6" w14:textId="1EFAD59D" w:rsidR="00BC1104" w:rsidRPr="00ED1690" w:rsidRDefault="00475A72" w:rsidP="00ED1690">
      <w:pPr>
        <w:spacing w:line="360" w:lineRule="auto"/>
        <w:rPr>
          <w:rFonts w:ascii="Arial" w:hAnsi="Arial" w:cs="Arial"/>
        </w:rPr>
      </w:pPr>
      <w:r w:rsidRPr="00ED1690">
        <w:rPr>
          <w:rFonts w:ascii="Arial" w:hAnsi="Arial" w:cs="Arial"/>
        </w:rPr>
        <w:t xml:space="preserve">A practitioner should give a certain level of reflection on their </w:t>
      </w:r>
      <w:r w:rsidR="0091535E" w:rsidRPr="00ED1690">
        <w:rPr>
          <w:rFonts w:ascii="Arial" w:hAnsi="Arial" w:cs="Arial"/>
        </w:rPr>
        <w:t>practice</w:t>
      </w:r>
      <w:r w:rsidRPr="00ED1690">
        <w:rPr>
          <w:rFonts w:ascii="Arial" w:hAnsi="Arial" w:cs="Arial"/>
        </w:rPr>
        <w:t xml:space="preserve"> in order to continue</w:t>
      </w:r>
      <w:r w:rsidR="00A10298" w:rsidRPr="00ED1690">
        <w:rPr>
          <w:rFonts w:ascii="Arial" w:hAnsi="Arial" w:cs="Arial"/>
        </w:rPr>
        <w:t xml:space="preserve"> to</w:t>
      </w:r>
      <w:r w:rsidR="00FB3144" w:rsidRPr="00ED1690">
        <w:rPr>
          <w:rFonts w:ascii="Arial" w:hAnsi="Arial" w:cs="Arial"/>
        </w:rPr>
        <w:t xml:space="preserve"> provide the best quality of teaching (Welsh Government, 2023a). In accordance with the </w:t>
      </w:r>
      <w:r w:rsidR="00FB3144" w:rsidRPr="00ED1690">
        <w:rPr>
          <w:rFonts w:ascii="Arial" w:hAnsi="Arial" w:cs="Arial"/>
        </w:rPr>
        <w:lastRenderedPageBreak/>
        <w:t>professional standards for teaching and leadership</w:t>
      </w:r>
      <w:r w:rsidR="00A10298" w:rsidRPr="00ED1690">
        <w:rPr>
          <w:rFonts w:ascii="Arial" w:hAnsi="Arial" w:cs="Arial"/>
        </w:rPr>
        <w:t>,</w:t>
      </w:r>
      <w:r w:rsidR="004F17C4" w:rsidRPr="00ED1690">
        <w:rPr>
          <w:rFonts w:ascii="Arial" w:hAnsi="Arial" w:cs="Arial"/>
        </w:rPr>
        <w:t xml:space="preserve"> this reflective </w:t>
      </w:r>
      <w:r w:rsidR="0091535E" w:rsidRPr="00ED1690">
        <w:rPr>
          <w:rFonts w:ascii="Arial" w:hAnsi="Arial" w:cs="Arial"/>
        </w:rPr>
        <w:t>practice</w:t>
      </w:r>
      <w:r w:rsidR="004F17C4" w:rsidRPr="00ED1690">
        <w:rPr>
          <w:rFonts w:ascii="Arial" w:hAnsi="Arial" w:cs="Arial"/>
        </w:rPr>
        <w:t xml:space="preserve"> would be focused on blended learning experiences and </w:t>
      </w:r>
      <w:r w:rsidR="0091535E" w:rsidRPr="00ED1690">
        <w:rPr>
          <w:rFonts w:ascii="Arial" w:hAnsi="Arial" w:cs="Arial"/>
        </w:rPr>
        <w:t>cross-curricular</w:t>
      </w:r>
      <w:r w:rsidR="004F17C4" w:rsidRPr="00ED1690">
        <w:rPr>
          <w:rFonts w:ascii="Arial" w:hAnsi="Arial" w:cs="Arial"/>
        </w:rPr>
        <w:t xml:space="preserve"> themes (Welsh Government, 2019)</w:t>
      </w:r>
      <w:r w:rsidR="00964057" w:rsidRPr="00ED1690">
        <w:rPr>
          <w:rFonts w:ascii="Arial" w:hAnsi="Arial" w:cs="Arial"/>
        </w:rPr>
        <w:t xml:space="preserve">. According to these teaching standards, blended learning is the justification </w:t>
      </w:r>
      <w:r w:rsidR="0091535E" w:rsidRPr="00ED1690">
        <w:rPr>
          <w:rFonts w:ascii="Arial" w:hAnsi="Arial" w:cs="Arial"/>
        </w:rPr>
        <w:t>for</w:t>
      </w:r>
      <w:r w:rsidR="00964057" w:rsidRPr="00ED1690">
        <w:rPr>
          <w:rFonts w:ascii="Arial" w:hAnsi="Arial" w:cs="Arial"/>
        </w:rPr>
        <w:t xml:space="preserve"> using a range of creative approaches</w:t>
      </w:r>
      <w:r w:rsidR="0070278F" w:rsidRPr="00ED1690">
        <w:rPr>
          <w:rFonts w:ascii="Arial" w:hAnsi="Arial" w:cs="Arial"/>
        </w:rPr>
        <w:t xml:space="preserve"> (Welsh Government, 2019). This is best demonstrated in</w:t>
      </w:r>
      <w:r w:rsidR="00A75797" w:rsidRPr="00ED1690">
        <w:rPr>
          <w:rFonts w:ascii="Arial" w:hAnsi="Arial" w:cs="Arial"/>
        </w:rPr>
        <w:t xml:space="preserve"> template one from part one. This is based on </w:t>
      </w:r>
      <w:r w:rsidR="00D74548">
        <w:rPr>
          <w:rFonts w:ascii="Arial" w:hAnsi="Arial" w:cs="Arial"/>
        </w:rPr>
        <w:t>the</w:t>
      </w:r>
      <w:r w:rsidR="00A75797" w:rsidRPr="00ED1690">
        <w:rPr>
          <w:rFonts w:ascii="Arial" w:hAnsi="Arial" w:cs="Arial"/>
        </w:rPr>
        <w:t xml:space="preserve"> languages</w:t>
      </w:r>
      <w:r w:rsidR="0091535E" w:rsidRPr="00ED1690">
        <w:rPr>
          <w:rFonts w:ascii="Arial" w:hAnsi="Arial" w:cs="Arial"/>
        </w:rPr>
        <w:t>,</w:t>
      </w:r>
      <w:r w:rsidR="00A75797" w:rsidRPr="00ED1690">
        <w:rPr>
          <w:rFonts w:ascii="Arial" w:hAnsi="Arial" w:cs="Arial"/>
        </w:rPr>
        <w:t xml:space="preserve"> literacy and communication</w:t>
      </w:r>
      <w:r w:rsidR="0091535E" w:rsidRPr="00ED1690">
        <w:rPr>
          <w:rFonts w:ascii="Arial" w:hAnsi="Arial" w:cs="Arial"/>
        </w:rPr>
        <w:t xml:space="preserve"> AoLE and shows a mixture </w:t>
      </w:r>
      <w:r w:rsidR="00FF4983">
        <w:rPr>
          <w:rFonts w:ascii="Arial" w:hAnsi="Arial" w:cs="Arial"/>
        </w:rPr>
        <w:t>of</w:t>
      </w:r>
      <w:r w:rsidR="0091535E" w:rsidRPr="00ED1690">
        <w:rPr>
          <w:rFonts w:ascii="Arial" w:hAnsi="Arial" w:cs="Arial"/>
        </w:rPr>
        <w:t xml:space="preserve"> </w:t>
      </w:r>
      <w:r w:rsidR="00257D2B" w:rsidRPr="00ED1690">
        <w:rPr>
          <w:rFonts w:ascii="Arial" w:hAnsi="Arial" w:cs="Arial"/>
        </w:rPr>
        <w:t>teacher-led</w:t>
      </w:r>
      <w:r w:rsidR="0091535E" w:rsidRPr="00ED1690">
        <w:rPr>
          <w:rFonts w:ascii="Arial" w:hAnsi="Arial" w:cs="Arial"/>
        </w:rPr>
        <w:t xml:space="preserve"> and </w:t>
      </w:r>
      <w:r w:rsidR="00257D2B" w:rsidRPr="00ED1690">
        <w:rPr>
          <w:rFonts w:ascii="Arial" w:hAnsi="Arial" w:cs="Arial"/>
        </w:rPr>
        <w:t>child-led</w:t>
      </w:r>
      <w:r w:rsidR="0091535E" w:rsidRPr="00ED1690">
        <w:rPr>
          <w:rFonts w:ascii="Arial" w:hAnsi="Arial" w:cs="Arial"/>
        </w:rPr>
        <w:t xml:space="preserve"> approaches.</w:t>
      </w:r>
      <w:r w:rsidR="00A10298" w:rsidRPr="00ED1690">
        <w:rPr>
          <w:rFonts w:ascii="Arial" w:hAnsi="Arial" w:cs="Arial"/>
        </w:rPr>
        <w:t xml:space="preserve"> </w:t>
      </w:r>
      <w:r w:rsidR="00BC587A" w:rsidRPr="00ED1690">
        <w:rPr>
          <w:rFonts w:ascii="Arial" w:hAnsi="Arial" w:cs="Arial"/>
        </w:rPr>
        <w:t>For example, my questioning strategy was used to prompt learners in their own group discussions.</w:t>
      </w:r>
      <w:r w:rsidR="007D65A1" w:rsidRPr="00ED1690">
        <w:rPr>
          <w:rFonts w:ascii="Arial" w:hAnsi="Arial" w:cs="Arial"/>
        </w:rPr>
        <w:t xml:space="preserve"> However, I also gave direct instruction for the main task and gave differing levels of scaffolding for different abilities in the class. On reflection</w:t>
      </w:r>
      <w:r w:rsidR="00257D2B" w:rsidRPr="00ED1690">
        <w:rPr>
          <w:rFonts w:ascii="Arial" w:hAnsi="Arial" w:cs="Arial"/>
        </w:rPr>
        <w:t>,</w:t>
      </w:r>
      <w:r w:rsidR="000F53B9" w:rsidRPr="00ED1690">
        <w:rPr>
          <w:rFonts w:ascii="Arial" w:hAnsi="Arial" w:cs="Arial"/>
        </w:rPr>
        <w:t xml:space="preserve"> the scaffolding could have been used more effectively to encourage a deeper level of thinking from all abilities in the class. In a future teaching experience</w:t>
      </w:r>
      <w:r w:rsidR="001572AA" w:rsidRPr="00ED1690">
        <w:rPr>
          <w:rFonts w:ascii="Arial" w:hAnsi="Arial" w:cs="Arial"/>
        </w:rPr>
        <w:t xml:space="preserve">, I would allow more time for group learning and also experiment with using </w:t>
      </w:r>
      <w:r w:rsidR="00257D2B" w:rsidRPr="00ED1690">
        <w:rPr>
          <w:rFonts w:ascii="Arial" w:hAnsi="Arial" w:cs="Arial"/>
        </w:rPr>
        <w:t>mixed-ability</w:t>
      </w:r>
      <w:r w:rsidR="001572AA" w:rsidRPr="00ED1690">
        <w:rPr>
          <w:rFonts w:ascii="Arial" w:hAnsi="Arial" w:cs="Arial"/>
        </w:rPr>
        <w:t xml:space="preserve"> groups. By using mixed ability </w:t>
      </w:r>
      <w:r w:rsidR="005C0778" w:rsidRPr="00ED1690">
        <w:rPr>
          <w:rFonts w:ascii="Arial" w:hAnsi="Arial" w:cs="Arial"/>
        </w:rPr>
        <w:t>groups,</w:t>
      </w:r>
      <w:r w:rsidR="001572AA" w:rsidRPr="00ED1690">
        <w:rPr>
          <w:rFonts w:ascii="Arial" w:hAnsi="Arial" w:cs="Arial"/>
        </w:rPr>
        <w:t xml:space="preserve"> it may endeavour to close the attainment gap</w:t>
      </w:r>
      <w:r w:rsidR="00257D2B" w:rsidRPr="00ED1690">
        <w:rPr>
          <w:rFonts w:ascii="Arial" w:hAnsi="Arial" w:cs="Arial"/>
        </w:rPr>
        <w:t xml:space="preserve"> between ability groups</w:t>
      </w:r>
      <w:r w:rsidR="004574DB" w:rsidRPr="00ED1690">
        <w:rPr>
          <w:rFonts w:ascii="Arial" w:hAnsi="Arial" w:cs="Arial"/>
        </w:rPr>
        <w:t xml:space="preserve"> </w:t>
      </w:r>
      <w:r w:rsidR="00666E62" w:rsidRPr="00ED1690">
        <w:rPr>
          <w:rFonts w:ascii="Arial" w:hAnsi="Arial" w:cs="Arial"/>
        </w:rPr>
        <w:t>(Werner, 2018)</w:t>
      </w:r>
      <w:r w:rsidR="00257D2B" w:rsidRPr="00ED1690">
        <w:rPr>
          <w:rFonts w:ascii="Arial" w:hAnsi="Arial" w:cs="Arial"/>
        </w:rPr>
        <w:t xml:space="preserve">. However, the main task of the lesson would remain as an independent task. </w:t>
      </w:r>
      <w:r w:rsidR="00C703C7" w:rsidRPr="00ED1690">
        <w:rPr>
          <w:rFonts w:ascii="Arial" w:hAnsi="Arial" w:cs="Arial"/>
        </w:rPr>
        <w:t xml:space="preserve">An appropriate pedagogy to convey here would be a mixture of constructivist and </w:t>
      </w:r>
      <w:r w:rsidR="00471736" w:rsidRPr="00ED1690">
        <w:rPr>
          <w:rFonts w:ascii="Arial" w:hAnsi="Arial" w:cs="Arial"/>
        </w:rPr>
        <w:t>behaviourist</w:t>
      </w:r>
      <w:r w:rsidR="00BD2E91" w:rsidRPr="00ED1690">
        <w:rPr>
          <w:rFonts w:ascii="Arial" w:hAnsi="Arial" w:cs="Arial"/>
        </w:rPr>
        <w:t xml:space="preserve"> ideologies </w:t>
      </w:r>
      <w:r w:rsidR="00AB01EE">
        <w:rPr>
          <w:rFonts w:ascii="Arial" w:hAnsi="Arial" w:cs="Arial"/>
        </w:rPr>
        <w:t>linking</w:t>
      </w:r>
      <w:r w:rsidR="00BD2E91" w:rsidRPr="00ED1690">
        <w:rPr>
          <w:rFonts w:ascii="Arial" w:hAnsi="Arial" w:cs="Arial"/>
        </w:rPr>
        <w:t xml:space="preserve"> to</w:t>
      </w:r>
      <w:r w:rsidR="00442A18">
        <w:rPr>
          <w:rFonts w:ascii="Arial" w:hAnsi="Arial" w:cs="Arial"/>
        </w:rPr>
        <w:t xml:space="preserve"> the necessity of</w:t>
      </w:r>
      <w:r w:rsidR="00BD2E91" w:rsidRPr="00ED1690">
        <w:rPr>
          <w:rFonts w:ascii="Arial" w:hAnsi="Arial" w:cs="Arial"/>
        </w:rPr>
        <w:t xml:space="preserve"> incorporat</w:t>
      </w:r>
      <w:r w:rsidR="00442A18">
        <w:rPr>
          <w:rFonts w:ascii="Arial" w:hAnsi="Arial" w:cs="Arial"/>
        </w:rPr>
        <w:t>ing</w:t>
      </w:r>
      <w:r w:rsidR="00BD2E91" w:rsidRPr="00ED1690">
        <w:rPr>
          <w:rFonts w:ascii="Arial" w:hAnsi="Arial" w:cs="Arial"/>
        </w:rPr>
        <w:t xml:space="preserve"> both child-led and teacher-led </w:t>
      </w:r>
      <w:r w:rsidR="004F2072" w:rsidRPr="00ED1690">
        <w:rPr>
          <w:rFonts w:ascii="Arial" w:hAnsi="Arial" w:cs="Arial"/>
        </w:rPr>
        <w:t xml:space="preserve">approaches depending on the </w:t>
      </w:r>
      <w:r w:rsidR="00442A18">
        <w:rPr>
          <w:rFonts w:ascii="Arial" w:hAnsi="Arial" w:cs="Arial"/>
        </w:rPr>
        <w:t xml:space="preserve">background of the class </w:t>
      </w:r>
      <w:r w:rsidR="004F2072" w:rsidRPr="00ED1690">
        <w:rPr>
          <w:rFonts w:ascii="Arial" w:hAnsi="Arial" w:cs="Arial"/>
        </w:rPr>
        <w:t>(Mcleo</w:t>
      </w:r>
      <w:r w:rsidR="00471736" w:rsidRPr="00ED1690">
        <w:rPr>
          <w:rFonts w:ascii="Arial" w:hAnsi="Arial" w:cs="Arial"/>
        </w:rPr>
        <w:t>d</w:t>
      </w:r>
      <w:r w:rsidR="004F2072" w:rsidRPr="00ED1690">
        <w:rPr>
          <w:rFonts w:ascii="Arial" w:hAnsi="Arial" w:cs="Arial"/>
        </w:rPr>
        <w:t xml:space="preserve">, 2024) and (Cherry, 2020). </w:t>
      </w:r>
      <w:r w:rsidR="006E077C" w:rsidRPr="00ED1690">
        <w:rPr>
          <w:rFonts w:ascii="Arial" w:hAnsi="Arial" w:cs="Arial"/>
        </w:rPr>
        <w:t xml:space="preserve">While the lesson referred to by template one </w:t>
      </w:r>
      <w:r w:rsidR="0005002B" w:rsidRPr="00ED1690">
        <w:rPr>
          <w:rFonts w:ascii="Arial" w:hAnsi="Arial" w:cs="Arial"/>
        </w:rPr>
        <w:t xml:space="preserve">appears to use a majority of teacher-led approaches, in future practice I intend to </w:t>
      </w:r>
      <w:r w:rsidR="00601928" w:rsidRPr="00ED1690">
        <w:rPr>
          <w:rFonts w:ascii="Arial" w:hAnsi="Arial" w:cs="Arial"/>
        </w:rPr>
        <w:t xml:space="preserve">plan for more child-led approaches </w:t>
      </w:r>
      <w:r w:rsidR="00471736" w:rsidRPr="00ED1690">
        <w:rPr>
          <w:rFonts w:ascii="Arial" w:hAnsi="Arial" w:cs="Arial"/>
        </w:rPr>
        <w:t>in</w:t>
      </w:r>
      <w:r w:rsidR="00601928" w:rsidRPr="00ED1690">
        <w:rPr>
          <w:rFonts w:ascii="Arial" w:hAnsi="Arial" w:cs="Arial"/>
        </w:rPr>
        <w:t xml:space="preserve"> each lesson to enhance the </w:t>
      </w:r>
      <w:r w:rsidR="00471736" w:rsidRPr="00ED1690">
        <w:rPr>
          <w:rFonts w:ascii="Arial" w:hAnsi="Arial" w:cs="Arial"/>
        </w:rPr>
        <w:t>learners'</w:t>
      </w:r>
      <w:r w:rsidR="00601928" w:rsidRPr="00ED1690">
        <w:rPr>
          <w:rFonts w:ascii="Arial" w:hAnsi="Arial" w:cs="Arial"/>
        </w:rPr>
        <w:t xml:space="preserve"> experiences</w:t>
      </w:r>
      <w:r w:rsidR="00471736" w:rsidRPr="00ED1690">
        <w:rPr>
          <w:rFonts w:ascii="Arial" w:hAnsi="Arial" w:cs="Arial"/>
        </w:rPr>
        <w:t>.</w:t>
      </w:r>
      <w:r w:rsidR="00E623BF" w:rsidRPr="00ED1690">
        <w:rPr>
          <w:rFonts w:ascii="Arial" w:hAnsi="Arial" w:cs="Arial"/>
        </w:rPr>
        <w:t xml:space="preserve"> For example, </w:t>
      </w:r>
      <w:r w:rsidR="009108F1" w:rsidRPr="00ED1690">
        <w:rPr>
          <w:rFonts w:ascii="Arial" w:hAnsi="Arial" w:cs="Arial"/>
        </w:rPr>
        <w:t xml:space="preserve">perhaps by using </w:t>
      </w:r>
      <w:r w:rsidR="00D947B9" w:rsidRPr="00ED1690">
        <w:rPr>
          <w:rFonts w:ascii="Arial" w:hAnsi="Arial" w:cs="Arial"/>
        </w:rPr>
        <w:t>a personalised</w:t>
      </w:r>
      <w:r w:rsidR="009108F1" w:rsidRPr="00ED1690">
        <w:rPr>
          <w:rFonts w:ascii="Arial" w:hAnsi="Arial" w:cs="Arial"/>
        </w:rPr>
        <w:t xml:space="preserve"> learning </w:t>
      </w:r>
      <w:r w:rsidR="00D947B9" w:rsidRPr="00ED1690">
        <w:rPr>
          <w:rFonts w:ascii="Arial" w:hAnsi="Arial" w:cs="Arial"/>
        </w:rPr>
        <w:t xml:space="preserve">approach, </w:t>
      </w:r>
      <w:r w:rsidR="005E16A5" w:rsidRPr="00ED1690">
        <w:rPr>
          <w:rFonts w:ascii="Arial" w:hAnsi="Arial" w:cs="Arial"/>
        </w:rPr>
        <w:t xml:space="preserve">I could facilitate giving </w:t>
      </w:r>
      <w:r w:rsidR="00D947B9" w:rsidRPr="00ED1690">
        <w:rPr>
          <w:rFonts w:ascii="Arial" w:hAnsi="Arial" w:cs="Arial"/>
        </w:rPr>
        <w:t>learners the opportunity to choose the types of topics that interest them</w:t>
      </w:r>
      <w:r w:rsidR="009A7D6A" w:rsidRPr="00ED1690">
        <w:rPr>
          <w:rFonts w:ascii="Arial" w:hAnsi="Arial" w:cs="Arial"/>
        </w:rPr>
        <w:t xml:space="preserve"> (Tenon and Elper-Brooks, 2021, pp. 3-7)</w:t>
      </w:r>
      <w:r w:rsidR="00D947B9" w:rsidRPr="00ED1690">
        <w:rPr>
          <w:rFonts w:ascii="Arial" w:hAnsi="Arial" w:cs="Arial"/>
        </w:rPr>
        <w:t>.</w:t>
      </w:r>
    </w:p>
    <w:p w14:paraId="6A78D228" w14:textId="6D6E67FC" w:rsidR="001A6DD0" w:rsidRDefault="005C0778" w:rsidP="00ED1690">
      <w:pPr>
        <w:spacing w:line="360" w:lineRule="auto"/>
        <w:rPr>
          <w:rFonts w:ascii="Arial" w:hAnsi="Arial" w:cs="Arial"/>
        </w:rPr>
      </w:pPr>
      <w:r w:rsidRPr="00ED1690">
        <w:rPr>
          <w:rFonts w:ascii="Arial" w:hAnsi="Arial" w:cs="Arial"/>
        </w:rPr>
        <w:t>The</w:t>
      </w:r>
      <w:r w:rsidR="001A6DD0" w:rsidRPr="00ED1690">
        <w:rPr>
          <w:rFonts w:ascii="Arial" w:hAnsi="Arial" w:cs="Arial"/>
        </w:rPr>
        <w:t xml:space="preserve"> use of </w:t>
      </w:r>
      <w:r w:rsidR="003F3537" w:rsidRPr="00ED1690">
        <w:rPr>
          <w:rFonts w:ascii="Arial" w:hAnsi="Arial" w:cs="Arial"/>
        </w:rPr>
        <w:t>cross-curricular</w:t>
      </w:r>
      <w:r w:rsidR="001A6DD0" w:rsidRPr="00ED1690">
        <w:rPr>
          <w:rFonts w:ascii="Arial" w:hAnsi="Arial" w:cs="Arial"/>
        </w:rPr>
        <w:t xml:space="preserve"> themes is best demonstrated in professional template </w:t>
      </w:r>
      <w:r w:rsidRPr="00ED1690">
        <w:rPr>
          <w:rFonts w:ascii="Arial" w:hAnsi="Arial" w:cs="Arial"/>
        </w:rPr>
        <w:t>three</w:t>
      </w:r>
      <w:r w:rsidR="00A144C4" w:rsidRPr="00ED1690">
        <w:rPr>
          <w:rFonts w:ascii="Arial" w:hAnsi="Arial" w:cs="Arial"/>
        </w:rPr>
        <w:t xml:space="preserve">. According to the professional teaching standards a practitioner must engage with the principles of curriculum design and </w:t>
      </w:r>
      <w:r w:rsidR="003F3537" w:rsidRPr="00ED1690">
        <w:rPr>
          <w:rFonts w:ascii="Arial" w:hAnsi="Arial" w:cs="Arial"/>
        </w:rPr>
        <w:t>incorporate</w:t>
      </w:r>
      <w:r w:rsidR="00A144C4" w:rsidRPr="00ED1690">
        <w:rPr>
          <w:rFonts w:ascii="Arial" w:hAnsi="Arial" w:cs="Arial"/>
        </w:rPr>
        <w:t xml:space="preserve"> </w:t>
      </w:r>
      <w:r w:rsidR="003F3537" w:rsidRPr="00ED1690">
        <w:rPr>
          <w:rFonts w:ascii="Arial" w:hAnsi="Arial" w:cs="Arial"/>
        </w:rPr>
        <w:t>cross-curricular</w:t>
      </w:r>
      <w:r w:rsidR="00A144C4" w:rsidRPr="00ED1690">
        <w:rPr>
          <w:rFonts w:ascii="Arial" w:hAnsi="Arial" w:cs="Arial"/>
        </w:rPr>
        <w:t xml:space="preserve"> themes relevant to the</w:t>
      </w:r>
      <w:r w:rsidR="003F3537" w:rsidRPr="00ED1690">
        <w:rPr>
          <w:rFonts w:ascii="Arial" w:hAnsi="Arial" w:cs="Arial"/>
        </w:rPr>
        <w:t xml:space="preserve"> AoLEs (Welsh Government, 2019).</w:t>
      </w:r>
      <w:r w:rsidR="00371ACE" w:rsidRPr="00ED1690">
        <w:rPr>
          <w:rFonts w:ascii="Arial" w:hAnsi="Arial" w:cs="Arial"/>
        </w:rPr>
        <w:t xml:space="preserve"> Professional template </w:t>
      </w:r>
      <w:r w:rsidRPr="00ED1690">
        <w:rPr>
          <w:rFonts w:ascii="Arial" w:hAnsi="Arial" w:cs="Arial"/>
        </w:rPr>
        <w:t>three</w:t>
      </w:r>
      <w:r w:rsidR="00371ACE" w:rsidRPr="00ED1690">
        <w:rPr>
          <w:rFonts w:ascii="Arial" w:hAnsi="Arial" w:cs="Arial"/>
        </w:rPr>
        <w:t xml:space="preserve"> describes how an </w:t>
      </w:r>
      <w:r w:rsidR="006047A6" w:rsidRPr="00ED1690">
        <w:rPr>
          <w:rFonts w:ascii="Arial" w:hAnsi="Arial" w:cs="Arial"/>
        </w:rPr>
        <w:t>inquiry-based</w:t>
      </w:r>
      <w:r w:rsidR="00371ACE" w:rsidRPr="00ED1690">
        <w:rPr>
          <w:rFonts w:ascii="Arial" w:hAnsi="Arial" w:cs="Arial"/>
        </w:rPr>
        <w:t xml:space="preserve"> lesson addresses </w:t>
      </w:r>
      <w:r w:rsidR="006047A6" w:rsidRPr="00ED1690">
        <w:rPr>
          <w:rFonts w:ascii="Arial" w:hAnsi="Arial" w:cs="Arial"/>
        </w:rPr>
        <w:t>cross-curricular</w:t>
      </w:r>
      <w:r w:rsidR="00371ACE" w:rsidRPr="00ED1690">
        <w:rPr>
          <w:rFonts w:ascii="Arial" w:hAnsi="Arial" w:cs="Arial"/>
        </w:rPr>
        <w:t xml:space="preserve"> themes. The topic of this lesson addressed skills such as literacy,</w:t>
      </w:r>
      <w:r w:rsidR="009E0F4C" w:rsidRPr="00ED1690">
        <w:rPr>
          <w:rFonts w:ascii="Arial" w:hAnsi="Arial" w:cs="Arial"/>
        </w:rPr>
        <w:t xml:space="preserve"> numeracy and digital competency (Welsh Government, 2020) in addition to linking to </w:t>
      </w:r>
      <w:r w:rsidR="00FC5DBD" w:rsidRPr="00ED1690">
        <w:rPr>
          <w:rFonts w:ascii="Arial" w:hAnsi="Arial" w:cs="Arial"/>
        </w:rPr>
        <w:t>multiple</w:t>
      </w:r>
      <w:r w:rsidR="009E0F4C" w:rsidRPr="00ED1690">
        <w:rPr>
          <w:rFonts w:ascii="Arial" w:hAnsi="Arial" w:cs="Arial"/>
        </w:rPr>
        <w:t xml:space="preserve"> AoLEs</w:t>
      </w:r>
      <w:r w:rsidR="006047A6" w:rsidRPr="00ED1690">
        <w:rPr>
          <w:rFonts w:ascii="Arial" w:hAnsi="Arial" w:cs="Arial"/>
        </w:rPr>
        <w:t xml:space="preserve"> such as humanities</w:t>
      </w:r>
      <w:r w:rsidR="00FC5DBD" w:rsidRPr="00ED1690">
        <w:rPr>
          <w:rFonts w:ascii="Arial" w:hAnsi="Arial" w:cs="Arial"/>
        </w:rPr>
        <w:t xml:space="preserve"> and</w:t>
      </w:r>
      <w:r w:rsidR="006047A6" w:rsidRPr="00ED1690">
        <w:rPr>
          <w:rFonts w:ascii="Arial" w:hAnsi="Arial" w:cs="Arial"/>
        </w:rPr>
        <w:t xml:space="preserve"> science and technology.</w:t>
      </w:r>
      <w:r w:rsidR="008B4CE8" w:rsidRPr="00ED1690">
        <w:rPr>
          <w:rFonts w:ascii="Arial" w:hAnsi="Arial" w:cs="Arial"/>
        </w:rPr>
        <w:t xml:space="preserve"> </w:t>
      </w:r>
      <w:r w:rsidR="00433E5E" w:rsidRPr="00ED1690">
        <w:rPr>
          <w:rFonts w:ascii="Arial" w:hAnsi="Arial" w:cs="Arial"/>
        </w:rPr>
        <w:t xml:space="preserve">The approach taken to incorporate </w:t>
      </w:r>
      <w:r w:rsidR="0025699F" w:rsidRPr="00ED1690">
        <w:rPr>
          <w:rFonts w:ascii="Arial" w:hAnsi="Arial" w:cs="Arial"/>
        </w:rPr>
        <w:t>the cross-curricular themes aligns most with a multi</w:t>
      </w:r>
      <w:r w:rsidR="008443E0" w:rsidRPr="00ED1690">
        <w:rPr>
          <w:rFonts w:ascii="Arial" w:hAnsi="Arial" w:cs="Arial"/>
        </w:rPr>
        <w:t>disciplinary approach (</w:t>
      </w:r>
      <w:r w:rsidR="009C5FCB" w:rsidRPr="00ED1690">
        <w:rPr>
          <w:rFonts w:ascii="Arial" w:hAnsi="Arial" w:cs="Arial"/>
        </w:rPr>
        <w:t>Barnes, 2015, pp</w:t>
      </w:r>
      <w:r w:rsidR="008443E0" w:rsidRPr="00ED1690">
        <w:rPr>
          <w:rFonts w:ascii="Arial" w:hAnsi="Arial" w:cs="Arial"/>
        </w:rPr>
        <w:t>.</w:t>
      </w:r>
      <w:r w:rsidR="009C5FCB" w:rsidRPr="00ED1690">
        <w:rPr>
          <w:rFonts w:ascii="Arial" w:hAnsi="Arial" w:cs="Arial"/>
        </w:rPr>
        <w:t xml:space="preserve"> 264-274).</w:t>
      </w:r>
      <w:r w:rsidR="00902BF8" w:rsidRPr="00ED1690">
        <w:rPr>
          <w:rFonts w:ascii="Arial" w:hAnsi="Arial" w:cs="Arial"/>
        </w:rPr>
        <w:t xml:space="preserve"> </w:t>
      </w:r>
      <w:r w:rsidR="009216C0" w:rsidRPr="00ED1690">
        <w:rPr>
          <w:rFonts w:ascii="Arial" w:hAnsi="Arial" w:cs="Arial"/>
        </w:rPr>
        <w:t xml:space="preserve">However, a tokenistic approach was taken with </w:t>
      </w:r>
      <w:r w:rsidR="006141D8" w:rsidRPr="00ED1690">
        <w:rPr>
          <w:rFonts w:ascii="Arial" w:hAnsi="Arial" w:cs="Arial"/>
        </w:rPr>
        <w:t xml:space="preserve">digital competency, a core cross-curricular theme (Welsh Government, 2020). During the </w:t>
      </w:r>
      <w:r w:rsidR="00C154D5" w:rsidRPr="00ED1690">
        <w:rPr>
          <w:rFonts w:ascii="Arial" w:hAnsi="Arial" w:cs="Arial"/>
        </w:rPr>
        <w:t xml:space="preserve">lesson, learners researched different countries online.  While this </w:t>
      </w:r>
      <w:r w:rsidR="00E32C06" w:rsidRPr="00ED1690">
        <w:rPr>
          <w:rFonts w:ascii="Arial" w:hAnsi="Arial" w:cs="Arial"/>
        </w:rPr>
        <w:t xml:space="preserve">does partially fulfil digital competency, it did not </w:t>
      </w:r>
      <w:r w:rsidR="00957C48" w:rsidRPr="00ED1690">
        <w:rPr>
          <w:rFonts w:ascii="Arial" w:hAnsi="Arial" w:cs="Arial"/>
        </w:rPr>
        <w:t>progress</w:t>
      </w:r>
      <w:r w:rsidR="00E32C06" w:rsidRPr="00ED1690">
        <w:rPr>
          <w:rFonts w:ascii="Arial" w:hAnsi="Arial" w:cs="Arial"/>
        </w:rPr>
        <w:t xml:space="preserve"> </w:t>
      </w:r>
      <w:r w:rsidR="00C201CB" w:rsidRPr="00ED1690">
        <w:rPr>
          <w:rFonts w:ascii="Arial" w:hAnsi="Arial" w:cs="Arial"/>
        </w:rPr>
        <w:t xml:space="preserve">the </w:t>
      </w:r>
      <w:r w:rsidR="00E32C06" w:rsidRPr="00ED1690">
        <w:rPr>
          <w:rFonts w:ascii="Arial" w:hAnsi="Arial" w:cs="Arial"/>
        </w:rPr>
        <w:t>learners</w:t>
      </w:r>
      <w:r w:rsidR="00C201CB" w:rsidRPr="00ED1690">
        <w:rPr>
          <w:rFonts w:ascii="Arial" w:hAnsi="Arial" w:cs="Arial"/>
        </w:rPr>
        <w:t>’</w:t>
      </w:r>
      <w:r w:rsidR="00E32C06" w:rsidRPr="00ED1690">
        <w:rPr>
          <w:rFonts w:ascii="Arial" w:hAnsi="Arial" w:cs="Arial"/>
        </w:rPr>
        <w:t xml:space="preserve"> skills in using </w:t>
      </w:r>
      <w:r w:rsidR="00957C48" w:rsidRPr="00ED1690">
        <w:rPr>
          <w:rFonts w:ascii="Arial" w:hAnsi="Arial" w:cs="Arial"/>
        </w:rPr>
        <w:t xml:space="preserve">technology </w:t>
      </w:r>
      <w:r w:rsidR="00C201CB" w:rsidRPr="00ED1690">
        <w:rPr>
          <w:rFonts w:ascii="Arial" w:hAnsi="Arial" w:cs="Arial"/>
        </w:rPr>
        <w:t xml:space="preserve">any further. On reflection, perhaps </w:t>
      </w:r>
      <w:r w:rsidR="00DD2367" w:rsidRPr="00ED1690">
        <w:rPr>
          <w:rFonts w:ascii="Arial" w:hAnsi="Arial" w:cs="Arial"/>
        </w:rPr>
        <w:t>setting</w:t>
      </w:r>
      <w:r w:rsidR="00DB4F83" w:rsidRPr="00ED1690">
        <w:rPr>
          <w:rFonts w:ascii="Arial" w:hAnsi="Arial" w:cs="Arial"/>
        </w:rPr>
        <w:t xml:space="preserve"> digital</w:t>
      </w:r>
      <w:r w:rsidR="00DD2367" w:rsidRPr="00ED1690">
        <w:rPr>
          <w:rFonts w:ascii="Arial" w:hAnsi="Arial" w:cs="Arial"/>
        </w:rPr>
        <w:t xml:space="preserve"> tasks</w:t>
      </w:r>
      <w:r w:rsidR="00E208C2" w:rsidRPr="00ED1690">
        <w:rPr>
          <w:rFonts w:ascii="Arial" w:hAnsi="Arial" w:cs="Arial"/>
        </w:rPr>
        <w:t xml:space="preserve"> such as</w:t>
      </w:r>
      <w:r w:rsidR="00DD2367" w:rsidRPr="00ED1690">
        <w:rPr>
          <w:rFonts w:ascii="Arial" w:hAnsi="Arial" w:cs="Arial"/>
        </w:rPr>
        <w:t xml:space="preserve"> using databases to present findings would be an appropriate method to meaningfully develop their digital skills further. </w:t>
      </w:r>
      <w:r w:rsidR="00B106D5" w:rsidRPr="00ED1690">
        <w:rPr>
          <w:rFonts w:ascii="Arial" w:hAnsi="Arial" w:cs="Arial"/>
        </w:rPr>
        <w:t>A</w:t>
      </w:r>
      <w:r w:rsidR="00480063" w:rsidRPr="00ED1690">
        <w:rPr>
          <w:rFonts w:ascii="Arial" w:hAnsi="Arial" w:cs="Arial"/>
        </w:rPr>
        <w:t xml:space="preserve"> next step </w:t>
      </w:r>
      <w:r w:rsidR="00EE2A38" w:rsidRPr="00ED1690">
        <w:rPr>
          <w:rFonts w:ascii="Arial" w:hAnsi="Arial" w:cs="Arial"/>
        </w:rPr>
        <w:t xml:space="preserve">in a more general sense, </w:t>
      </w:r>
      <w:r w:rsidR="004560CF" w:rsidRPr="00ED1690">
        <w:rPr>
          <w:rFonts w:ascii="Arial" w:hAnsi="Arial" w:cs="Arial"/>
        </w:rPr>
        <w:t xml:space="preserve">could be to </w:t>
      </w:r>
      <w:r w:rsidR="00B106D5" w:rsidRPr="00ED1690">
        <w:rPr>
          <w:rFonts w:ascii="Arial" w:hAnsi="Arial" w:cs="Arial"/>
        </w:rPr>
        <w:t>continuously</w:t>
      </w:r>
      <w:r w:rsidR="004560CF" w:rsidRPr="00ED1690">
        <w:rPr>
          <w:rFonts w:ascii="Arial" w:hAnsi="Arial" w:cs="Arial"/>
        </w:rPr>
        <w:t xml:space="preserve"> plan cross-curricular </w:t>
      </w:r>
      <w:r w:rsidR="00B106D5" w:rsidRPr="00ED1690">
        <w:rPr>
          <w:rFonts w:ascii="Arial" w:hAnsi="Arial" w:cs="Arial"/>
        </w:rPr>
        <w:t xml:space="preserve">themes for lessons rather </w:t>
      </w:r>
      <w:r w:rsidR="00B106D5" w:rsidRPr="00ED1690">
        <w:rPr>
          <w:rFonts w:ascii="Arial" w:hAnsi="Arial" w:cs="Arial"/>
        </w:rPr>
        <w:lastRenderedPageBreak/>
        <w:t xml:space="preserve">than relying on the given topic to incorporate more than one theme as a natural occurrence. </w:t>
      </w:r>
      <w:r w:rsidR="001D604D" w:rsidRPr="00ED1690">
        <w:rPr>
          <w:rFonts w:ascii="Arial" w:hAnsi="Arial" w:cs="Arial"/>
        </w:rPr>
        <w:t>Additionally, incorporating aspects of outdoor le</w:t>
      </w:r>
      <w:r w:rsidR="00310B27" w:rsidRPr="00ED1690">
        <w:rPr>
          <w:rFonts w:ascii="Arial" w:hAnsi="Arial" w:cs="Arial"/>
        </w:rPr>
        <w:t xml:space="preserve">arning could </w:t>
      </w:r>
      <w:r w:rsidR="007B49FD" w:rsidRPr="00ED1690">
        <w:rPr>
          <w:rFonts w:ascii="Arial" w:hAnsi="Arial" w:cs="Arial"/>
        </w:rPr>
        <w:t xml:space="preserve">be a strategy to achieve this alongside </w:t>
      </w:r>
      <w:r w:rsidR="00AA12D0">
        <w:rPr>
          <w:rFonts w:ascii="Arial" w:hAnsi="Arial" w:cs="Arial"/>
        </w:rPr>
        <w:t xml:space="preserve">the </w:t>
      </w:r>
      <w:r w:rsidR="007B49FD" w:rsidRPr="00ED1690">
        <w:rPr>
          <w:rFonts w:ascii="Arial" w:hAnsi="Arial" w:cs="Arial"/>
        </w:rPr>
        <w:t xml:space="preserve">naturally occurring holistic development of learners </w:t>
      </w:r>
      <w:r w:rsidR="009E3F6C" w:rsidRPr="00ED1690">
        <w:rPr>
          <w:rFonts w:ascii="Arial" w:hAnsi="Arial" w:cs="Arial"/>
        </w:rPr>
        <w:t>(Donision and Halsall, 2023).</w:t>
      </w:r>
    </w:p>
    <w:p w14:paraId="3A9D02CD" w14:textId="1AEA1CD9" w:rsidR="00876118" w:rsidRDefault="00AA12D0" w:rsidP="00ED1690">
      <w:pPr>
        <w:spacing w:line="360" w:lineRule="auto"/>
        <w:rPr>
          <w:rFonts w:ascii="Arial" w:hAnsi="Arial" w:cs="Arial"/>
          <w:b/>
          <w:bCs/>
          <w:sz w:val="28"/>
          <w:szCs w:val="28"/>
        </w:rPr>
      </w:pPr>
      <w:r w:rsidRPr="00AA12D0">
        <w:rPr>
          <w:rFonts w:ascii="Arial" w:hAnsi="Arial" w:cs="Arial"/>
          <w:b/>
          <w:bCs/>
          <w:sz w:val="28"/>
          <w:szCs w:val="28"/>
        </w:rPr>
        <w:t>Reference</w:t>
      </w:r>
      <w:r>
        <w:rPr>
          <w:rFonts w:ascii="Arial" w:hAnsi="Arial" w:cs="Arial"/>
          <w:b/>
          <w:bCs/>
          <w:sz w:val="28"/>
          <w:szCs w:val="28"/>
        </w:rPr>
        <w:t xml:space="preserve"> List</w:t>
      </w:r>
    </w:p>
    <w:p w14:paraId="18BB8E36"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Adams, N.E. (2015). Bloom’s Taxonomy of Cognitive Learning Objectives. </w:t>
      </w:r>
      <w:r w:rsidRPr="004D6E19">
        <w:rPr>
          <w:rFonts w:ascii="Arial" w:hAnsi="Arial" w:cs="Arial"/>
          <w:i/>
          <w:iCs/>
          <w:sz w:val="22"/>
          <w:szCs w:val="22"/>
        </w:rPr>
        <w:t>Journal of the Medical Library Association : JMLA</w:t>
      </w:r>
      <w:r w:rsidRPr="004D6E19">
        <w:rPr>
          <w:rFonts w:ascii="Arial" w:hAnsi="Arial" w:cs="Arial"/>
          <w:sz w:val="22"/>
          <w:szCs w:val="22"/>
        </w:rPr>
        <w:t>, [online] 103(3), pp.152–153. doi:https://doi.org/10.3163/1536-5050.103.3.010.</w:t>
      </w:r>
    </w:p>
    <w:p w14:paraId="6E4B5B65"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Barnes, J. (2015). </w:t>
      </w:r>
      <w:r w:rsidRPr="004D6E19">
        <w:rPr>
          <w:rFonts w:ascii="Arial" w:hAnsi="Arial" w:cs="Arial"/>
          <w:i/>
          <w:iCs/>
          <w:sz w:val="22"/>
          <w:szCs w:val="22"/>
        </w:rPr>
        <w:t>An Introduction to Cross-Curricular Learning</w:t>
      </w:r>
      <w:r w:rsidRPr="004D6E19">
        <w:rPr>
          <w:rFonts w:ascii="Arial" w:hAnsi="Arial" w:cs="Arial"/>
          <w:sz w:val="22"/>
          <w:szCs w:val="22"/>
        </w:rPr>
        <w:t xml:space="preserve">. [online] </w:t>
      </w:r>
      <w:r w:rsidRPr="004D6E19">
        <w:rPr>
          <w:rFonts w:ascii="Arial" w:hAnsi="Arial" w:cs="Arial"/>
          <w:i/>
          <w:iCs/>
          <w:sz w:val="22"/>
          <w:szCs w:val="22"/>
        </w:rPr>
        <w:t>ResearchGate</w:t>
      </w:r>
      <w:r w:rsidRPr="004D6E19">
        <w:rPr>
          <w:rFonts w:ascii="Arial" w:hAnsi="Arial" w:cs="Arial"/>
          <w:sz w:val="22"/>
          <w:szCs w:val="22"/>
        </w:rPr>
        <w:t>, Sage, pp.264–274. Available at: https://www.researchgate.net/publication/274313611_An_Introduction_to_Cross-Curricular_Learning [Accessed 14 Apr. 2024].</w:t>
      </w:r>
    </w:p>
    <w:p w14:paraId="5BFE3138"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Beymer, P.N. and Thomson, M.M. (2015). The effects of choice in the classroom: Is there too little or too much choice? </w:t>
      </w:r>
      <w:r w:rsidRPr="004D6E19">
        <w:rPr>
          <w:rFonts w:ascii="Arial" w:hAnsi="Arial" w:cs="Arial"/>
          <w:i/>
          <w:iCs/>
          <w:sz w:val="22"/>
          <w:szCs w:val="22"/>
        </w:rPr>
        <w:t>Support for Learning</w:t>
      </w:r>
      <w:r w:rsidRPr="004D6E19">
        <w:rPr>
          <w:rFonts w:ascii="Arial" w:hAnsi="Arial" w:cs="Arial"/>
          <w:sz w:val="22"/>
          <w:szCs w:val="22"/>
        </w:rPr>
        <w:t>, [online] 30(2), pp.105–120. doi:https://doi.org/10.1111/1467-9604.12086.</w:t>
      </w:r>
    </w:p>
    <w:p w14:paraId="41B3112D"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Block, M. (2011). </w:t>
      </w:r>
      <w:r w:rsidRPr="004D6E19">
        <w:rPr>
          <w:rFonts w:ascii="Arial" w:hAnsi="Arial" w:cs="Arial"/>
          <w:i/>
          <w:iCs/>
          <w:sz w:val="22"/>
          <w:szCs w:val="22"/>
        </w:rPr>
        <w:t>Encyclopedia of child behavior and development</w:t>
      </w:r>
      <w:r w:rsidRPr="004D6E19">
        <w:rPr>
          <w:rFonts w:ascii="Arial" w:hAnsi="Arial" w:cs="Arial"/>
          <w:sz w:val="22"/>
          <w:szCs w:val="22"/>
        </w:rPr>
        <w:t>. Boston: Springer, pp.913–915.</w:t>
      </w:r>
    </w:p>
    <w:p w14:paraId="0DA6D167"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Cherry, K. (2022). </w:t>
      </w:r>
      <w:r w:rsidRPr="004D6E19">
        <w:rPr>
          <w:rFonts w:ascii="Arial" w:hAnsi="Arial" w:cs="Arial"/>
          <w:i/>
          <w:iCs/>
          <w:sz w:val="22"/>
          <w:szCs w:val="22"/>
        </w:rPr>
        <w:t>What is Behaviorism?</w:t>
      </w:r>
      <w:r w:rsidRPr="004D6E19">
        <w:rPr>
          <w:rFonts w:ascii="Arial" w:hAnsi="Arial" w:cs="Arial"/>
          <w:sz w:val="22"/>
          <w:szCs w:val="22"/>
        </w:rPr>
        <w:t xml:space="preserve"> [online] Verywell Mind. Available at: https://www.verywellmind.com/behavioral-psychology-4157183 [Accessed 10 Apr. 2024].</w:t>
      </w:r>
    </w:p>
    <w:p w14:paraId="53BC1F07"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Davis, K., Christodoulou, J., Seider, S. and Gardener, H. (2011). </w:t>
      </w:r>
      <w:r w:rsidRPr="004D6E19">
        <w:rPr>
          <w:rFonts w:ascii="Arial" w:hAnsi="Arial" w:cs="Arial"/>
          <w:i/>
          <w:iCs/>
          <w:sz w:val="22"/>
          <w:szCs w:val="22"/>
        </w:rPr>
        <w:t>(PDF) The Theory of Multiple Intelligences</w:t>
      </w:r>
      <w:r w:rsidRPr="004D6E19">
        <w:rPr>
          <w:rFonts w:ascii="Arial" w:hAnsi="Arial" w:cs="Arial"/>
          <w:sz w:val="22"/>
          <w:szCs w:val="22"/>
        </w:rPr>
        <w:t xml:space="preserve">. [online] </w:t>
      </w:r>
      <w:r w:rsidRPr="004D6E19">
        <w:rPr>
          <w:rFonts w:ascii="Arial" w:hAnsi="Arial" w:cs="Arial"/>
          <w:i/>
          <w:iCs/>
          <w:sz w:val="22"/>
          <w:szCs w:val="22"/>
        </w:rPr>
        <w:t>ResearchGate</w:t>
      </w:r>
      <w:r w:rsidRPr="004D6E19">
        <w:rPr>
          <w:rFonts w:ascii="Arial" w:hAnsi="Arial" w:cs="Arial"/>
          <w:sz w:val="22"/>
          <w:szCs w:val="22"/>
        </w:rPr>
        <w:t>, Cambridge University Press, p.488. Available at: https://www.researchgate.net/publication/317388610_The_Theory_of_Multiple_Intelligences [Accessed 6 Apr. 2024].</w:t>
      </w:r>
    </w:p>
    <w:p w14:paraId="72FF3BBD"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Deunk, M.I., Smale-Jacobse, A.E., de Boer, H., Doolaard, S. and Bosker, R.J. (2018). Effective differentiation practices: A systematic review and meta-analysis of studies on the cognitive effects of differentiation practices in primary education. </w:t>
      </w:r>
      <w:r w:rsidRPr="004D6E19">
        <w:rPr>
          <w:rFonts w:ascii="Arial" w:hAnsi="Arial" w:cs="Arial"/>
          <w:i/>
          <w:iCs/>
          <w:sz w:val="22"/>
          <w:szCs w:val="22"/>
        </w:rPr>
        <w:t>Educational Research Review</w:t>
      </w:r>
      <w:r w:rsidRPr="004D6E19">
        <w:rPr>
          <w:rFonts w:ascii="Arial" w:hAnsi="Arial" w:cs="Arial"/>
          <w:sz w:val="22"/>
          <w:szCs w:val="22"/>
        </w:rPr>
        <w:t>, [online] 24(24), pp.31–54. doi:https://doi.org/10.1016/j.edurev.2018.02.002.</w:t>
      </w:r>
    </w:p>
    <w:p w14:paraId="44A3A697"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Donaldson, G. (2015). </w:t>
      </w:r>
      <w:r w:rsidRPr="004D6E19">
        <w:rPr>
          <w:rFonts w:ascii="Arial" w:hAnsi="Arial" w:cs="Arial"/>
          <w:i/>
          <w:iCs/>
          <w:sz w:val="22"/>
          <w:szCs w:val="22"/>
        </w:rPr>
        <w:t>Successful Futures Independent Review of Curriculum and Assessment Arrangements in Wales</w:t>
      </w:r>
      <w:r w:rsidRPr="004D6E19">
        <w:rPr>
          <w:rFonts w:ascii="Arial" w:hAnsi="Arial" w:cs="Arial"/>
          <w:sz w:val="22"/>
          <w:szCs w:val="22"/>
        </w:rPr>
        <w:t xml:space="preserve">. [online] pp.64–70. Available at: </w:t>
      </w:r>
      <w:r w:rsidRPr="004D6E19">
        <w:rPr>
          <w:rFonts w:ascii="Arial" w:hAnsi="Arial" w:cs="Arial"/>
          <w:sz w:val="22"/>
          <w:szCs w:val="22"/>
        </w:rPr>
        <w:lastRenderedPageBreak/>
        <w:t>https://www.gov.wales/sites/default/files/publications/2018-03/successful-futures.pdf [Accessed 10 Apr. 2024].</w:t>
      </w:r>
    </w:p>
    <w:p w14:paraId="553ABC1B"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Donison, L. and Halsall, T. (2023). Redirecting. </w:t>
      </w:r>
      <w:r w:rsidRPr="004D6E19">
        <w:rPr>
          <w:rFonts w:ascii="Arial" w:hAnsi="Arial" w:cs="Arial"/>
          <w:i/>
          <w:iCs/>
          <w:sz w:val="22"/>
          <w:szCs w:val="22"/>
        </w:rPr>
        <w:t>Journal of Childhood, Education &amp; Society</w:t>
      </w:r>
      <w:r w:rsidRPr="004D6E19">
        <w:rPr>
          <w:rFonts w:ascii="Arial" w:hAnsi="Arial" w:cs="Arial"/>
          <w:sz w:val="22"/>
          <w:szCs w:val="22"/>
        </w:rPr>
        <w:t>, [online] 4(3), pp.377–379. doi:https://doi.org/10.37291/2717638X.202343281.</w:t>
      </w:r>
    </w:p>
    <w:p w14:paraId="494F3C10"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Ebo, B.A. (2018). Constructivism or Behaviorism: What is the Best Method to Teach Special Needs Students? </w:t>
      </w:r>
      <w:r w:rsidRPr="004D6E19">
        <w:rPr>
          <w:rFonts w:ascii="Arial" w:hAnsi="Arial" w:cs="Arial"/>
          <w:i/>
          <w:iCs/>
          <w:sz w:val="22"/>
          <w:szCs w:val="22"/>
        </w:rPr>
        <w:t>Journal of healthcare, science and the humanities</w:t>
      </w:r>
      <w:r w:rsidRPr="004D6E19">
        <w:rPr>
          <w:rFonts w:ascii="Arial" w:hAnsi="Arial" w:cs="Arial"/>
          <w:sz w:val="22"/>
          <w:szCs w:val="22"/>
        </w:rPr>
        <w:t>, [online] 8(2), pp.45–56. Available at: https://www.ncbi.nlm.nih.gov/pmc/articles/PMC9930485/ [Accessed 10 Apr. 2024].</w:t>
      </w:r>
    </w:p>
    <w:p w14:paraId="7FC00CFF"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Eikeland, I. and Ohna, S.E. (2022). Differentiation in education: a configurative review. </w:t>
      </w:r>
      <w:r w:rsidRPr="004D6E19">
        <w:rPr>
          <w:rFonts w:ascii="Arial" w:hAnsi="Arial" w:cs="Arial"/>
          <w:i/>
          <w:iCs/>
          <w:sz w:val="22"/>
          <w:szCs w:val="22"/>
        </w:rPr>
        <w:t>Nordic Journal of Studies in Educational Policy</w:t>
      </w:r>
      <w:r w:rsidRPr="004D6E19">
        <w:rPr>
          <w:rFonts w:ascii="Arial" w:hAnsi="Arial" w:cs="Arial"/>
          <w:sz w:val="22"/>
          <w:szCs w:val="22"/>
        </w:rPr>
        <w:t>, [online] 8(3), pp.1–14. doi:https://doi.org/10.1080/20020317.2022.2039351.</w:t>
      </w:r>
    </w:p>
    <w:p w14:paraId="05BF9504"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Ernst, D.C., Hodge, A. and Yoshinobu, S. (2017). What Is Inquiry-Based Learning? </w:t>
      </w:r>
      <w:r w:rsidRPr="004D6E19">
        <w:rPr>
          <w:rFonts w:ascii="Arial" w:hAnsi="Arial" w:cs="Arial"/>
          <w:i/>
          <w:iCs/>
          <w:sz w:val="22"/>
          <w:szCs w:val="22"/>
        </w:rPr>
        <w:t>Notices of the American Mathematical Society</w:t>
      </w:r>
      <w:r w:rsidRPr="004D6E19">
        <w:rPr>
          <w:rFonts w:ascii="Arial" w:hAnsi="Arial" w:cs="Arial"/>
          <w:sz w:val="22"/>
          <w:szCs w:val="22"/>
        </w:rPr>
        <w:t>, [online] 64(06), pp.570–574. doi:https://doi.org/10.1090/noti1536.</w:t>
      </w:r>
    </w:p>
    <w:p w14:paraId="21C47007"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Estyn (2016). </w:t>
      </w:r>
      <w:r w:rsidRPr="004D6E19">
        <w:rPr>
          <w:rFonts w:ascii="Arial" w:hAnsi="Arial" w:cs="Arial"/>
          <w:i/>
          <w:iCs/>
          <w:sz w:val="22"/>
          <w:szCs w:val="22"/>
        </w:rPr>
        <w:t>‘Pupil voice’ benefits pupils and helps schools to improve | Estyn</w:t>
      </w:r>
      <w:r w:rsidRPr="004D6E19">
        <w:rPr>
          <w:rFonts w:ascii="Arial" w:hAnsi="Arial" w:cs="Arial"/>
          <w:sz w:val="22"/>
          <w:szCs w:val="22"/>
        </w:rPr>
        <w:t xml:space="preserve">. [online] </w:t>
      </w:r>
      <w:r w:rsidRPr="004D6E19">
        <w:rPr>
          <w:rFonts w:ascii="Arial" w:hAnsi="Arial" w:cs="Arial"/>
          <w:i/>
          <w:iCs/>
          <w:sz w:val="22"/>
          <w:szCs w:val="22"/>
        </w:rPr>
        <w:t>www.estyn.gov.wales</w:t>
      </w:r>
      <w:r w:rsidRPr="004D6E19">
        <w:rPr>
          <w:rFonts w:ascii="Arial" w:hAnsi="Arial" w:cs="Arial"/>
          <w:sz w:val="22"/>
          <w:szCs w:val="22"/>
        </w:rPr>
        <w:t>. Available at: https://www.estyn.gov.wales/news/pupil-voice-benefits-pupils-and-helps-schools-improve [Accessed 14 Apr. 2024].</w:t>
      </w:r>
    </w:p>
    <w:p w14:paraId="080A9184"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Estyn (2018). </w:t>
      </w:r>
      <w:r w:rsidRPr="004D6E19">
        <w:rPr>
          <w:rFonts w:ascii="Arial" w:hAnsi="Arial" w:cs="Arial"/>
          <w:i/>
          <w:iCs/>
          <w:sz w:val="22"/>
          <w:szCs w:val="22"/>
        </w:rPr>
        <w:t>Successful behaviours through reward-based programme | Estyn</w:t>
      </w:r>
      <w:r w:rsidRPr="004D6E19">
        <w:rPr>
          <w:rFonts w:ascii="Arial" w:hAnsi="Arial" w:cs="Arial"/>
          <w:sz w:val="22"/>
          <w:szCs w:val="22"/>
        </w:rPr>
        <w:t xml:space="preserve">. [online] </w:t>
      </w:r>
      <w:r w:rsidRPr="004D6E19">
        <w:rPr>
          <w:rFonts w:ascii="Arial" w:hAnsi="Arial" w:cs="Arial"/>
          <w:i/>
          <w:iCs/>
          <w:sz w:val="22"/>
          <w:szCs w:val="22"/>
        </w:rPr>
        <w:t>www.estyn.gov.wales</w:t>
      </w:r>
      <w:r w:rsidRPr="004D6E19">
        <w:rPr>
          <w:rFonts w:ascii="Arial" w:hAnsi="Arial" w:cs="Arial"/>
          <w:sz w:val="22"/>
          <w:szCs w:val="22"/>
        </w:rPr>
        <w:t>. Available at: https://www.estyn.gov.wales/effective-practice/successful-behaviours-through-reward-based-programme [Accessed 11 Apr. 2024].</w:t>
      </w:r>
    </w:p>
    <w:p w14:paraId="187D27AF"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Estyn (2023). </w:t>
      </w:r>
      <w:r w:rsidRPr="004D6E19">
        <w:rPr>
          <w:rFonts w:ascii="Arial" w:hAnsi="Arial" w:cs="Arial"/>
          <w:i/>
          <w:iCs/>
          <w:sz w:val="22"/>
          <w:szCs w:val="22"/>
        </w:rPr>
        <w:t>Application of skills in the outdoor environment | Estyn</w:t>
      </w:r>
      <w:r w:rsidRPr="004D6E19">
        <w:rPr>
          <w:rFonts w:ascii="Arial" w:hAnsi="Arial" w:cs="Arial"/>
          <w:sz w:val="22"/>
          <w:szCs w:val="22"/>
        </w:rPr>
        <w:t xml:space="preserve">. [online] </w:t>
      </w:r>
      <w:r w:rsidRPr="004D6E19">
        <w:rPr>
          <w:rFonts w:ascii="Arial" w:hAnsi="Arial" w:cs="Arial"/>
          <w:i/>
          <w:iCs/>
          <w:sz w:val="22"/>
          <w:szCs w:val="22"/>
        </w:rPr>
        <w:t>www.estyn.gov.wales</w:t>
      </w:r>
      <w:r w:rsidRPr="004D6E19">
        <w:rPr>
          <w:rFonts w:ascii="Arial" w:hAnsi="Arial" w:cs="Arial"/>
          <w:sz w:val="22"/>
          <w:szCs w:val="22"/>
        </w:rPr>
        <w:t>. Available at: https://www.estyn.gov.wales/effective-practice/application-skills-outdoor-environment [Accessed 11 Apr. 2024].</w:t>
      </w:r>
    </w:p>
    <w:p w14:paraId="146816EE"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Felder, R.M. and Brent, R. (2009). (PDF) Active learning: An introduction. </w:t>
      </w:r>
      <w:r w:rsidRPr="004D6E19">
        <w:rPr>
          <w:rFonts w:ascii="Arial" w:hAnsi="Arial" w:cs="Arial"/>
          <w:i/>
          <w:iCs/>
          <w:sz w:val="22"/>
          <w:szCs w:val="22"/>
        </w:rPr>
        <w:t>ASQ Higher Education Brief</w:t>
      </w:r>
      <w:r w:rsidRPr="004D6E19">
        <w:rPr>
          <w:rFonts w:ascii="Arial" w:hAnsi="Arial" w:cs="Arial"/>
          <w:sz w:val="22"/>
          <w:szCs w:val="22"/>
        </w:rPr>
        <w:t>, [online] 2. Available at: https://www.researchgate.net/publication/242102584_Active_learning_An_introduction [Accessed 2 Apr. 2024].</w:t>
      </w:r>
    </w:p>
    <w:p w14:paraId="78445E55"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Friesen, N. and Kenklies, K. (2020). What is pedagogy? </w:t>
      </w:r>
      <w:r w:rsidRPr="004D6E19">
        <w:rPr>
          <w:rFonts w:ascii="Arial" w:hAnsi="Arial" w:cs="Arial"/>
          <w:i/>
          <w:iCs/>
          <w:sz w:val="22"/>
          <w:szCs w:val="22"/>
        </w:rPr>
        <w:t>ESHA</w:t>
      </w:r>
      <w:r w:rsidRPr="004D6E19">
        <w:rPr>
          <w:rFonts w:ascii="Arial" w:hAnsi="Arial" w:cs="Arial"/>
          <w:sz w:val="22"/>
          <w:szCs w:val="22"/>
        </w:rPr>
        <w:t>, [online] pp.26–31. Available at: https://www.researchgate.net/publication/357159042_What_is_Pedagogy [Accessed 12 Apr. 2024].</w:t>
      </w:r>
    </w:p>
    <w:p w14:paraId="71E3D3B8"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lastRenderedPageBreak/>
        <w:t xml:space="preserve">Gross, B. and DeArmond, M. (2018). </w:t>
      </w:r>
      <w:r w:rsidRPr="004D6E19">
        <w:rPr>
          <w:rFonts w:ascii="Arial" w:hAnsi="Arial" w:cs="Arial"/>
          <w:i/>
          <w:iCs/>
          <w:sz w:val="22"/>
          <w:szCs w:val="22"/>
        </w:rPr>
        <w:t>Personalized Learning at a Crossroads Early Lessons from the Next Generation Systems Initiative and the Regional Funds for Breakthrough Schools Initiative</w:t>
      </w:r>
      <w:r w:rsidRPr="004D6E19">
        <w:rPr>
          <w:rFonts w:ascii="Arial" w:hAnsi="Arial" w:cs="Arial"/>
          <w:sz w:val="22"/>
          <w:szCs w:val="22"/>
        </w:rPr>
        <w:t xml:space="preserve">. </w:t>
      </w:r>
      <w:r w:rsidRPr="004D6E19">
        <w:rPr>
          <w:rFonts w:ascii="Arial" w:hAnsi="Arial" w:cs="Arial"/>
          <w:i/>
          <w:iCs/>
          <w:sz w:val="22"/>
          <w:szCs w:val="22"/>
        </w:rPr>
        <w:t>https://files.eric.ed.gov/fulltext/ED584719.pdf</w:t>
      </w:r>
      <w:r w:rsidRPr="004D6E19">
        <w:rPr>
          <w:rFonts w:ascii="Arial" w:hAnsi="Arial" w:cs="Arial"/>
          <w:sz w:val="22"/>
          <w:szCs w:val="22"/>
        </w:rPr>
        <w:t>.</w:t>
      </w:r>
    </w:p>
    <w:p w14:paraId="4C3E28F6"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Hammond, L. (2022). Attitudes toward Direct Instruction in Western Australian primary and secondary schools. </w:t>
      </w:r>
      <w:r w:rsidRPr="004D6E19">
        <w:rPr>
          <w:rFonts w:ascii="Arial" w:hAnsi="Arial" w:cs="Arial"/>
          <w:i/>
          <w:iCs/>
          <w:sz w:val="22"/>
          <w:szCs w:val="22"/>
        </w:rPr>
        <w:t>Teaching and Teacher Education</w:t>
      </w:r>
      <w:r w:rsidRPr="004D6E19">
        <w:rPr>
          <w:rFonts w:ascii="Arial" w:hAnsi="Arial" w:cs="Arial"/>
          <w:sz w:val="22"/>
          <w:szCs w:val="22"/>
        </w:rPr>
        <w:t>, 112(4), p.103651. doi:https://doi.org/10.1016/j.tate.2022.103651.</w:t>
      </w:r>
    </w:p>
    <w:p w14:paraId="07B64D99"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Harris, F. (2023). Practitioners’ perspectives on children’s engagement in forest school. </w:t>
      </w:r>
      <w:r w:rsidRPr="004D6E19">
        <w:rPr>
          <w:rFonts w:ascii="Arial" w:hAnsi="Arial" w:cs="Arial"/>
          <w:i/>
          <w:iCs/>
          <w:sz w:val="22"/>
          <w:szCs w:val="22"/>
        </w:rPr>
        <w:t>Education 3-13, ahead-of-print(ahead-of-print)</w:t>
      </w:r>
      <w:r w:rsidRPr="004D6E19">
        <w:rPr>
          <w:rFonts w:ascii="Arial" w:hAnsi="Arial" w:cs="Arial"/>
          <w:sz w:val="22"/>
          <w:szCs w:val="22"/>
        </w:rPr>
        <w:t>, [online] pp.1–10. doi:https://doi.org/10.1080/03004279.2023.2183081.</w:t>
      </w:r>
    </w:p>
    <w:p w14:paraId="77CB8D18"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Kruit, P.M., Oostdam, R.J., van den Berg, E. and Schuitema, J.A. (2018). Effects of explicit instruction on the acquisition of students’ science inquiry skills in grades 5 and 6 of primary education. </w:t>
      </w:r>
      <w:r w:rsidRPr="004D6E19">
        <w:rPr>
          <w:rFonts w:ascii="Arial" w:hAnsi="Arial" w:cs="Arial"/>
          <w:i/>
          <w:iCs/>
          <w:sz w:val="22"/>
          <w:szCs w:val="22"/>
        </w:rPr>
        <w:t>International Journal of Science Education</w:t>
      </w:r>
      <w:r w:rsidRPr="004D6E19">
        <w:rPr>
          <w:rFonts w:ascii="Arial" w:hAnsi="Arial" w:cs="Arial"/>
          <w:sz w:val="22"/>
          <w:szCs w:val="22"/>
        </w:rPr>
        <w:t>, 40(4), pp.421–441. doi:https://doi.org/10.1080/09500693.2018.1428777.</w:t>
      </w:r>
    </w:p>
    <w:p w14:paraId="56F0B97E"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Leeder, T.M. (2022). Behaviorism, Skinner, and Operant Conditioning: Considerations for Sport Coaching Practice. </w:t>
      </w:r>
      <w:r w:rsidRPr="004D6E19">
        <w:rPr>
          <w:rFonts w:ascii="Arial" w:hAnsi="Arial" w:cs="Arial"/>
          <w:i/>
          <w:iCs/>
          <w:sz w:val="22"/>
          <w:szCs w:val="22"/>
        </w:rPr>
        <w:t>Strategies</w:t>
      </w:r>
      <w:r w:rsidRPr="004D6E19">
        <w:rPr>
          <w:rFonts w:ascii="Arial" w:hAnsi="Arial" w:cs="Arial"/>
          <w:sz w:val="22"/>
          <w:szCs w:val="22"/>
        </w:rPr>
        <w:t>, [online] 35(3), pp.27–32. Available at: https://www.tandfonline.com/doi/full/10.1080/08924562.2022.2052776 [Accessed 11 Apr. 2024].</w:t>
      </w:r>
    </w:p>
    <w:p w14:paraId="6C0906A4"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Lyngstad, A. (2017). </w:t>
      </w:r>
      <w:r w:rsidRPr="004D6E19">
        <w:rPr>
          <w:rFonts w:ascii="Arial" w:hAnsi="Arial" w:cs="Arial"/>
          <w:i/>
          <w:iCs/>
          <w:sz w:val="22"/>
          <w:szCs w:val="22"/>
        </w:rPr>
        <w:t>Sandbox games: a way to promote deeper learning in cross-curricular teaching? Example scenarios for classroom implementation</w:t>
      </w:r>
      <w:r w:rsidRPr="004D6E19">
        <w:rPr>
          <w:rFonts w:ascii="Arial" w:hAnsi="Arial" w:cs="Arial"/>
          <w:sz w:val="22"/>
          <w:szCs w:val="22"/>
        </w:rPr>
        <w:t>. [online] Available at: https://munin.uit.no/bitstream/handle/10037/11538/thesis.pdf?sequence=1&amp;isAllowed=y [Accessed 14 Apr. 2024].</w:t>
      </w:r>
    </w:p>
    <w:p w14:paraId="3150A2B0"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Mcleod, S. (2018). </w:t>
      </w:r>
      <w:r w:rsidRPr="004D6E19">
        <w:rPr>
          <w:rFonts w:ascii="Arial" w:hAnsi="Arial" w:cs="Arial"/>
          <w:i/>
          <w:iCs/>
          <w:sz w:val="22"/>
          <w:szCs w:val="22"/>
        </w:rPr>
        <w:t>Edward Thorndike - Law of Effect</w:t>
      </w:r>
      <w:r w:rsidRPr="004D6E19">
        <w:rPr>
          <w:rFonts w:ascii="Arial" w:hAnsi="Arial" w:cs="Arial"/>
          <w:sz w:val="22"/>
          <w:szCs w:val="22"/>
        </w:rPr>
        <w:t>. [online] Simply Psychology. Available at: https://www.simplypsychology.org/edward-thorndike.html [Accessed 11 Apr. 2024].</w:t>
      </w:r>
    </w:p>
    <w:p w14:paraId="7D7DFCFF"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Mcleod, S. (2024). </w:t>
      </w:r>
      <w:r w:rsidRPr="004D6E19">
        <w:rPr>
          <w:rFonts w:ascii="Arial" w:hAnsi="Arial" w:cs="Arial"/>
          <w:i/>
          <w:iCs/>
          <w:sz w:val="22"/>
          <w:szCs w:val="22"/>
        </w:rPr>
        <w:t>Piaget’s theory and stages of cognitive development</w:t>
      </w:r>
      <w:r w:rsidRPr="004D6E19">
        <w:rPr>
          <w:rFonts w:ascii="Arial" w:hAnsi="Arial" w:cs="Arial"/>
          <w:sz w:val="22"/>
          <w:szCs w:val="22"/>
        </w:rPr>
        <w:t>. [online] Simply Psychology. Available at: https://www.simplypsychology.org/piaget.html [Accessed 10 Apr. 2024].</w:t>
      </w:r>
    </w:p>
    <w:p w14:paraId="655FB247"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Meirbekov, A. and Salikhanova, Y. (2021). Inquiry-based learning: strategies and benefits. </w:t>
      </w:r>
      <w:r w:rsidRPr="004D6E19">
        <w:rPr>
          <w:rFonts w:ascii="Arial" w:hAnsi="Arial" w:cs="Arial"/>
          <w:i/>
          <w:iCs/>
          <w:sz w:val="22"/>
          <w:szCs w:val="22"/>
        </w:rPr>
        <w:t>Journal of Educational Sciences</w:t>
      </w:r>
      <w:r w:rsidRPr="004D6E19">
        <w:rPr>
          <w:rFonts w:ascii="Arial" w:hAnsi="Arial" w:cs="Arial"/>
          <w:sz w:val="22"/>
          <w:szCs w:val="22"/>
        </w:rPr>
        <w:t>, 67(2). doi:https://doi.org/10.26577/jes.2021.v67.i2.03.</w:t>
      </w:r>
    </w:p>
    <w:p w14:paraId="23474083"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Pettit, N.T. and Cockriel, I.W. (1974). A Factor Study of the Literal Reading Comprehension Test and the Inferential Reading Comprehension Test. </w:t>
      </w:r>
      <w:r w:rsidRPr="004D6E19">
        <w:rPr>
          <w:rFonts w:ascii="Arial" w:hAnsi="Arial" w:cs="Arial"/>
          <w:i/>
          <w:iCs/>
          <w:sz w:val="22"/>
          <w:szCs w:val="22"/>
        </w:rPr>
        <w:t>Journal of Reading Behavior</w:t>
      </w:r>
      <w:r w:rsidRPr="004D6E19">
        <w:rPr>
          <w:rFonts w:ascii="Arial" w:hAnsi="Arial" w:cs="Arial"/>
          <w:sz w:val="22"/>
          <w:szCs w:val="22"/>
        </w:rPr>
        <w:t>, [online] 6(1), pp.63–75. doi:https://doi.org/10.1080/10862967409547078.</w:t>
      </w:r>
    </w:p>
    <w:p w14:paraId="7F829895"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lastRenderedPageBreak/>
        <w:t xml:space="preserve">Phillips, D.C. (2014). </w:t>
      </w:r>
      <w:r w:rsidRPr="004D6E19">
        <w:rPr>
          <w:rFonts w:ascii="Arial" w:hAnsi="Arial" w:cs="Arial"/>
          <w:i/>
          <w:iCs/>
          <w:sz w:val="22"/>
          <w:szCs w:val="22"/>
        </w:rPr>
        <w:t>Encyclopedia of educational theory and philosophy</w:t>
      </w:r>
      <w:r w:rsidRPr="004D6E19">
        <w:rPr>
          <w:rFonts w:ascii="Arial" w:hAnsi="Arial" w:cs="Arial"/>
          <w:sz w:val="22"/>
          <w:szCs w:val="22"/>
        </w:rPr>
        <w:t>. Los Angeles, California: Sage Reference, pp.555–557.</w:t>
      </w:r>
    </w:p>
    <w:p w14:paraId="502498C5"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Pound, L. and Hughes, C. (2017). </w:t>
      </w:r>
      <w:r w:rsidRPr="004D6E19">
        <w:rPr>
          <w:rFonts w:ascii="Arial" w:hAnsi="Arial" w:cs="Arial"/>
          <w:i/>
          <w:iCs/>
          <w:sz w:val="22"/>
          <w:szCs w:val="22"/>
        </w:rPr>
        <w:t>How children learn : from Montessori to Vygotsky, educational theories and approaches made easy</w:t>
      </w:r>
      <w:r w:rsidRPr="004D6E19">
        <w:rPr>
          <w:rFonts w:ascii="Arial" w:hAnsi="Arial" w:cs="Arial"/>
          <w:sz w:val="22"/>
          <w:szCs w:val="22"/>
        </w:rPr>
        <w:t>. London: Practical Pre-School Books, p.40.</w:t>
      </w:r>
    </w:p>
    <w:p w14:paraId="27059529"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Sanmugarevathi, M. and Iyer, L. (2020). (PDF) Application of humanism theory in the teaching approach. In: </w:t>
      </w:r>
      <w:r w:rsidRPr="004D6E19">
        <w:rPr>
          <w:rFonts w:ascii="Arial" w:hAnsi="Arial" w:cs="Arial"/>
          <w:i/>
          <w:iCs/>
          <w:sz w:val="22"/>
          <w:szCs w:val="22"/>
        </w:rPr>
        <w:t>ResearchGate</w:t>
      </w:r>
      <w:r w:rsidRPr="004D6E19">
        <w:rPr>
          <w:rFonts w:ascii="Arial" w:hAnsi="Arial" w:cs="Arial"/>
          <w:sz w:val="22"/>
          <w:szCs w:val="22"/>
        </w:rPr>
        <w:t>. [online] Humanism in India. Available at: https://www.researchgate.net/publication/339017951_Application_of_Humanism_Theory_in_the_Teaching_Approach [Accessed 10 Apr. 2024].</w:t>
      </w:r>
    </w:p>
    <w:p w14:paraId="1C380656"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Schofield, J.W. (2010). International Evidence on Ability Grouping with Curriculum Differentiation and the Achievement Gap in Secondary Schools. </w:t>
      </w:r>
      <w:r w:rsidRPr="004D6E19">
        <w:rPr>
          <w:rFonts w:ascii="Arial" w:hAnsi="Arial" w:cs="Arial"/>
          <w:i/>
          <w:iCs/>
          <w:sz w:val="22"/>
          <w:szCs w:val="22"/>
        </w:rPr>
        <w:t>Teachers College Record: The Voice of Scholarship in Education</w:t>
      </w:r>
      <w:r w:rsidRPr="004D6E19">
        <w:rPr>
          <w:rFonts w:ascii="Arial" w:hAnsi="Arial" w:cs="Arial"/>
          <w:sz w:val="22"/>
          <w:szCs w:val="22"/>
        </w:rPr>
        <w:t>, 112(5), pp.1492–1528. doi:https://doi.org/10.1177/016146811011200506.</w:t>
      </w:r>
    </w:p>
    <w:p w14:paraId="2C57CCD0"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Shepard Barbash (2011). </w:t>
      </w:r>
      <w:r w:rsidRPr="004D6E19">
        <w:rPr>
          <w:rFonts w:ascii="Arial" w:hAnsi="Arial" w:cs="Arial"/>
          <w:i/>
          <w:iCs/>
          <w:sz w:val="22"/>
          <w:szCs w:val="22"/>
        </w:rPr>
        <w:t>Clear teaching : with direct instruction, Siegfried Engelmann discovered a better way of teaching</w:t>
      </w:r>
      <w:r w:rsidRPr="004D6E19">
        <w:rPr>
          <w:rFonts w:ascii="Arial" w:hAnsi="Arial" w:cs="Arial"/>
          <w:sz w:val="22"/>
          <w:szCs w:val="22"/>
        </w:rPr>
        <w:t>. Arlington, Va: Education Consumers Foundation, p.3.</w:t>
      </w:r>
    </w:p>
    <w:p w14:paraId="3F590A8C"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Subba, M., Subba, B., Seldon, P. and Choezom, S. (2019). Effects of Using Inquiry Based Learning Pedagogy in Teaching Science. </w:t>
      </w:r>
      <w:r w:rsidRPr="004D6E19">
        <w:rPr>
          <w:rFonts w:ascii="Arial" w:hAnsi="Arial" w:cs="Arial"/>
          <w:i/>
          <w:iCs/>
          <w:sz w:val="22"/>
          <w:szCs w:val="22"/>
        </w:rPr>
        <w:t>Journal of Research in Education, Science and Technology</w:t>
      </w:r>
      <w:r w:rsidRPr="004D6E19">
        <w:rPr>
          <w:rFonts w:ascii="Arial" w:hAnsi="Arial" w:cs="Arial"/>
          <w:sz w:val="22"/>
          <w:szCs w:val="22"/>
        </w:rPr>
        <w:t>, [online] 4(2), pp.44–53. Available at: https://www.researchgate.net/publication/344919645_Effects_of_Using_Inquiry_Based_Learning_Pedagogy_in_Teaching_Science [Accessed 12 Apr. 2024].</w:t>
      </w:r>
    </w:p>
    <w:p w14:paraId="55F68588"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Tenon, S.R. and Epler-Brooks, P. (2021). </w:t>
      </w:r>
      <w:r w:rsidRPr="004D6E19">
        <w:rPr>
          <w:rFonts w:ascii="Arial" w:hAnsi="Arial" w:cs="Arial"/>
          <w:i/>
          <w:iCs/>
          <w:sz w:val="22"/>
          <w:szCs w:val="22"/>
        </w:rPr>
        <w:t>Evaluation of principles and best practices in personalized learning</w:t>
      </w:r>
      <w:r w:rsidRPr="004D6E19">
        <w:rPr>
          <w:rFonts w:ascii="Arial" w:hAnsi="Arial" w:cs="Arial"/>
          <w:sz w:val="22"/>
          <w:szCs w:val="22"/>
        </w:rPr>
        <w:t>. Hershey, Pennsylvania (701 E. Chocolate Avenue, Hershey, Pennsylvania, 17033, USA): IGI Global, pp.3–7.</w:t>
      </w:r>
    </w:p>
    <w:p w14:paraId="6D6DA917"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TES (2023). </w:t>
      </w:r>
      <w:r w:rsidRPr="004D6E19">
        <w:rPr>
          <w:rFonts w:ascii="Arial" w:hAnsi="Arial" w:cs="Arial"/>
          <w:i/>
          <w:iCs/>
          <w:sz w:val="22"/>
          <w:szCs w:val="22"/>
        </w:rPr>
        <w:t>The different teaching approaches explained | Tes</w:t>
      </w:r>
      <w:r w:rsidRPr="004D6E19">
        <w:rPr>
          <w:rFonts w:ascii="Arial" w:hAnsi="Arial" w:cs="Arial"/>
          <w:sz w:val="22"/>
          <w:szCs w:val="22"/>
        </w:rPr>
        <w:t>. [online] www.tes.com. Available at: https://www.tes.com/magazine/teaching-learning/general/what-are-different-teaching-approaches-pedagogy [Accessed 10 Apr. 2024].</w:t>
      </w:r>
    </w:p>
    <w:p w14:paraId="22FCCCC5"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Welsh Government (2019). </w:t>
      </w:r>
      <w:r w:rsidRPr="004D6E19">
        <w:rPr>
          <w:rFonts w:ascii="Arial" w:hAnsi="Arial" w:cs="Arial"/>
          <w:i/>
          <w:iCs/>
          <w:sz w:val="22"/>
          <w:szCs w:val="22"/>
        </w:rPr>
        <w:t>Professional Standards for Teaching and Leadership</w:t>
      </w:r>
      <w:r w:rsidRPr="004D6E19">
        <w:rPr>
          <w:rFonts w:ascii="Arial" w:hAnsi="Arial" w:cs="Arial"/>
          <w:sz w:val="22"/>
          <w:szCs w:val="22"/>
        </w:rPr>
        <w:t xml:space="preserve">. [online] </w:t>
      </w:r>
      <w:r w:rsidRPr="004D6E19">
        <w:rPr>
          <w:rFonts w:ascii="Arial" w:hAnsi="Arial" w:cs="Arial"/>
          <w:i/>
          <w:iCs/>
          <w:sz w:val="22"/>
          <w:szCs w:val="22"/>
        </w:rPr>
        <w:t>Hwb</w:t>
      </w:r>
      <w:r w:rsidRPr="004D6E19">
        <w:rPr>
          <w:rFonts w:ascii="Arial" w:hAnsi="Arial" w:cs="Arial"/>
          <w:sz w:val="22"/>
          <w:szCs w:val="22"/>
        </w:rPr>
        <w:t>. Available at: https://hwb.gov.wales/api/storage/19bc948b-8a3f-41e0-944a-7bf2cadf7d18/professional-standards-for-teaching-and-leadership-interactive-pdf-for-pc.pdf [Accessed 10 Apr. 2024].</w:t>
      </w:r>
    </w:p>
    <w:p w14:paraId="57486D51"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Welsh Government (2020). </w:t>
      </w:r>
      <w:r w:rsidRPr="004D6E19">
        <w:rPr>
          <w:rFonts w:ascii="Arial" w:hAnsi="Arial" w:cs="Arial"/>
          <w:i/>
          <w:iCs/>
          <w:sz w:val="22"/>
          <w:szCs w:val="22"/>
        </w:rPr>
        <w:t>Developing a vision for curriculum design - Hwb</w:t>
      </w:r>
      <w:r w:rsidRPr="004D6E19">
        <w:rPr>
          <w:rFonts w:ascii="Arial" w:hAnsi="Arial" w:cs="Arial"/>
          <w:sz w:val="22"/>
          <w:szCs w:val="22"/>
        </w:rPr>
        <w:t>. [online] hwb.gov.wales. Available at: https://hwb.gov.wales/curriculum-for-wales/designing-your-</w:t>
      </w:r>
      <w:r w:rsidRPr="004D6E19">
        <w:rPr>
          <w:rFonts w:ascii="Arial" w:hAnsi="Arial" w:cs="Arial"/>
          <w:sz w:val="22"/>
          <w:szCs w:val="22"/>
        </w:rPr>
        <w:lastRenderedPageBreak/>
        <w:t>curriculum/developing-a-vision-for-curriculum-design/#cross-curricular-skills [Accessed 6 Apr. 2024].</w:t>
      </w:r>
    </w:p>
    <w:p w14:paraId="1096AEC5"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Welsh Government (2022a). </w:t>
      </w:r>
      <w:r w:rsidRPr="004D6E19">
        <w:rPr>
          <w:rFonts w:ascii="Arial" w:hAnsi="Arial" w:cs="Arial"/>
          <w:i/>
          <w:iCs/>
          <w:sz w:val="22"/>
          <w:szCs w:val="22"/>
        </w:rPr>
        <w:t>Health and Well-being: Statements of what matters - Hwb</w:t>
      </w:r>
      <w:r w:rsidRPr="004D6E19">
        <w:rPr>
          <w:rFonts w:ascii="Arial" w:hAnsi="Arial" w:cs="Arial"/>
          <w:sz w:val="22"/>
          <w:szCs w:val="22"/>
        </w:rPr>
        <w:t>. [online] hwb.gov.wales. Available at: https://hwb.gov.wales/curriculum-for-wales/health-and-well-being/statements-of-what-matters/ [Accessed 2 Apr. 2024].</w:t>
      </w:r>
    </w:p>
    <w:p w14:paraId="7FBB7615"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Welsh Government (2022b). </w:t>
      </w:r>
      <w:r w:rsidRPr="004D6E19">
        <w:rPr>
          <w:rFonts w:ascii="Arial" w:hAnsi="Arial" w:cs="Arial"/>
          <w:i/>
          <w:iCs/>
          <w:sz w:val="22"/>
          <w:szCs w:val="22"/>
        </w:rPr>
        <w:t>Science and Technology: Statements of what matters - Hwb</w:t>
      </w:r>
      <w:r w:rsidRPr="004D6E19">
        <w:rPr>
          <w:rFonts w:ascii="Arial" w:hAnsi="Arial" w:cs="Arial"/>
          <w:sz w:val="22"/>
          <w:szCs w:val="22"/>
        </w:rPr>
        <w:t>. [online] hwb.gov.wales. Available at: https://hwb.gov.wales/curriculum-for-wales/science-and-technology/statements-of-what-matters/ [Accessed 2 Apr. 2024].</w:t>
      </w:r>
    </w:p>
    <w:p w14:paraId="55ADFE83"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Welsh Government (2023a). </w:t>
      </w:r>
      <w:r w:rsidRPr="004D6E19">
        <w:rPr>
          <w:rFonts w:ascii="Arial" w:hAnsi="Arial" w:cs="Arial"/>
          <w:i/>
          <w:iCs/>
          <w:sz w:val="22"/>
          <w:szCs w:val="22"/>
        </w:rPr>
        <w:t>Early Childhood Play, Learning and Care: Reflective Practice Toolkit 2</w:t>
      </w:r>
      <w:r w:rsidRPr="004D6E19">
        <w:rPr>
          <w:rFonts w:ascii="Arial" w:hAnsi="Arial" w:cs="Arial"/>
          <w:sz w:val="22"/>
          <w:szCs w:val="22"/>
        </w:rPr>
        <w:t>. [online] Available at: https://hwb.gov.wales/api/storage/a8d10028-25ae-4d94-ad18-0247286ce822/early-childhood-play-learning-and-care-reflective-practice-toolkit-v1.pdf [Accessed 13 Apr. 2024].</w:t>
      </w:r>
    </w:p>
    <w:p w14:paraId="0F09BD3C"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Welsh Government (2023b). </w:t>
      </w:r>
      <w:r w:rsidRPr="004D6E19">
        <w:rPr>
          <w:rFonts w:ascii="Arial" w:hAnsi="Arial" w:cs="Arial"/>
          <w:i/>
          <w:iCs/>
          <w:sz w:val="22"/>
          <w:szCs w:val="22"/>
        </w:rPr>
        <w:t>Pedagogy - Hwb</w:t>
      </w:r>
      <w:r w:rsidRPr="004D6E19">
        <w:rPr>
          <w:rFonts w:ascii="Arial" w:hAnsi="Arial" w:cs="Arial"/>
          <w:sz w:val="22"/>
          <w:szCs w:val="22"/>
        </w:rPr>
        <w:t>. [online] hwb.gov.wales. Available at: https://hwb.gov.wales/curriculum-for-wales/designing-your-curriculum/pedagogy/ [Accessed 10 Apr. 2024].</w:t>
      </w:r>
    </w:p>
    <w:p w14:paraId="03AD71E1" w14:textId="77777777" w:rsidR="000A720C" w:rsidRPr="004D6E19" w:rsidRDefault="000A720C" w:rsidP="000A720C">
      <w:pPr>
        <w:pStyle w:val="NormalWeb"/>
        <w:spacing w:before="0" w:beforeAutospacing="0" w:after="240" w:afterAutospacing="0" w:line="360" w:lineRule="auto"/>
        <w:rPr>
          <w:rFonts w:ascii="Arial" w:hAnsi="Arial" w:cs="Arial"/>
          <w:sz w:val="22"/>
          <w:szCs w:val="22"/>
        </w:rPr>
      </w:pPr>
      <w:r w:rsidRPr="004D6E19">
        <w:rPr>
          <w:rFonts w:ascii="Arial" w:hAnsi="Arial" w:cs="Arial"/>
          <w:sz w:val="22"/>
          <w:szCs w:val="22"/>
        </w:rPr>
        <w:t xml:space="preserve">Werner, R.J. (2018). Mixed-Ability Teaching. </w:t>
      </w:r>
      <w:r w:rsidRPr="004D6E19">
        <w:rPr>
          <w:rFonts w:ascii="Arial" w:hAnsi="Arial" w:cs="Arial"/>
          <w:i/>
          <w:iCs/>
          <w:sz w:val="22"/>
          <w:szCs w:val="22"/>
        </w:rPr>
        <w:t>ELT Journal</w:t>
      </w:r>
      <w:r w:rsidRPr="004D6E19">
        <w:rPr>
          <w:rFonts w:ascii="Arial" w:hAnsi="Arial" w:cs="Arial"/>
          <w:sz w:val="22"/>
          <w:szCs w:val="22"/>
        </w:rPr>
        <w:t>, [online] 72(2), pp.223–225. doi:https://doi.org/10.1093/elt/ccx067.</w:t>
      </w:r>
    </w:p>
    <w:p w14:paraId="0D661B78" w14:textId="77777777" w:rsidR="00AA12D0" w:rsidRPr="004D6E19" w:rsidRDefault="00AA12D0" w:rsidP="00ED1690">
      <w:pPr>
        <w:spacing w:line="360" w:lineRule="auto"/>
        <w:rPr>
          <w:rFonts w:ascii="Arial" w:hAnsi="Arial" w:cs="Arial"/>
        </w:rPr>
      </w:pPr>
    </w:p>
    <w:sectPr w:rsidR="00AA12D0" w:rsidRPr="004D6E1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DC77E4" w14:textId="77777777" w:rsidR="004203F4" w:rsidRDefault="004203F4" w:rsidP="00294276">
      <w:pPr>
        <w:spacing w:after="0" w:line="240" w:lineRule="auto"/>
      </w:pPr>
      <w:r>
        <w:separator/>
      </w:r>
    </w:p>
  </w:endnote>
  <w:endnote w:type="continuationSeparator" w:id="0">
    <w:p w14:paraId="6D67AB1F" w14:textId="77777777" w:rsidR="004203F4" w:rsidRDefault="004203F4" w:rsidP="002942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default"/>
  </w:font>
  <w:font w:name="Arial">
    <w:panose1 w:val="020B0604020202020204"/>
    <w:charset w:val="00"/>
    <w:family w:val="swiss"/>
    <w:pitch w:val="variable"/>
    <w:sig w:usb0="E0002EFF" w:usb1="C000785B" w:usb2="00000009" w:usb3="00000000" w:csb0="000001FF" w:csb1="00000000"/>
  </w:font>
  <w:font w:name="Carlito">
    <w:altName w:val="Cambria"/>
    <w:charset w:val="00"/>
    <w:family w:val="roman"/>
    <w:pitch w:val="default"/>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59C18C" w14:textId="77777777" w:rsidR="004203F4" w:rsidRDefault="004203F4" w:rsidP="00294276">
      <w:pPr>
        <w:spacing w:after="0" w:line="240" w:lineRule="auto"/>
      </w:pPr>
      <w:r>
        <w:separator/>
      </w:r>
    </w:p>
  </w:footnote>
  <w:footnote w:type="continuationSeparator" w:id="0">
    <w:p w14:paraId="0B4C15C5" w14:textId="77777777" w:rsidR="004203F4" w:rsidRDefault="004203F4" w:rsidP="002942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0C04"/>
    <w:rsid w:val="000014C6"/>
    <w:rsid w:val="00001E2D"/>
    <w:rsid w:val="00003EDC"/>
    <w:rsid w:val="00010F40"/>
    <w:rsid w:val="000128B1"/>
    <w:rsid w:val="00014F9C"/>
    <w:rsid w:val="00016333"/>
    <w:rsid w:val="0002265E"/>
    <w:rsid w:val="00023B51"/>
    <w:rsid w:val="00037442"/>
    <w:rsid w:val="0005002B"/>
    <w:rsid w:val="0005180B"/>
    <w:rsid w:val="0006639C"/>
    <w:rsid w:val="0009498D"/>
    <w:rsid w:val="000A720C"/>
    <w:rsid w:val="000B0298"/>
    <w:rsid w:val="000B5857"/>
    <w:rsid w:val="000C275C"/>
    <w:rsid w:val="000D4247"/>
    <w:rsid w:val="000D4294"/>
    <w:rsid w:val="000D5910"/>
    <w:rsid w:val="000F52C2"/>
    <w:rsid w:val="000F53B9"/>
    <w:rsid w:val="000F54F6"/>
    <w:rsid w:val="00100CB9"/>
    <w:rsid w:val="001176B8"/>
    <w:rsid w:val="00125B02"/>
    <w:rsid w:val="00134340"/>
    <w:rsid w:val="001572AA"/>
    <w:rsid w:val="00157E82"/>
    <w:rsid w:val="00160D2D"/>
    <w:rsid w:val="00164305"/>
    <w:rsid w:val="00167FB0"/>
    <w:rsid w:val="0018580D"/>
    <w:rsid w:val="001943DA"/>
    <w:rsid w:val="001A6DD0"/>
    <w:rsid w:val="001B58B1"/>
    <w:rsid w:val="001B6D75"/>
    <w:rsid w:val="001C2EF1"/>
    <w:rsid w:val="001D5997"/>
    <w:rsid w:val="001D604D"/>
    <w:rsid w:val="001F55E6"/>
    <w:rsid w:val="002170E5"/>
    <w:rsid w:val="00217CA0"/>
    <w:rsid w:val="0022348B"/>
    <w:rsid w:val="00224E60"/>
    <w:rsid w:val="002358AE"/>
    <w:rsid w:val="0025699F"/>
    <w:rsid w:val="00257D2B"/>
    <w:rsid w:val="0027328A"/>
    <w:rsid w:val="002916F5"/>
    <w:rsid w:val="00291A79"/>
    <w:rsid w:val="00294276"/>
    <w:rsid w:val="002A4BFD"/>
    <w:rsid w:val="002B2FE0"/>
    <w:rsid w:val="002E22D2"/>
    <w:rsid w:val="00310B27"/>
    <w:rsid w:val="003705FE"/>
    <w:rsid w:val="00371ACE"/>
    <w:rsid w:val="003876BC"/>
    <w:rsid w:val="003A1CCF"/>
    <w:rsid w:val="003A44CF"/>
    <w:rsid w:val="003B0CBD"/>
    <w:rsid w:val="003B35F0"/>
    <w:rsid w:val="003D1F43"/>
    <w:rsid w:val="003D40C4"/>
    <w:rsid w:val="003D6265"/>
    <w:rsid w:val="003D6406"/>
    <w:rsid w:val="003F3537"/>
    <w:rsid w:val="004203F4"/>
    <w:rsid w:val="0042265C"/>
    <w:rsid w:val="0043200C"/>
    <w:rsid w:val="00433E5E"/>
    <w:rsid w:val="00442A18"/>
    <w:rsid w:val="0044419B"/>
    <w:rsid w:val="004449AE"/>
    <w:rsid w:val="004560CF"/>
    <w:rsid w:val="004574DB"/>
    <w:rsid w:val="00471736"/>
    <w:rsid w:val="00475A72"/>
    <w:rsid w:val="00480063"/>
    <w:rsid w:val="00484C25"/>
    <w:rsid w:val="00486905"/>
    <w:rsid w:val="00493777"/>
    <w:rsid w:val="004948A9"/>
    <w:rsid w:val="004A6F20"/>
    <w:rsid w:val="004D6E19"/>
    <w:rsid w:val="004F17C4"/>
    <w:rsid w:val="004F2072"/>
    <w:rsid w:val="00531D79"/>
    <w:rsid w:val="00536049"/>
    <w:rsid w:val="0054066C"/>
    <w:rsid w:val="00557E8A"/>
    <w:rsid w:val="00563532"/>
    <w:rsid w:val="005912B3"/>
    <w:rsid w:val="005A666E"/>
    <w:rsid w:val="005C0778"/>
    <w:rsid w:val="005D540D"/>
    <w:rsid w:val="005E0AE2"/>
    <w:rsid w:val="005E16A5"/>
    <w:rsid w:val="005E4EA8"/>
    <w:rsid w:val="005E4EEA"/>
    <w:rsid w:val="005F7FD3"/>
    <w:rsid w:val="00601928"/>
    <w:rsid w:val="006047A6"/>
    <w:rsid w:val="006141D8"/>
    <w:rsid w:val="00624C6A"/>
    <w:rsid w:val="00624FC7"/>
    <w:rsid w:val="00633247"/>
    <w:rsid w:val="0063754E"/>
    <w:rsid w:val="0064647F"/>
    <w:rsid w:val="00660100"/>
    <w:rsid w:val="00665481"/>
    <w:rsid w:val="00666E62"/>
    <w:rsid w:val="00676737"/>
    <w:rsid w:val="00683036"/>
    <w:rsid w:val="006965FB"/>
    <w:rsid w:val="006D2BB5"/>
    <w:rsid w:val="006E077C"/>
    <w:rsid w:val="006F6BB5"/>
    <w:rsid w:val="0070278F"/>
    <w:rsid w:val="00702821"/>
    <w:rsid w:val="00705125"/>
    <w:rsid w:val="00714486"/>
    <w:rsid w:val="00716CFE"/>
    <w:rsid w:val="00730C04"/>
    <w:rsid w:val="00731A9A"/>
    <w:rsid w:val="007346C4"/>
    <w:rsid w:val="0074658F"/>
    <w:rsid w:val="007637D1"/>
    <w:rsid w:val="007646CD"/>
    <w:rsid w:val="00764D72"/>
    <w:rsid w:val="00782A6D"/>
    <w:rsid w:val="00786C50"/>
    <w:rsid w:val="00792138"/>
    <w:rsid w:val="007A7050"/>
    <w:rsid w:val="007B2C31"/>
    <w:rsid w:val="007B49FD"/>
    <w:rsid w:val="007D65A1"/>
    <w:rsid w:val="007E1C09"/>
    <w:rsid w:val="007E520D"/>
    <w:rsid w:val="007E5B06"/>
    <w:rsid w:val="008011C4"/>
    <w:rsid w:val="00811799"/>
    <w:rsid w:val="008207B8"/>
    <w:rsid w:val="00823B80"/>
    <w:rsid w:val="00826985"/>
    <w:rsid w:val="008305F7"/>
    <w:rsid w:val="00841D29"/>
    <w:rsid w:val="008443E0"/>
    <w:rsid w:val="008472AA"/>
    <w:rsid w:val="00851115"/>
    <w:rsid w:val="00862923"/>
    <w:rsid w:val="00876118"/>
    <w:rsid w:val="0088171C"/>
    <w:rsid w:val="008B4647"/>
    <w:rsid w:val="008B4CE8"/>
    <w:rsid w:val="008F1CE3"/>
    <w:rsid w:val="008F7B55"/>
    <w:rsid w:val="00902BF8"/>
    <w:rsid w:val="009108F1"/>
    <w:rsid w:val="0091535E"/>
    <w:rsid w:val="009216C0"/>
    <w:rsid w:val="0092390C"/>
    <w:rsid w:val="00957C48"/>
    <w:rsid w:val="009604D0"/>
    <w:rsid w:val="00964057"/>
    <w:rsid w:val="0097330F"/>
    <w:rsid w:val="00976B8D"/>
    <w:rsid w:val="00984493"/>
    <w:rsid w:val="009845BD"/>
    <w:rsid w:val="00995F9F"/>
    <w:rsid w:val="009A456A"/>
    <w:rsid w:val="009A6A9B"/>
    <w:rsid w:val="009A7D6A"/>
    <w:rsid w:val="009B084E"/>
    <w:rsid w:val="009B338B"/>
    <w:rsid w:val="009C5FCB"/>
    <w:rsid w:val="009C6986"/>
    <w:rsid w:val="009D167A"/>
    <w:rsid w:val="009E0F4C"/>
    <w:rsid w:val="009E3F6C"/>
    <w:rsid w:val="009E424E"/>
    <w:rsid w:val="00A007C9"/>
    <w:rsid w:val="00A0524E"/>
    <w:rsid w:val="00A07306"/>
    <w:rsid w:val="00A10298"/>
    <w:rsid w:val="00A144C4"/>
    <w:rsid w:val="00A318BE"/>
    <w:rsid w:val="00A47C34"/>
    <w:rsid w:val="00A511E5"/>
    <w:rsid w:val="00A65F3C"/>
    <w:rsid w:val="00A75797"/>
    <w:rsid w:val="00A75C61"/>
    <w:rsid w:val="00A9150E"/>
    <w:rsid w:val="00AA0F50"/>
    <w:rsid w:val="00AA12D0"/>
    <w:rsid w:val="00AA4775"/>
    <w:rsid w:val="00AB01EE"/>
    <w:rsid w:val="00AB4012"/>
    <w:rsid w:val="00AB47E5"/>
    <w:rsid w:val="00AC5970"/>
    <w:rsid w:val="00AC5B18"/>
    <w:rsid w:val="00AC74D7"/>
    <w:rsid w:val="00AC7D5D"/>
    <w:rsid w:val="00AD48EA"/>
    <w:rsid w:val="00AE48D0"/>
    <w:rsid w:val="00B0182C"/>
    <w:rsid w:val="00B0357E"/>
    <w:rsid w:val="00B06919"/>
    <w:rsid w:val="00B106D5"/>
    <w:rsid w:val="00B236A0"/>
    <w:rsid w:val="00B34946"/>
    <w:rsid w:val="00B35D75"/>
    <w:rsid w:val="00B60585"/>
    <w:rsid w:val="00B629C6"/>
    <w:rsid w:val="00B66C18"/>
    <w:rsid w:val="00B72C71"/>
    <w:rsid w:val="00B76A7C"/>
    <w:rsid w:val="00B77253"/>
    <w:rsid w:val="00B843D5"/>
    <w:rsid w:val="00B94329"/>
    <w:rsid w:val="00B94C68"/>
    <w:rsid w:val="00B969DD"/>
    <w:rsid w:val="00BA240C"/>
    <w:rsid w:val="00BA5290"/>
    <w:rsid w:val="00BC1104"/>
    <w:rsid w:val="00BC587A"/>
    <w:rsid w:val="00BD2E91"/>
    <w:rsid w:val="00BD59E1"/>
    <w:rsid w:val="00BF24A2"/>
    <w:rsid w:val="00C018F4"/>
    <w:rsid w:val="00C02D11"/>
    <w:rsid w:val="00C154D5"/>
    <w:rsid w:val="00C158F7"/>
    <w:rsid w:val="00C201CB"/>
    <w:rsid w:val="00C45FC0"/>
    <w:rsid w:val="00C46704"/>
    <w:rsid w:val="00C55E58"/>
    <w:rsid w:val="00C63019"/>
    <w:rsid w:val="00C66E51"/>
    <w:rsid w:val="00C703C7"/>
    <w:rsid w:val="00C81F35"/>
    <w:rsid w:val="00CA6E79"/>
    <w:rsid w:val="00CB0EB5"/>
    <w:rsid w:val="00CB78E2"/>
    <w:rsid w:val="00CB7D6C"/>
    <w:rsid w:val="00CC246F"/>
    <w:rsid w:val="00CE5C74"/>
    <w:rsid w:val="00CE77DE"/>
    <w:rsid w:val="00D239A7"/>
    <w:rsid w:val="00D26F6B"/>
    <w:rsid w:val="00D27ED3"/>
    <w:rsid w:val="00D31DA8"/>
    <w:rsid w:val="00D3424B"/>
    <w:rsid w:val="00D3458C"/>
    <w:rsid w:val="00D36FA6"/>
    <w:rsid w:val="00D46EA9"/>
    <w:rsid w:val="00D602C2"/>
    <w:rsid w:val="00D61875"/>
    <w:rsid w:val="00D74548"/>
    <w:rsid w:val="00D7667E"/>
    <w:rsid w:val="00D8245F"/>
    <w:rsid w:val="00D947B9"/>
    <w:rsid w:val="00DB4F83"/>
    <w:rsid w:val="00DB508E"/>
    <w:rsid w:val="00DB661E"/>
    <w:rsid w:val="00DC24C6"/>
    <w:rsid w:val="00DD2367"/>
    <w:rsid w:val="00DD747F"/>
    <w:rsid w:val="00DE14E1"/>
    <w:rsid w:val="00DE206D"/>
    <w:rsid w:val="00DE25A7"/>
    <w:rsid w:val="00DF1A17"/>
    <w:rsid w:val="00E043AE"/>
    <w:rsid w:val="00E04D6E"/>
    <w:rsid w:val="00E1389B"/>
    <w:rsid w:val="00E179BB"/>
    <w:rsid w:val="00E208C2"/>
    <w:rsid w:val="00E27C8E"/>
    <w:rsid w:val="00E32C06"/>
    <w:rsid w:val="00E34D8A"/>
    <w:rsid w:val="00E623BF"/>
    <w:rsid w:val="00E867A8"/>
    <w:rsid w:val="00E94077"/>
    <w:rsid w:val="00EA0493"/>
    <w:rsid w:val="00EB5C0B"/>
    <w:rsid w:val="00EC7B91"/>
    <w:rsid w:val="00ED1690"/>
    <w:rsid w:val="00EE2A38"/>
    <w:rsid w:val="00F014D4"/>
    <w:rsid w:val="00F03156"/>
    <w:rsid w:val="00F07C9E"/>
    <w:rsid w:val="00F33D70"/>
    <w:rsid w:val="00F34E38"/>
    <w:rsid w:val="00F560C5"/>
    <w:rsid w:val="00F66CCB"/>
    <w:rsid w:val="00F7408D"/>
    <w:rsid w:val="00F81FDC"/>
    <w:rsid w:val="00F91B8A"/>
    <w:rsid w:val="00F93116"/>
    <w:rsid w:val="00F93D1D"/>
    <w:rsid w:val="00FB3144"/>
    <w:rsid w:val="00FB479D"/>
    <w:rsid w:val="00FB5096"/>
    <w:rsid w:val="00FC5DBD"/>
    <w:rsid w:val="00FD0538"/>
    <w:rsid w:val="00FE0D0F"/>
    <w:rsid w:val="00FE4A58"/>
    <w:rsid w:val="00FE64AD"/>
    <w:rsid w:val="00FF1641"/>
    <w:rsid w:val="00FF205E"/>
    <w:rsid w:val="00FF4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084857B"/>
  <w15:chartTrackingRefBased/>
  <w15:docId w15:val="{FC11456A-E1C5-46EF-9AE9-62420E70C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0C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30C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30C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0C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0C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0C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0C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0C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0C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0C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0C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0C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0C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0C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0C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0C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0C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0C04"/>
    <w:rPr>
      <w:rFonts w:eastAsiaTheme="majorEastAsia" w:cstheme="majorBidi"/>
      <w:color w:val="272727" w:themeColor="text1" w:themeTint="D8"/>
    </w:rPr>
  </w:style>
  <w:style w:type="paragraph" w:styleId="Title">
    <w:name w:val="Title"/>
    <w:basedOn w:val="Normal"/>
    <w:next w:val="Normal"/>
    <w:link w:val="TitleChar"/>
    <w:uiPriority w:val="10"/>
    <w:qFormat/>
    <w:rsid w:val="00730C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0C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0C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0C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0C04"/>
    <w:pPr>
      <w:spacing w:before="160"/>
      <w:jc w:val="center"/>
    </w:pPr>
    <w:rPr>
      <w:i/>
      <w:iCs/>
      <w:color w:val="404040" w:themeColor="text1" w:themeTint="BF"/>
    </w:rPr>
  </w:style>
  <w:style w:type="character" w:customStyle="1" w:styleId="QuoteChar">
    <w:name w:val="Quote Char"/>
    <w:basedOn w:val="DefaultParagraphFont"/>
    <w:link w:val="Quote"/>
    <w:uiPriority w:val="29"/>
    <w:rsid w:val="00730C04"/>
    <w:rPr>
      <w:i/>
      <w:iCs/>
      <w:color w:val="404040" w:themeColor="text1" w:themeTint="BF"/>
    </w:rPr>
  </w:style>
  <w:style w:type="paragraph" w:styleId="ListParagraph">
    <w:name w:val="List Paragraph"/>
    <w:basedOn w:val="Normal"/>
    <w:uiPriority w:val="34"/>
    <w:qFormat/>
    <w:rsid w:val="00730C04"/>
    <w:pPr>
      <w:ind w:left="720"/>
      <w:contextualSpacing/>
    </w:pPr>
  </w:style>
  <w:style w:type="character" w:styleId="IntenseEmphasis">
    <w:name w:val="Intense Emphasis"/>
    <w:basedOn w:val="DefaultParagraphFont"/>
    <w:uiPriority w:val="21"/>
    <w:qFormat/>
    <w:rsid w:val="00730C04"/>
    <w:rPr>
      <w:i/>
      <w:iCs/>
      <w:color w:val="0F4761" w:themeColor="accent1" w:themeShade="BF"/>
    </w:rPr>
  </w:style>
  <w:style w:type="paragraph" w:styleId="IntenseQuote">
    <w:name w:val="Intense Quote"/>
    <w:basedOn w:val="Normal"/>
    <w:next w:val="Normal"/>
    <w:link w:val="IntenseQuoteChar"/>
    <w:uiPriority w:val="30"/>
    <w:qFormat/>
    <w:rsid w:val="00730C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0C04"/>
    <w:rPr>
      <w:i/>
      <w:iCs/>
      <w:color w:val="0F4761" w:themeColor="accent1" w:themeShade="BF"/>
    </w:rPr>
  </w:style>
  <w:style w:type="character" w:styleId="IntenseReference">
    <w:name w:val="Intense Reference"/>
    <w:basedOn w:val="DefaultParagraphFont"/>
    <w:uiPriority w:val="32"/>
    <w:qFormat/>
    <w:rsid w:val="00730C04"/>
    <w:rPr>
      <w:b/>
      <w:bCs/>
      <w:smallCaps/>
      <w:color w:val="0F4761" w:themeColor="accent1" w:themeShade="BF"/>
      <w:spacing w:val="5"/>
    </w:rPr>
  </w:style>
  <w:style w:type="paragraph" w:customStyle="1" w:styleId="BodyA">
    <w:name w:val="Body A"/>
    <w:rsid w:val="00FE4A58"/>
    <w:pPr>
      <w:pBdr>
        <w:top w:val="nil"/>
        <w:left w:val="nil"/>
        <w:bottom w:val="nil"/>
        <w:right w:val="nil"/>
        <w:between w:val="nil"/>
        <w:bar w:val="nil"/>
      </w:pBdr>
    </w:pPr>
    <w:rPr>
      <w:rFonts w:ascii="Calibri" w:eastAsia="Arial Unicode MS" w:hAnsi="Calibri" w:cs="Arial Unicode MS"/>
      <w:color w:val="000000"/>
      <w:kern w:val="0"/>
      <w:u w:color="000000"/>
      <w:bdr w:val="nil"/>
      <w:lang w:val="en-US" w:eastAsia="zh-CN"/>
      <w14:textOutline w14:w="12700" w14:cap="flat" w14:cmpd="sng" w14:algn="ctr">
        <w14:noFill/>
        <w14:prstDash w14:val="solid"/>
        <w14:miter w14:lim="400000"/>
      </w14:textOutline>
      <w14:ligatures w14:val="none"/>
    </w:rPr>
  </w:style>
  <w:style w:type="paragraph" w:styleId="Header">
    <w:name w:val="header"/>
    <w:basedOn w:val="Normal"/>
    <w:link w:val="HeaderChar"/>
    <w:uiPriority w:val="99"/>
    <w:unhideWhenUsed/>
    <w:rsid w:val="002942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294276"/>
  </w:style>
  <w:style w:type="paragraph" w:styleId="Footer">
    <w:name w:val="footer"/>
    <w:basedOn w:val="Normal"/>
    <w:link w:val="FooterChar"/>
    <w:uiPriority w:val="99"/>
    <w:unhideWhenUsed/>
    <w:rsid w:val="002942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294276"/>
  </w:style>
  <w:style w:type="table" w:styleId="TableGrid">
    <w:name w:val="Table Grid"/>
    <w:basedOn w:val="TableNormal"/>
    <w:uiPriority w:val="39"/>
    <w:rsid w:val="00157E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A720C"/>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07097460">
      <w:bodyDiv w:val="1"/>
      <w:marLeft w:val="0"/>
      <w:marRight w:val="0"/>
      <w:marTop w:val="0"/>
      <w:marBottom w:val="0"/>
      <w:divBdr>
        <w:top w:val="none" w:sz="0" w:space="0" w:color="auto"/>
        <w:left w:val="none" w:sz="0" w:space="0" w:color="auto"/>
        <w:bottom w:val="none" w:sz="0" w:space="0" w:color="auto"/>
        <w:right w:val="none" w:sz="0" w:space="0" w:color="auto"/>
      </w:divBdr>
      <w:divsChild>
        <w:div w:id="349257083">
          <w:marLeft w:val="0"/>
          <w:marRight w:val="0"/>
          <w:marTop w:val="0"/>
          <w:marBottom w:val="0"/>
          <w:divBdr>
            <w:top w:val="none" w:sz="0" w:space="0" w:color="auto"/>
            <w:left w:val="none" w:sz="0" w:space="0" w:color="auto"/>
            <w:bottom w:val="none" w:sz="0" w:space="0" w:color="auto"/>
            <w:right w:val="none" w:sz="0" w:space="0" w:color="auto"/>
          </w:divBdr>
        </w:div>
      </w:divsChild>
    </w:div>
    <w:div w:id="10200836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1182</TotalTime>
  <Pages>18</Pages>
  <Words>6122</Words>
  <Characters>36797</Characters>
  <Application>Microsoft Office Word</Application>
  <DocSecurity>0</DocSecurity>
  <Lines>645</Lines>
  <Paragraphs>121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Cerys Stephens</dc:creator>
  <cp:keywords/>
  <dc:description/>
  <cp:lastModifiedBy>Cerys Stephens</cp:lastModifiedBy>
  <cp:revision>295</cp:revision>
  <dcterms:created xsi:type="dcterms:W3CDTF">2024-04-08T12:28:00Z</dcterms:created>
  <dcterms:modified xsi:type="dcterms:W3CDTF">2024-04-15T17:00:00Z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060e8dda-ef57-4d82-91c1-03d81364e1bf</vt:lpwstr>
  </property>
</Properties>
</file>