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9D1D95" w14:textId="77777777" w:rsidR="001D2C76" w:rsidRDefault="001D2C76" w:rsidP="001D2C76">
      <w:pPr>
        <w:rPr>
          <w:rFonts w:ascii="Arial" w:hAnsi="Arial" w:cs="Arial"/>
        </w:rPr>
      </w:pPr>
      <w:bookmarkStart w:id="0" w:name="_Hlk120632691"/>
      <w:bookmarkEnd w:id="0"/>
    </w:p>
    <w:p w14:paraId="7884D7DC" w14:textId="77777777" w:rsidR="001D2C76" w:rsidRDefault="001D2C76" w:rsidP="001D2C76">
      <w:pPr>
        <w:rPr>
          <w:rFonts w:ascii="Arial" w:hAnsi="Arial" w:cs="Arial"/>
        </w:rPr>
      </w:pPr>
    </w:p>
    <w:p w14:paraId="1B5A0125" w14:textId="77777777" w:rsidR="001D2C76" w:rsidRDefault="001D2C76" w:rsidP="001D2C76">
      <w:pPr>
        <w:rPr>
          <w:rFonts w:ascii="Arial" w:hAnsi="Arial" w:cs="Arial"/>
        </w:rPr>
      </w:pPr>
    </w:p>
    <w:p w14:paraId="66EAA368" w14:textId="77777777" w:rsidR="001D2C76" w:rsidRDefault="001D2C76" w:rsidP="001D2C76">
      <w:pPr>
        <w:rPr>
          <w:rFonts w:ascii="Arial" w:hAnsi="Arial" w:cs="Arial"/>
        </w:rPr>
      </w:pPr>
    </w:p>
    <w:p w14:paraId="528BCB1C" w14:textId="77777777" w:rsidR="001D2C76" w:rsidRDefault="001D2C76" w:rsidP="001D2C76">
      <w:pPr>
        <w:rPr>
          <w:rFonts w:ascii="Arial" w:hAnsi="Arial" w:cs="Arial"/>
        </w:rPr>
      </w:pPr>
    </w:p>
    <w:p w14:paraId="57FBD473" w14:textId="77777777" w:rsidR="001D2C76" w:rsidRDefault="001D2C76" w:rsidP="001D2C76">
      <w:pPr>
        <w:rPr>
          <w:rFonts w:ascii="Arial" w:hAnsi="Arial" w:cs="Arial"/>
        </w:rPr>
      </w:pPr>
    </w:p>
    <w:p w14:paraId="73123377" w14:textId="77777777" w:rsidR="001D2C76" w:rsidRDefault="001D2C76" w:rsidP="001D2C76">
      <w:pPr>
        <w:rPr>
          <w:rFonts w:ascii="Arial" w:hAnsi="Arial" w:cs="Arial"/>
        </w:rPr>
      </w:pPr>
    </w:p>
    <w:p w14:paraId="1C4D4775" w14:textId="77777777" w:rsidR="001D2C76" w:rsidRDefault="001D2C76" w:rsidP="001D2C76">
      <w:pPr>
        <w:rPr>
          <w:rFonts w:ascii="Arial" w:hAnsi="Arial" w:cs="Arial"/>
        </w:rPr>
      </w:pPr>
    </w:p>
    <w:p w14:paraId="5BBB0448" w14:textId="77777777" w:rsidR="001D2C76" w:rsidRPr="00596CFD" w:rsidRDefault="001D2C76" w:rsidP="001D2C76">
      <w:pPr>
        <w:rPr>
          <w:rFonts w:ascii="Arial" w:hAnsi="Arial" w:cs="Arial"/>
        </w:rPr>
      </w:pPr>
    </w:p>
    <w:p w14:paraId="30A02183" w14:textId="77777777" w:rsidR="001D2C76" w:rsidRPr="00482F0C" w:rsidRDefault="001D2C76" w:rsidP="001D2C76">
      <w:pPr>
        <w:spacing w:line="360" w:lineRule="auto"/>
        <w:rPr>
          <w:rFonts w:ascii="Arial" w:hAnsi="Arial" w:cs="Arial"/>
          <w:sz w:val="28"/>
          <w:szCs w:val="28"/>
        </w:rPr>
      </w:pPr>
    </w:p>
    <w:p w14:paraId="0A3272E3" w14:textId="77777777" w:rsidR="001D2C76" w:rsidRPr="00482F0C" w:rsidRDefault="001D2C76" w:rsidP="001D2C76">
      <w:pPr>
        <w:spacing w:line="360" w:lineRule="auto"/>
        <w:rPr>
          <w:rFonts w:ascii="Arial" w:hAnsi="Arial" w:cs="Arial"/>
          <w:sz w:val="28"/>
          <w:szCs w:val="28"/>
        </w:rPr>
      </w:pPr>
    </w:p>
    <w:p w14:paraId="4C6E2F34" w14:textId="77777777" w:rsidR="001D2C76" w:rsidRPr="00482F0C" w:rsidRDefault="001D2C76" w:rsidP="001D2C76">
      <w:pPr>
        <w:spacing w:line="360" w:lineRule="auto"/>
        <w:jc w:val="center"/>
        <w:rPr>
          <w:rFonts w:ascii="Arial" w:hAnsi="Arial" w:cs="Arial"/>
          <w:sz w:val="28"/>
          <w:szCs w:val="28"/>
        </w:rPr>
      </w:pPr>
      <w:r w:rsidRPr="00482F0C">
        <w:rPr>
          <w:rFonts w:ascii="Arial" w:hAnsi="Arial" w:cs="Arial"/>
          <w:sz w:val="28"/>
          <w:szCs w:val="28"/>
        </w:rPr>
        <w:t xml:space="preserve">Topic: </w:t>
      </w:r>
      <w:r>
        <w:rPr>
          <w:rFonts w:ascii="Arial" w:hAnsi="Arial" w:cs="Arial"/>
          <w:sz w:val="28"/>
          <w:szCs w:val="28"/>
        </w:rPr>
        <w:t>How to engage employees of Generation Zs throughout the employee lifecycle?</w:t>
      </w:r>
    </w:p>
    <w:p w14:paraId="3A15B555" w14:textId="77777777" w:rsidR="001D2C76" w:rsidRPr="00482F0C" w:rsidRDefault="001D2C76" w:rsidP="001D2C76">
      <w:pPr>
        <w:spacing w:line="360" w:lineRule="auto"/>
        <w:jc w:val="center"/>
        <w:rPr>
          <w:rFonts w:ascii="Arial" w:hAnsi="Arial" w:cs="Arial"/>
          <w:sz w:val="28"/>
          <w:szCs w:val="28"/>
        </w:rPr>
      </w:pPr>
    </w:p>
    <w:p w14:paraId="6DDA56BE" w14:textId="77777777" w:rsidR="001D2C76" w:rsidRPr="00482F0C" w:rsidRDefault="001D2C76" w:rsidP="001D2C76">
      <w:pPr>
        <w:spacing w:line="360" w:lineRule="auto"/>
        <w:jc w:val="center"/>
        <w:rPr>
          <w:rFonts w:ascii="Arial" w:hAnsi="Arial" w:cs="Arial"/>
          <w:sz w:val="28"/>
          <w:szCs w:val="28"/>
        </w:rPr>
      </w:pPr>
      <w:r w:rsidRPr="00482F0C">
        <w:rPr>
          <w:rFonts w:ascii="Arial" w:hAnsi="Arial" w:cs="Arial"/>
          <w:sz w:val="28"/>
          <w:szCs w:val="28"/>
        </w:rPr>
        <w:t xml:space="preserve">Module Title : </w:t>
      </w:r>
      <w:r>
        <w:rPr>
          <w:rFonts w:ascii="Arial" w:hAnsi="Arial" w:cs="Arial"/>
          <w:sz w:val="28"/>
          <w:szCs w:val="28"/>
        </w:rPr>
        <w:t>Personnel Resourcing &amp; Development</w:t>
      </w:r>
      <w:r w:rsidRPr="00482F0C">
        <w:rPr>
          <w:rFonts w:ascii="Arial" w:hAnsi="Arial" w:cs="Arial"/>
          <w:sz w:val="28"/>
          <w:szCs w:val="28"/>
        </w:rPr>
        <w:t xml:space="preserve"> BMIH500</w:t>
      </w:r>
      <w:r>
        <w:rPr>
          <w:rFonts w:ascii="Arial" w:hAnsi="Arial" w:cs="Arial"/>
          <w:sz w:val="28"/>
          <w:szCs w:val="28"/>
        </w:rPr>
        <w:t>5</w:t>
      </w:r>
    </w:p>
    <w:p w14:paraId="6C3EA132" w14:textId="77777777" w:rsidR="001D2C76" w:rsidRPr="00482F0C" w:rsidRDefault="001D2C76" w:rsidP="001D2C76">
      <w:pPr>
        <w:spacing w:line="360" w:lineRule="auto"/>
        <w:jc w:val="center"/>
        <w:rPr>
          <w:rFonts w:ascii="Arial" w:hAnsi="Arial" w:cs="Arial"/>
          <w:sz w:val="28"/>
          <w:szCs w:val="28"/>
        </w:rPr>
      </w:pPr>
      <w:r w:rsidRPr="00482F0C">
        <w:rPr>
          <w:rFonts w:ascii="Arial" w:hAnsi="Arial" w:cs="Arial"/>
          <w:sz w:val="28"/>
          <w:szCs w:val="28"/>
        </w:rPr>
        <w:t xml:space="preserve">Lecturer’s Name : </w:t>
      </w:r>
      <w:r>
        <w:rPr>
          <w:rFonts w:ascii="Arial" w:hAnsi="Arial" w:cs="Arial"/>
          <w:sz w:val="28"/>
          <w:szCs w:val="28"/>
        </w:rPr>
        <w:t>Helen Lee</w:t>
      </w:r>
    </w:p>
    <w:p w14:paraId="39BAE3D7" w14:textId="77777777" w:rsidR="001D2C76" w:rsidRPr="00482F0C" w:rsidRDefault="001D2C76" w:rsidP="001D2C76">
      <w:pPr>
        <w:spacing w:line="360" w:lineRule="auto"/>
        <w:jc w:val="center"/>
        <w:rPr>
          <w:rFonts w:ascii="Arial" w:hAnsi="Arial" w:cs="Arial"/>
          <w:sz w:val="28"/>
          <w:szCs w:val="28"/>
        </w:rPr>
      </w:pPr>
      <w:r w:rsidRPr="00482F0C">
        <w:rPr>
          <w:rFonts w:ascii="Arial" w:hAnsi="Arial" w:cs="Arial"/>
          <w:sz w:val="28"/>
          <w:szCs w:val="28"/>
        </w:rPr>
        <w:t>Student’s Name : Gabriela Catalina Dumitru</w:t>
      </w:r>
    </w:p>
    <w:p w14:paraId="51C37F81" w14:textId="77777777" w:rsidR="001D2C76" w:rsidRPr="00482F0C" w:rsidRDefault="001D2C76" w:rsidP="001D2C76">
      <w:pPr>
        <w:spacing w:line="360" w:lineRule="auto"/>
        <w:jc w:val="center"/>
        <w:rPr>
          <w:rFonts w:ascii="Arial" w:hAnsi="Arial" w:cs="Arial"/>
          <w:sz w:val="28"/>
          <w:szCs w:val="28"/>
        </w:rPr>
      </w:pPr>
      <w:r w:rsidRPr="00482F0C">
        <w:rPr>
          <w:rFonts w:ascii="Arial" w:hAnsi="Arial" w:cs="Arial"/>
          <w:sz w:val="28"/>
          <w:szCs w:val="28"/>
        </w:rPr>
        <w:t>Student ID : 2209716</w:t>
      </w:r>
    </w:p>
    <w:p w14:paraId="53FF4DE1" w14:textId="77777777" w:rsidR="001D2C76" w:rsidRPr="00482F0C" w:rsidRDefault="001D2C76" w:rsidP="001D2C76">
      <w:pPr>
        <w:spacing w:line="360" w:lineRule="auto"/>
        <w:jc w:val="center"/>
        <w:rPr>
          <w:rFonts w:ascii="Arial" w:hAnsi="Arial" w:cs="Arial"/>
          <w:sz w:val="28"/>
          <w:szCs w:val="28"/>
        </w:rPr>
      </w:pPr>
      <w:r w:rsidRPr="00482F0C">
        <w:rPr>
          <w:rFonts w:ascii="Arial" w:hAnsi="Arial" w:cs="Arial"/>
          <w:sz w:val="28"/>
          <w:szCs w:val="28"/>
        </w:rPr>
        <w:t>Date : 2</w:t>
      </w:r>
      <w:r>
        <w:rPr>
          <w:rFonts w:ascii="Arial" w:hAnsi="Arial" w:cs="Arial"/>
          <w:sz w:val="28"/>
          <w:szCs w:val="28"/>
        </w:rPr>
        <w:t>2</w:t>
      </w:r>
      <w:r w:rsidRPr="00482F0C">
        <w:rPr>
          <w:rFonts w:ascii="Arial" w:hAnsi="Arial" w:cs="Arial"/>
          <w:sz w:val="28"/>
          <w:szCs w:val="28"/>
        </w:rPr>
        <w:t>.10.2023</w:t>
      </w:r>
    </w:p>
    <w:p w14:paraId="045B9EA9" w14:textId="77777777" w:rsidR="001D2C76" w:rsidRPr="00482F0C" w:rsidRDefault="001D2C76" w:rsidP="001D2C76">
      <w:pPr>
        <w:spacing w:line="360" w:lineRule="auto"/>
        <w:jc w:val="center"/>
        <w:rPr>
          <w:rFonts w:ascii="Arial" w:hAnsi="Arial" w:cs="Arial"/>
          <w:sz w:val="28"/>
          <w:szCs w:val="28"/>
        </w:rPr>
      </w:pPr>
      <w:r w:rsidRPr="00482F0C">
        <w:rPr>
          <w:rFonts w:ascii="Arial" w:hAnsi="Arial" w:cs="Arial"/>
          <w:sz w:val="28"/>
          <w:szCs w:val="28"/>
        </w:rPr>
        <w:t xml:space="preserve">Wordcount : </w:t>
      </w:r>
      <w:r>
        <w:rPr>
          <w:rFonts w:ascii="Arial" w:hAnsi="Arial" w:cs="Arial"/>
          <w:sz w:val="28"/>
          <w:szCs w:val="28"/>
        </w:rPr>
        <w:t>21</w:t>
      </w:r>
      <w:r w:rsidRPr="00482F0C">
        <w:rPr>
          <w:rFonts w:ascii="Arial" w:hAnsi="Arial" w:cs="Arial"/>
          <w:sz w:val="28"/>
          <w:szCs w:val="28"/>
        </w:rPr>
        <w:t>8</w:t>
      </w:r>
      <w:r>
        <w:rPr>
          <w:rFonts w:ascii="Arial" w:hAnsi="Arial" w:cs="Arial"/>
          <w:sz w:val="28"/>
          <w:szCs w:val="28"/>
        </w:rPr>
        <w:t>9</w:t>
      </w:r>
      <w:r w:rsidRPr="00482F0C">
        <w:rPr>
          <w:rFonts w:ascii="Arial" w:hAnsi="Arial" w:cs="Arial"/>
          <w:sz w:val="28"/>
          <w:szCs w:val="28"/>
        </w:rPr>
        <w:t xml:space="preserve"> words</w:t>
      </w:r>
    </w:p>
    <w:p w14:paraId="49E27EC7" w14:textId="77777777" w:rsidR="001D2C76" w:rsidRPr="00482F0C" w:rsidRDefault="001D2C76" w:rsidP="001D2C76">
      <w:pPr>
        <w:spacing w:line="360" w:lineRule="auto"/>
        <w:jc w:val="center"/>
        <w:rPr>
          <w:rFonts w:ascii="Arial" w:hAnsi="Arial" w:cs="Arial"/>
          <w:sz w:val="28"/>
          <w:szCs w:val="28"/>
        </w:rPr>
      </w:pPr>
    </w:p>
    <w:p w14:paraId="112679C7" w14:textId="77777777" w:rsidR="001D2C76" w:rsidRPr="00482F0C" w:rsidRDefault="001D2C76" w:rsidP="001D2C76">
      <w:pPr>
        <w:spacing w:line="360" w:lineRule="auto"/>
        <w:jc w:val="center"/>
        <w:rPr>
          <w:rFonts w:ascii="Arial" w:hAnsi="Arial" w:cs="Arial"/>
          <w:sz w:val="28"/>
          <w:szCs w:val="28"/>
        </w:rPr>
      </w:pPr>
    </w:p>
    <w:p w14:paraId="0C1A86D6" w14:textId="77777777" w:rsidR="001D2C76" w:rsidRPr="00482F0C" w:rsidRDefault="001D2C76" w:rsidP="001D2C76">
      <w:pPr>
        <w:spacing w:line="360" w:lineRule="auto"/>
        <w:jc w:val="center"/>
        <w:rPr>
          <w:rFonts w:ascii="Arial" w:hAnsi="Arial" w:cs="Arial"/>
          <w:sz w:val="28"/>
          <w:szCs w:val="28"/>
        </w:rPr>
      </w:pPr>
    </w:p>
    <w:p w14:paraId="70B3746A" w14:textId="77777777" w:rsidR="001D2C76" w:rsidRDefault="001D2C76" w:rsidP="001D2C76">
      <w:pPr>
        <w:jc w:val="center"/>
        <w:rPr>
          <w:rFonts w:ascii="Arial" w:hAnsi="Arial" w:cs="Arial"/>
          <w:sz w:val="24"/>
          <w:szCs w:val="24"/>
        </w:rPr>
      </w:pPr>
    </w:p>
    <w:p w14:paraId="2F85FAF3" w14:textId="77777777" w:rsidR="001D2C76" w:rsidRDefault="001D2C76" w:rsidP="001D2C76">
      <w:pPr>
        <w:jc w:val="center"/>
        <w:rPr>
          <w:rFonts w:ascii="Arial" w:hAnsi="Arial" w:cs="Arial"/>
          <w:sz w:val="24"/>
          <w:szCs w:val="24"/>
        </w:rPr>
      </w:pPr>
    </w:p>
    <w:p w14:paraId="41F8FA3E" w14:textId="77777777" w:rsidR="001D2C76" w:rsidRPr="00596CFD" w:rsidRDefault="001D2C76" w:rsidP="001D2C76">
      <w:pPr>
        <w:jc w:val="center"/>
        <w:rPr>
          <w:rFonts w:ascii="Arial" w:hAnsi="Arial" w:cs="Arial"/>
          <w:sz w:val="24"/>
          <w:szCs w:val="24"/>
        </w:rPr>
      </w:pPr>
    </w:p>
    <w:p w14:paraId="07A4FEAF" w14:textId="77777777" w:rsidR="001D2C76" w:rsidRDefault="001D2C76" w:rsidP="001D2C76">
      <w:pPr>
        <w:jc w:val="center"/>
        <w:rPr>
          <w:rFonts w:ascii="Arial" w:hAnsi="Arial" w:cs="Arial"/>
          <w:sz w:val="24"/>
          <w:szCs w:val="24"/>
        </w:rPr>
      </w:pPr>
    </w:p>
    <w:p w14:paraId="5FCB311A" w14:textId="77777777" w:rsidR="001D2C76" w:rsidRDefault="001D2C76" w:rsidP="001D2C76">
      <w:pPr>
        <w:jc w:val="center"/>
        <w:rPr>
          <w:rFonts w:ascii="Arial" w:hAnsi="Arial" w:cs="Arial"/>
          <w:sz w:val="24"/>
          <w:szCs w:val="24"/>
        </w:rPr>
      </w:pPr>
    </w:p>
    <w:p w14:paraId="11278EC3" w14:textId="77777777" w:rsidR="001D2C76" w:rsidRDefault="001D2C76" w:rsidP="001D2C76">
      <w:pPr>
        <w:jc w:val="center"/>
        <w:rPr>
          <w:rFonts w:ascii="Arial" w:hAnsi="Arial" w:cs="Arial"/>
          <w:sz w:val="24"/>
          <w:szCs w:val="24"/>
        </w:rPr>
      </w:pPr>
    </w:p>
    <w:p w14:paraId="359C79ED" w14:textId="77777777" w:rsidR="001D2C76" w:rsidRPr="00596CFD" w:rsidRDefault="001D2C76" w:rsidP="001D2C76">
      <w:pPr>
        <w:jc w:val="center"/>
        <w:rPr>
          <w:rFonts w:ascii="Arial" w:hAnsi="Arial" w:cs="Arial"/>
          <w:sz w:val="24"/>
          <w:szCs w:val="24"/>
        </w:rPr>
      </w:pPr>
    </w:p>
    <w:p w14:paraId="4EFE3D95" w14:textId="77777777" w:rsidR="001D2C76" w:rsidRDefault="001D2C76" w:rsidP="001D2C76">
      <w:pPr>
        <w:jc w:val="both"/>
        <w:rPr>
          <w:rFonts w:ascii="Arial" w:hAnsi="Arial" w:cs="Arial"/>
        </w:rPr>
      </w:pPr>
    </w:p>
    <w:p w14:paraId="0A8D57B9" w14:textId="77777777" w:rsidR="001D2C76" w:rsidRDefault="001D2C76" w:rsidP="001D2C76">
      <w:pPr>
        <w:spacing w:line="360" w:lineRule="auto"/>
        <w:jc w:val="both"/>
        <w:rPr>
          <w:rFonts w:ascii="Arial" w:hAnsi="Arial" w:cs="Arial"/>
          <w:sz w:val="24"/>
          <w:szCs w:val="24"/>
        </w:rPr>
      </w:pPr>
    </w:p>
    <w:p w14:paraId="7E40F0C8" w14:textId="77777777" w:rsidR="00DA6363" w:rsidRDefault="00DA6363" w:rsidP="001D2C76">
      <w:pPr>
        <w:spacing w:line="360" w:lineRule="auto"/>
        <w:jc w:val="both"/>
        <w:rPr>
          <w:rFonts w:ascii="Arial" w:hAnsi="Arial" w:cs="Arial"/>
          <w:sz w:val="24"/>
          <w:szCs w:val="24"/>
        </w:rPr>
      </w:pPr>
    </w:p>
    <w:p w14:paraId="79A175E0" w14:textId="77777777" w:rsidR="00DA6363" w:rsidRPr="00C6089B" w:rsidRDefault="00DA6363" w:rsidP="001D2C76">
      <w:pPr>
        <w:spacing w:line="360" w:lineRule="auto"/>
        <w:jc w:val="both"/>
        <w:rPr>
          <w:rFonts w:ascii="Arial" w:hAnsi="Arial" w:cs="Arial"/>
          <w:sz w:val="24"/>
          <w:szCs w:val="24"/>
        </w:rPr>
      </w:pPr>
    </w:p>
    <w:p w14:paraId="6B6AF878" w14:textId="2A20469E" w:rsidR="001D2C76" w:rsidRPr="00C6089B" w:rsidRDefault="001D2C76" w:rsidP="001D2C76">
      <w:pPr>
        <w:spacing w:line="360" w:lineRule="auto"/>
        <w:jc w:val="both"/>
        <w:rPr>
          <w:rFonts w:ascii="Arial" w:hAnsi="Arial" w:cs="Arial"/>
          <w:sz w:val="24"/>
          <w:szCs w:val="24"/>
        </w:rPr>
      </w:pPr>
      <w:r w:rsidRPr="00C6089B">
        <w:rPr>
          <w:rFonts w:ascii="Arial" w:hAnsi="Arial" w:cs="Arial"/>
          <w:sz w:val="24"/>
          <w:szCs w:val="24"/>
        </w:rPr>
        <w:lastRenderedPageBreak/>
        <w:t xml:space="preserve">The </w:t>
      </w:r>
      <w:r w:rsidR="00581DFA">
        <w:rPr>
          <w:rFonts w:ascii="Arial" w:hAnsi="Arial" w:cs="Arial"/>
          <w:sz w:val="24"/>
          <w:szCs w:val="24"/>
        </w:rPr>
        <w:t>aim</w:t>
      </w:r>
      <w:r w:rsidRPr="00C6089B">
        <w:rPr>
          <w:rFonts w:ascii="Arial" w:hAnsi="Arial" w:cs="Arial"/>
          <w:sz w:val="24"/>
          <w:szCs w:val="24"/>
        </w:rPr>
        <w:t xml:space="preserve"> of this </w:t>
      </w:r>
      <w:r w:rsidR="00581DFA">
        <w:rPr>
          <w:rFonts w:ascii="Arial" w:hAnsi="Arial" w:cs="Arial"/>
          <w:sz w:val="24"/>
          <w:szCs w:val="24"/>
        </w:rPr>
        <w:t>report</w:t>
      </w:r>
      <w:r w:rsidRPr="00C6089B">
        <w:rPr>
          <w:rFonts w:ascii="Arial" w:hAnsi="Arial" w:cs="Arial"/>
          <w:sz w:val="24"/>
          <w:szCs w:val="24"/>
        </w:rPr>
        <w:t xml:space="preserve"> is to identify the role, the method and details that hotel Human Resource department must put in place in all stages of employee cycle, considering componence of personnel and their characteristics, detailing “intra-generational differences among generation Z employees in order to identify the subjective workplace perceptions and proclivities[..]. These results present HR practitioners, employers, and managers with a new perspective on the distinct generation units within generation Z, including intra- and intergenerational overlap.”(Leslie,2021, p.1).</w:t>
      </w:r>
    </w:p>
    <w:p w14:paraId="01CB1081" w14:textId="37CEAEEF" w:rsidR="001D2C76" w:rsidRPr="00C6089B" w:rsidRDefault="001D2C76" w:rsidP="001D2C76">
      <w:pPr>
        <w:spacing w:line="360" w:lineRule="auto"/>
        <w:jc w:val="both"/>
        <w:rPr>
          <w:rFonts w:ascii="Arial" w:hAnsi="Arial" w:cs="Arial"/>
          <w:sz w:val="24"/>
          <w:szCs w:val="24"/>
        </w:rPr>
      </w:pPr>
      <w:r w:rsidRPr="00C6089B">
        <w:rPr>
          <w:rFonts w:ascii="Arial" w:hAnsi="Arial" w:cs="Arial"/>
          <w:sz w:val="24"/>
          <w:szCs w:val="24"/>
        </w:rPr>
        <w:t>In a hotel, the Human Resources (HR) department plays a crucial role in engaging people, both employees and guests. HR is responsible for hiring the right employees with the necessary skills and qualifications. They ensure that the staff is well-suited for their roles, which contributes to guest satisfaction. Well-trained staff can provide better service and engage with guests effectively. Armstrong (2013) precises HR designs and implements programs and initiatives aimed at boosting employee morale</w:t>
      </w:r>
      <w:r w:rsidR="00240717">
        <w:rPr>
          <w:rFonts w:ascii="Arial" w:hAnsi="Arial" w:cs="Arial"/>
          <w:sz w:val="24"/>
          <w:szCs w:val="24"/>
        </w:rPr>
        <w:t xml:space="preserve"> level</w:t>
      </w:r>
      <w:r w:rsidRPr="00C6089B">
        <w:rPr>
          <w:rFonts w:ascii="Arial" w:hAnsi="Arial" w:cs="Arial"/>
          <w:sz w:val="24"/>
          <w:szCs w:val="24"/>
        </w:rPr>
        <w:t xml:space="preserve"> and motivation. Engaged and satisfied employees </w:t>
      </w:r>
      <w:r w:rsidR="00390E27">
        <w:rPr>
          <w:rFonts w:ascii="Arial" w:hAnsi="Arial" w:cs="Arial"/>
          <w:sz w:val="24"/>
          <w:szCs w:val="24"/>
        </w:rPr>
        <w:t>offer</w:t>
      </w:r>
      <w:r w:rsidRPr="00C6089B">
        <w:rPr>
          <w:rFonts w:ascii="Arial" w:hAnsi="Arial" w:cs="Arial"/>
          <w:sz w:val="24"/>
          <w:szCs w:val="24"/>
        </w:rPr>
        <w:t xml:space="preserve"> exceptional service to hotel guests. Regular performance evaluations and feedback sessions are conducted by HR to recognize and reward high-performing employees. This can motivate employees to continue delivering excellent service.</w:t>
      </w:r>
      <w:r w:rsidR="00F5657C">
        <w:rPr>
          <w:rFonts w:ascii="Arial" w:hAnsi="Arial" w:cs="Arial"/>
          <w:sz w:val="24"/>
          <w:szCs w:val="24"/>
        </w:rPr>
        <w:t xml:space="preserve"> </w:t>
      </w:r>
      <w:r w:rsidRPr="00C6089B">
        <w:rPr>
          <w:rFonts w:ascii="Arial" w:hAnsi="Arial" w:cs="Arial"/>
          <w:sz w:val="24"/>
          <w:szCs w:val="24"/>
        </w:rPr>
        <w:t>HR helps to resolve conflicts and address employee concerns promptly. Torrington (2020) describe a harmonious work environment leads to better guest experiences. HR manages compensation</w:t>
      </w:r>
      <w:r w:rsidR="00B55DEA">
        <w:rPr>
          <w:rFonts w:ascii="Arial" w:hAnsi="Arial" w:cs="Arial"/>
          <w:sz w:val="24"/>
          <w:szCs w:val="24"/>
        </w:rPr>
        <w:t xml:space="preserve"> for good results</w:t>
      </w:r>
      <w:r w:rsidRPr="00C6089B">
        <w:rPr>
          <w:rFonts w:ascii="Arial" w:hAnsi="Arial" w:cs="Arial"/>
          <w:sz w:val="24"/>
          <w:szCs w:val="24"/>
        </w:rPr>
        <w:t xml:space="preserve"> and </w:t>
      </w:r>
      <w:r w:rsidR="00B55DEA">
        <w:rPr>
          <w:rFonts w:ascii="Arial" w:hAnsi="Arial" w:cs="Arial"/>
          <w:sz w:val="24"/>
          <w:szCs w:val="24"/>
        </w:rPr>
        <w:t xml:space="preserve">also </w:t>
      </w:r>
      <w:r w:rsidRPr="00C6089B">
        <w:rPr>
          <w:rFonts w:ascii="Arial" w:hAnsi="Arial" w:cs="Arial"/>
          <w:sz w:val="24"/>
          <w:szCs w:val="24"/>
        </w:rPr>
        <w:t xml:space="preserve">benefits for their work. Competitive compensation packages can attract and retain top talent. HR promotes work-life balance and employee well-being, which is essential for staff to be engaged and perform well. HR may offer training programs that teach employees how to interact with guests, handle guest complaints, and provide excellent customer service. HR ensures that the hotel workforce is diverse and inclusive. This not only aligns with modern values but also helps in engaging guests from various backgrounds. HR designs and manages programs that recognize and reward employees for their exceptional contributions. This can boost morale and engagement. Gallagher (2016) said HR develops strategies to retain talent by creating a positive and supportive work environment. Reducing employee turnover is essential in maintaining consistent guest service quality. Ensuring that the hotel complies with health and safety regulations is crucial for guest and employee well-being. HR plays a role in implementing these policies. HR facilitates effective communication within the organization. Clear and open communication channels help ensure that employees are well-informed and engaged in the hotel's mission and goals. By fulfilling these roles and responsibilities, the HR department in a hotel contributes significantly to employee engagement, which, in turn, directly impacts the overall guest experience and the success of the establishment (Marchington, 2016). These are the key functions and responsibilities of the HR department, for all employees; the method and the ways to implement in practice in this context should be in correspondence with the componence of personnel, a certain approach for each category of personnel will optimize the HR activity, guarantying the results. Is important to </w:t>
      </w:r>
      <w:r w:rsidRPr="00C6089B">
        <w:rPr>
          <w:rFonts w:ascii="Arial" w:hAnsi="Arial" w:cs="Arial"/>
          <w:sz w:val="24"/>
          <w:szCs w:val="24"/>
        </w:rPr>
        <w:lastRenderedPageBreak/>
        <w:t>understand what “defines each generation and explores similarities and differences among the four generations. [..] the generation concept and outlines the difficulties of disentangling generational effects from alternative explanations, including life stages, career stages, and period effects” (Green, 2012, p.11). A good manager should apply different measures in different circumstances, Gibson (2009) suggested a personalized approach for each group category, considering the particularities of each group, their preferences and favourite values, “suggest that managers should take these profiles into consideration when leading, motivating, and communicating with employees belonging to these generations” ( Gibson,2009, p.1).</w:t>
      </w:r>
    </w:p>
    <w:p w14:paraId="6644D08B" w14:textId="77777777" w:rsidR="001D2C76" w:rsidRPr="00C6089B" w:rsidRDefault="001D2C76" w:rsidP="001D2C76">
      <w:pPr>
        <w:spacing w:line="360" w:lineRule="auto"/>
        <w:jc w:val="both"/>
        <w:rPr>
          <w:rFonts w:ascii="Arial" w:hAnsi="Arial" w:cs="Arial"/>
          <w:sz w:val="24"/>
          <w:szCs w:val="24"/>
        </w:rPr>
      </w:pPr>
      <w:r w:rsidRPr="00C6089B">
        <w:rPr>
          <w:rFonts w:ascii="Arial" w:hAnsi="Arial" w:cs="Arial"/>
          <w:sz w:val="24"/>
          <w:szCs w:val="24"/>
        </w:rPr>
        <w:t xml:space="preserve"> Until ten years ago, Z generation wasn’t involved in work being too young. But what is Generation Z? People born between 1997 and 2013. “Generally, members of Generation Z are tech-savvy, pragmatic, open-minded, individualistic but also socially responsible (An Hodgson)” and also “For Generation Z, swiping, tapping and scrolling are about as second nature as breathing (Dara Treseder).” (https://www.merriam-webster.com/dictionary). Some particularities of this group of age will determine also the HR technique. As componence, “Results indicated three distinct subgroups within generation Z: Social Investors, Chill Worker Bees, and Go Getters. Social Investors valued a work-life balance, Chill Worker Bees desired a comfortable workplace environment, and Go Getters prioritized advancing their career. All three groups reported prioritizing companies with high moral and ethical standards” (Leslie et al, 2021). “Gen Z (1997-2013) is just now entering the labour market and employers need to be prepared for their arrival. While Gen Z shares many traits with the Millennial Generation, they also bring in new patterns of behaviour. Managers today not only have to understand how to best manage youthful, inexperienced employees, but also the unique characteristics of the generation shaped by their experiences. Every generation has its doubts about the younger generation’s culture and technologies. Understanding their behaviour and the distinct needs that they have in the workplace will lead to better integration of the new employees and mutual success” (Schroth, 2019)</w:t>
      </w:r>
    </w:p>
    <w:p w14:paraId="790160BA" w14:textId="2E06E8B8" w:rsidR="001D2C76" w:rsidRPr="00C6089B" w:rsidRDefault="001D2C76" w:rsidP="001D2C76">
      <w:pPr>
        <w:spacing w:line="360" w:lineRule="auto"/>
        <w:jc w:val="both"/>
        <w:rPr>
          <w:rFonts w:ascii="Arial" w:hAnsi="Arial" w:cs="Arial"/>
          <w:sz w:val="24"/>
          <w:szCs w:val="24"/>
        </w:rPr>
      </w:pPr>
      <w:r w:rsidRPr="00C6089B">
        <w:rPr>
          <w:rFonts w:ascii="Arial" w:hAnsi="Arial" w:cs="Arial"/>
          <w:sz w:val="24"/>
          <w:szCs w:val="24"/>
        </w:rPr>
        <w:t xml:space="preserve">Beyond the age groups and different approaches, HR department is responsible to involve the whole team or as many people is possible, because an engaged team offers several advantages over uninvolved or disengaged employees. Engaged employees are </w:t>
      </w:r>
      <w:r w:rsidR="00506CC5">
        <w:rPr>
          <w:rFonts w:ascii="Arial" w:hAnsi="Arial" w:cs="Arial"/>
          <w:sz w:val="24"/>
          <w:szCs w:val="24"/>
        </w:rPr>
        <w:t>highly</w:t>
      </w:r>
      <w:r w:rsidRPr="00C6089B">
        <w:rPr>
          <w:rFonts w:ascii="Arial" w:hAnsi="Arial" w:cs="Arial"/>
          <w:sz w:val="24"/>
          <w:szCs w:val="24"/>
        </w:rPr>
        <w:t xml:space="preserve"> motivated and </w:t>
      </w:r>
      <w:r w:rsidR="001E7773">
        <w:rPr>
          <w:rFonts w:ascii="Arial" w:hAnsi="Arial" w:cs="Arial"/>
          <w:sz w:val="24"/>
          <w:szCs w:val="24"/>
        </w:rPr>
        <w:t xml:space="preserve">completely </w:t>
      </w:r>
      <w:r w:rsidRPr="00C6089B">
        <w:rPr>
          <w:rFonts w:ascii="Arial" w:hAnsi="Arial" w:cs="Arial"/>
          <w:sz w:val="24"/>
          <w:szCs w:val="24"/>
        </w:rPr>
        <w:t>committed to the</w:t>
      </w:r>
      <w:r w:rsidR="001E7773">
        <w:rPr>
          <w:rFonts w:ascii="Arial" w:hAnsi="Arial" w:cs="Arial"/>
          <w:sz w:val="24"/>
          <w:szCs w:val="24"/>
        </w:rPr>
        <w:t xml:space="preserve"> job</w:t>
      </w:r>
      <w:r w:rsidRPr="00C6089B">
        <w:rPr>
          <w:rFonts w:ascii="Arial" w:hAnsi="Arial" w:cs="Arial"/>
          <w:sz w:val="24"/>
          <w:szCs w:val="24"/>
        </w:rPr>
        <w:t xml:space="preserve">. They tend to be more focused and put in greater effort, </w:t>
      </w:r>
      <w:r w:rsidR="007068EA">
        <w:rPr>
          <w:rFonts w:ascii="Arial" w:hAnsi="Arial" w:cs="Arial"/>
          <w:sz w:val="24"/>
          <w:szCs w:val="24"/>
        </w:rPr>
        <w:t xml:space="preserve">more </w:t>
      </w:r>
      <w:r w:rsidR="000E258C">
        <w:rPr>
          <w:rFonts w:ascii="Arial" w:hAnsi="Arial" w:cs="Arial"/>
          <w:sz w:val="24"/>
          <w:szCs w:val="24"/>
        </w:rPr>
        <w:t xml:space="preserve">involved in </w:t>
      </w:r>
      <w:r w:rsidRPr="00C6089B">
        <w:rPr>
          <w:rFonts w:ascii="Arial" w:hAnsi="Arial" w:cs="Arial"/>
          <w:sz w:val="24"/>
          <w:szCs w:val="24"/>
        </w:rPr>
        <w:t xml:space="preserve">their tasks and </w:t>
      </w:r>
      <w:r w:rsidR="009D570C">
        <w:rPr>
          <w:rFonts w:ascii="Arial" w:hAnsi="Arial" w:cs="Arial"/>
          <w:sz w:val="24"/>
          <w:szCs w:val="24"/>
        </w:rPr>
        <w:t>ready</w:t>
      </w:r>
      <w:r w:rsidRPr="00C6089B">
        <w:rPr>
          <w:rFonts w:ascii="Arial" w:hAnsi="Arial" w:cs="Arial"/>
          <w:sz w:val="24"/>
          <w:szCs w:val="24"/>
        </w:rPr>
        <w:t xml:space="preserve"> to go the extra mile to </w:t>
      </w:r>
      <w:r w:rsidR="009D570C">
        <w:rPr>
          <w:rFonts w:ascii="Arial" w:hAnsi="Arial" w:cs="Arial"/>
          <w:sz w:val="24"/>
          <w:szCs w:val="24"/>
        </w:rPr>
        <w:t>accomplish established</w:t>
      </w:r>
      <w:r w:rsidRPr="00C6089B">
        <w:rPr>
          <w:rFonts w:ascii="Arial" w:hAnsi="Arial" w:cs="Arial"/>
          <w:sz w:val="24"/>
          <w:szCs w:val="24"/>
        </w:rPr>
        <w:t xml:space="preserve"> goals. Engaged employees often produce higher-quality work</w:t>
      </w:r>
      <w:r w:rsidR="00072B55">
        <w:rPr>
          <w:rFonts w:ascii="Arial" w:hAnsi="Arial" w:cs="Arial"/>
          <w:sz w:val="24"/>
          <w:szCs w:val="24"/>
        </w:rPr>
        <w:t>,</w:t>
      </w:r>
      <w:r w:rsidR="00CF5C32">
        <w:rPr>
          <w:rFonts w:ascii="Arial" w:hAnsi="Arial" w:cs="Arial"/>
          <w:sz w:val="24"/>
          <w:szCs w:val="24"/>
        </w:rPr>
        <w:t xml:space="preserve"> </w:t>
      </w:r>
      <w:r w:rsidRPr="00C6089B">
        <w:rPr>
          <w:rFonts w:ascii="Arial" w:hAnsi="Arial" w:cs="Arial"/>
          <w:sz w:val="24"/>
          <w:szCs w:val="24"/>
        </w:rPr>
        <w:t xml:space="preserve">resulting in better outcomes and fewer errors. Engaged employees are more likely to provide excellent customer service. They are attentive to customer needs, friendly, and willing to go out of their way to ensure a positive customer experience. Engaged employees tend to stay with the organization longer. They are less likely to seek new job opportunities because they are satisfied with their current roles and the organization's culture. Engaged teams are more creative and better at problem-solving. They feel </w:t>
      </w:r>
      <w:r w:rsidRPr="00C6089B">
        <w:rPr>
          <w:rFonts w:ascii="Arial" w:hAnsi="Arial" w:cs="Arial"/>
          <w:sz w:val="24"/>
          <w:szCs w:val="24"/>
        </w:rPr>
        <w:lastRenderedPageBreak/>
        <w:t xml:space="preserve">a sense of ownership over their work and are more likely to contribute new ideas and solutions to challenges. Engaged employees are generally more satisfied with their jobs and the organization. This leads to a happier work environment and reduces the risk of workplace conflicts and dissatisfaction. to their roles and understand the impact of their absence on their colleagues and the organization. Engaged teams help create a positive and supportive organizational culture. They are more likely to work collaboratively, support one another, and foster a healthy work atmosphere. Engaged employees can lead to cost savings through reduced turnover, lower recruitment and training expenses, and increased efficiency and productivity. Organizations with engaged teams are often more competitive in their respective industries. They can adapt more quickly to changes, respond to customer needs, and innovate, giving them an edge over competitors. Engaged employees can positively impact the organization's reputation and brand. Engaged employees feel a strong sense of loyalty to the organization. They are more committed to its long-term success and are more likely to become advocates for the company. In contrast, uninvolved or disengaged employees are more likely to exhibit lower productivity, decreased job satisfaction, and a higher risk of turnover. Their indifference can also have a negative impact on team morale and customer experiences. Therefore, cultivating and maintaining an engaged team is </w:t>
      </w:r>
      <w:r w:rsidR="00DE3AF3">
        <w:rPr>
          <w:rFonts w:ascii="Arial" w:hAnsi="Arial" w:cs="Arial"/>
          <w:sz w:val="24"/>
          <w:szCs w:val="24"/>
        </w:rPr>
        <w:t>most important goal</w:t>
      </w:r>
      <w:r w:rsidRPr="00C6089B">
        <w:rPr>
          <w:rFonts w:ascii="Arial" w:hAnsi="Arial" w:cs="Arial"/>
          <w:sz w:val="24"/>
          <w:szCs w:val="24"/>
        </w:rPr>
        <w:t xml:space="preserve"> for the overall success and competitiveness of an organization.</w:t>
      </w:r>
    </w:p>
    <w:p w14:paraId="44E8B68E" w14:textId="77777777" w:rsidR="001D2C76" w:rsidRPr="00C6089B" w:rsidRDefault="001D2C76" w:rsidP="001D2C76">
      <w:pPr>
        <w:spacing w:line="360" w:lineRule="auto"/>
        <w:jc w:val="both"/>
        <w:rPr>
          <w:rFonts w:ascii="Arial" w:hAnsi="Arial" w:cs="Arial"/>
          <w:sz w:val="24"/>
          <w:szCs w:val="24"/>
        </w:rPr>
      </w:pPr>
      <w:r w:rsidRPr="00C6089B">
        <w:rPr>
          <w:rFonts w:ascii="Arial" w:hAnsi="Arial" w:cs="Arial"/>
          <w:sz w:val="24"/>
          <w:szCs w:val="24"/>
        </w:rPr>
        <w:t>To engage Generation Z throughout the employment lifecycle, HR departments can take the following actions, in each stage of employee lifecycle.</w:t>
      </w:r>
    </w:p>
    <w:p w14:paraId="2EB05083" w14:textId="77777777" w:rsidR="001D2C76" w:rsidRPr="00C6089B" w:rsidRDefault="001D2C76" w:rsidP="001D2C76">
      <w:pPr>
        <w:spacing w:line="360" w:lineRule="auto"/>
        <w:jc w:val="both"/>
        <w:rPr>
          <w:rFonts w:ascii="Arial" w:hAnsi="Arial" w:cs="Arial"/>
          <w:sz w:val="24"/>
          <w:szCs w:val="24"/>
        </w:rPr>
      </w:pPr>
      <w:r w:rsidRPr="00C6089B">
        <w:rPr>
          <w:rFonts w:ascii="Arial" w:hAnsi="Arial" w:cs="Arial"/>
          <w:sz w:val="24"/>
          <w:szCs w:val="24"/>
        </w:rPr>
        <w:t>In attraction and recruitment, HR should use social media and online platforms for recruitment, as Gen Z is digitally savvy. Is important to highlight the organization's values, culture, and opportunities for growth in job postings, also to emphasize flexibility, work-life balance, and opportunities for personal and professional development.</w:t>
      </w:r>
    </w:p>
    <w:p w14:paraId="3D0D6CC9" w14:textId="77777777" w:rsidR="001D2C76" w:rsidRPr="00C6089B" w:rsidRDefault="001D2C76" w:rsidP="001D2C76">
      <w:pPr>
        <w:spacing w:line="360" w:lineRule="auto"/>
        <w:jc w:val="both"/>
        <w:rPr>
          <w:rFonts w:ascii="Arial" w:hAnsi="Arial" w:cs="Arial"/>
          <w:sz w:val="24"/>
          <w:szCs w:val="24"/>
        </w:rPr>
      </w:pPr>
      <w:r w:rsidRPr="00C6089B">
        <w:rPr>
          <w:rFonts w:ascii="Arial" w:hAnsi="Arial" w:cs="Arial"/>
          <w:sz w:val="24"/>
          <w:szCs w:val="24"/>
        </w:rPr>
        <w:t>While onboarding, must provide a comprehensive digital onboarding process to accommodate their tech-savvy nature, to assign a mentor or buddy to assist with integration and answer questions, also to communicate the organization's mission and values clearly during the onboarding process.</w:t>
      </w:r>
    </w:p>
    <w:p w14:paraId="47132187" w14:textId="77777777" w:rsidR="001D2C76" w:rsidRPr="00C6089B" w:rsidRDefault="001D2C76" w:rsidP="001D2C76">
      <w:pPr>
        <w:spacing w:line="360" w:lineRule="auto"/>
        <w:jc w:val="both"/>
        <w:rPr>
          <w:rFonts w:ascii="Arial" w:hAnsi="Arial" w:cs="Arial"/>
          <w:sz w:val="24"/>
          <w:szCs w:val="24"/>
        </w:rPr>
      </w:pPr>
      <w:r w:rsidRPr="00C6089B">
        <w:rPr>
          <w:rFonts w:ascii="Arial" w:hAnsi="Arial" w:cs="Arial"/>
          <w:sz w:val="24"/>
          <w:szCs w:val="24"/>
        </w:rPr>
        <w:t>In development stage, HR must offer continuous learning opportunities, including online courses and microlearning modules for encourage participation in cross-functional projects to foster collaboration and to provide regular feedback and opportunities for skill development.</w:t>
      </w:r>
    </w:p>
    <w:p w14:paraId="43FA0EF6" w14:textId="77777777" w:rsidR="001D2C76" w:rsidRPr="00C6089B" w:rsidRDefault="001D2C76" w:rsidP="001D2C76">
      <w:pPr>
        <w:spacing w:line="360" w:lineRule="auto"/>
        <w:jc w:val="both"/>
        <w:rPr>
          <w:rFonts w:ascii="Arial" w:hAnsi="Arial" w:cs="Arial"/>
          <w:sz w:val="24"/>
          <w:szCs w:val="24"/>
        </w:rPr>
      </w:pPr>
      <w:r w:rsidRPr="00C6089B">
        <w:rPr>
          <w:rFonts w:ascii="Arial" w:hAnsi="Arial" w:cs="Arial"/>
          <w:sz w:val="24"/>
          <w:szCs w:val="24"/>
        </w:rPr>
        <w:t xml:space="preserve">For chosen people, in retention, should create a supportive and inclusive workplace culture that values diversity and individuality, to offer regular recognition and rewards to keep them engaged and motivated, also to encourage participation in decision-making processes and innovation. These details keep people involved and engaged. Even in separation, must conduct exit interviews to understand reasons for leaving and gather feedback, that keeping the door open for </w:t>
      </w:r>
      <w:r w:rsidRPr="00C6089B">
        <w:rPr>
          <w:rFonts w:ascii="Arial" w:hAnsi="Arial" w:cs="Arial"/>
          <w:sz w:val="24"/>
          <w:szCs w:val="24"/>
        </w:rPr>
        <w:lastRenderedPageBreak/>
        <w:t>rehiring or maintaining alumni networks; to ensure a smooth and respectful departure process to maintain a positive relationship.</w:t>
      </w:r>
    </w:p>
    <w:p w14:paraId="6B1CC1D1" w14:textId="77777777" w:rsidR="001D2C76" w:rsidRPr="00C6089B" w:rsidRDefault="001D2C76" w:rsidP="001D2C76">
      <w:pPr>
        <w:spacing w:line="360" w:lineRule="auto"/>
        <w:jc w:val="both"/>
        <w:rPr>
          <w:rFonts w:ascii="Arial" w:hAnsi="Arial" w:cs="Arial"/>
          <w:sz w:val="24"/>
          <w:szCs w:val="24"/>
        </w:rPr>
      </w:pPr>
      <w:r w:rsidRPr="00C6089B">
        <w:rPr>
          <w:rFonts w:ascii="Arial" w:hAnsi="Arial" w:cs="Arial"/>
          <w:sz w:val="24"/>
          <w:szCs w:val="24"/>
        </w:rPr>
        <w:t>Overall, HR departments should adapt their strategies to cater to Gen Z's preferences, which include technology, flexibility, meaningful work, and opportunities for personal and professional growth.</w:t>
      </w:r>
    </w:p>
    <w:p w14:paraId="49444F95" w14:textId="5BCCBBA2" w:rsidR="001D2C76" w:rsidRPr="00C6089B" w:rsidRDefault="001D2C76" w:rsidP="001D2C76">
      <w:pPr>
        <w:spacing w:line="360" w:lineRule="auto"/>
        <w:jc w:val="both"/>
        <w:rPr>
          <w:rFonts w:ascii="Arial" w:hAnsi="Arial" w:cs="Arial"/>
          <w:sz w:val="24"/>
          <w:szCs w:val="24"/>
        </w:rPr>
      </w:pPr>
      <w:r w:rsidRPr="00C6089B">
        <w:rPr>
          <w:rFonts w:ascii="Arial" w:hAnsi="Arial" w:cs="Arial"/>
          <w:sz w:val="24"/>
          <w:szCs w:val="24"/>
        </w:rPr>
        <w:t>Different brands use different approaches, a certain successful method is to create an employee engagement model, developing a structured framework that outlines the strategies and actions an organization will take to foster engagement among its workforces. Implementing this model effectively requires a comprehensive approach. Here's a simplified outline an employee engagement model, an example; first, before designing your model, assess the current state of employee engagement within your organization. This can be done through surveys, feedback, and data analysis to understand where improvements are needed. After, with defined objectives and goals, HR clearly define what them want to achieve with the engagement model. Set specific</w:t>
      </w:r>
      <w:r w:rsidR="0059558D">
        <w:rPr>
          <w:rFonts w:ascii="Arial" w:hAnsi="Arial" w:cs="Arial"/>
          <w:sz w:val="24"/>
          <w:szCs w:val="24"/>
        </w:rPr>
        <w:t xml:space="preserve"> targets</w:t>
      </w:r>
      <w:r w:rsidRPr="00C6089B">
        <w:rPr>
          <w:rFonts w:ascii="Arial" w:hAnsi="Arial" w:cs="Arial"/>
          <w:sz w:val="24"/>
          <w:szCs w:val="24"/>
        </w:rPr>
        <w:t xml:space="preserve">, </w:t>
      </w:r>
      <w:r w:rsidR="0059558D">
        <w:rPr>
          <w:rFonts w:ascii="Arial" w:hAnsi="Arial" w:cs="Arial"/>
          <w:sz w:val="24"/>
          <w:szCs w:val="24"/>
        </w:rPr>
        <w:t xml:space="preserve">step by step </w:t>
      </w:r>
      <w:r w:rsidRPr="00C6089B">
        <w:rPr>
          <w:rFonts w:ascii="Arial" w:hAnsi="Arial" w:cs="Arial"/>
          <w:sz w:val="24"/>
          <w:szCs w:val="24"/>
        </w:rPr>
        <w:t xml:space="preserve">measurable, </w:t>
      </w:r>
      <w:r w:rsidR="0059558D">
        <w:rPr>
          <w:rFonts w:ascii="Arial" w:hAnsi="Arial" w:cs="Arial"/>
          <w:sz w:val="24"/>
          <w:szCs w:val="24"/>
        </w:rPr>
        <w:t xml:space="preserve">easy to </w:t>
      </w:r>
      <w:r w:rsidRPr="00C6089B">
        <w:rPr>
          <w:rFonts w:ascii="Arial" w:hAnsi="Arial" w:cs="Arial"/>
          <w:sz w:val="24"/>
          <w:szCs w:val="24"/>
        </w:rPr>
        <w:t xml:space="preserve">achieve, </w:t>
      </w:r>
      <w:r w:rsidR="00E12DE4">
        <w:rPr>
          <w:rFonts w:ascii="Arial" w:hAnsi="Arial" w:cs="Arial"/>
          <w:sz w:val="24"/>
          <w:szCs w:val="24"/>
        </w:rPr>
        <w:t xml:space="preserve">keep </w:t>
      </w:r>
      <w:r w:rsidR="00CE1EB5">
        <w:rPr>
          <w:rFonts w:ascii="Arial" w:hAnsi="Arial" w:cs="Arial"/>
          <w:sz w:val="24"/>
          <w:szCs w:val="24"/>
        </w:rPr>
        <w:t>simple</w:t>
      </w:r>
      <w:r w:rsidRPr="00C6089B">
        <w:rPr>
          <w:rFonts w:ascii="Arial" w:hAnsi="Arial" w:cs="Arial"/>
          <w:sz w:val="24"/>
          <w:szCs w:val="24"/>
        </w:rPr>
        <w:t xml:space="preserve"> and </w:t>
      </w:r>
      <w:r w:rsidR="00E12DE4">
        <w:rPr>
          <w:rFonts w:ascii="Arial" w:hAnsi="Arial" w:cs="Arial"/>
          <w:sz w:val="24"/>
          <w:szCs w:val="24"/>
        </w:rPr>
        <w:t>positive</w:t>
      </w:r>
      <w:r w:rsidRPr="00C6089B">
        <w:rPr>
          <w:rFonts w:ascii="Arial" w:hAnsi="Arial" w:cs="Arial"/>
          <w:sz w:val="24"/>
          <w:szCs w:val="24"/>
        </w:rPr>
        <w:t>. Consider segment of workforce and understand the diverse needs, preferences, and motivations of different employee groups (e.g., different departments, age groups, or job roles), then elaborate “engagement model” which can consist of various components, such as Leadership and Management, an ideal work space, where ensure a positive, inclusive, and flexible work environment, with possibilities of Personal Growth, providing opportunities for skill development and career advancement; don’t forget to set of Recognition and Rewards, establish systems and criteria for recognizing and rewarding employees. Also important is communication, always promote transparent and open communication throughout the organization. Is important to evaluate how system works, have to listen Employees Feedback and appreciate their Involvement; involve employees in the development of the engagement model, also gather their feedback and ideas to ensure it aligns with their needs and expectations. Elaborate a detailed plan with specific strategies and initiatives for each component of your model, then implement the strategies and initiatives according to your plan. Ensure that they align with the organization's culture and values. A good plan doesn’t works without a continuous control, continuously measure and monitor employee engagement through surveys, feedback mechanisms, and key performance indicators (KPIs). Use this data to adjust and bring improvements to the model, a very important aspect remains communication and training, communicate the engagement model and its components to all employees. Provide training and resources to help employees and managers understand their roles in the model.</w:t>
      </w:r>
    </w:p>
    <w:p w14:paraId="5CADED41" w14:textId="77777777" w:rsidR="001D2C76" w:rsidRPr="00C6089B" w:rsidRDefault="001D2C76" w:rsidP="001D2C76">
      <w:pPr>
        <w:spacing w:line="360" w:lineRule="auto"/>
        <w:jc w:val="both"/>
        <w:rPr>
          <w:rFonts w:ascii="Arial" w:hAnsi="Arial" w:cs="Arial"/>
          <w:sz w:val="24"/>
          <w:szCs w:val="24"/>
        </w:rPr>
      </w:pPr>
      <w:r w:rsidRPr="00C6089B">
        <w:rPr>
          <w:rFonts w:ascii="Arial" w:hAnsi="Arial" w:cs="Arial"/>
          <w:sz w:val="24"/>
          <w:szCs w:val="24"/>
        </w:rPr>
        <w:t xml:space="preserve">Ensure that the engagement model becomes a sustainable part of the organization's culture and practices, rather than a one-time initiative, always remembering that employee engagement is an ongoing process that requires consistent effort, adaptability, and commitment from the entire organization, from leadership to front-line employees. Regularly reviewing and updating the </w:t>
      </w:r>
      <w:r w:rsidRPr="00C6089B">
        <w:rPr>
          <w:rFonts w:ascii="Arial" w:hAnsi="Arial" w:cs="Arial"/>
          <w:sz w:val="24"/>
          <w:szCs w:val="24"/>
        </w:rPr>
        <w:lastRenderedPageBreak/>
        <w:t>model is essential to maintaining high levels of engagement, being the single way to obtain optimized results.</w:t>
      </w:r>
    </w:p>
    <w:p w14:paraId="1773C68F" w14:textId="77777777" w:rsidR="001D2C76" w:rsidRPr="00C6089B" w:rsidRDefault="001D2C76" w:rsidP="001D2C76">
      <w:pPr>
        <w:spacing w:line="360" w:lineRule="auto"/>
        <w:jc w:val="both"/>
        <w:rPr>
          <w:rFonts w:ascii="Arial" w:hAnsi="Arial" w:cs="Arial"/>
          <w:sz w:val="24"/>
          <w:szCs w:val="24"/>
        </w:rPr>
      </w:pPr>
      <w:r w:rsidRPr="00C6089B">
        <w:rPr>
          <w:rFonts w:ascii="Arial" w:hAnsi="Arial" w:cs="Arial"/>
          <w:sz w:val="24"/>
          <w:szCs w:val="24"/>
        </w:rPr>
        <w:t>In hotel industry are many samples, to give just one or few will offer just a vague and incomplete</w:t>
      </w:r>
      <w:r>
        <w:rPr>
          <w:rFonts w:ascii="Arial" w:hAnsi="Arial" w:cs="Arial"/>
          <w:sz w:val="24"/>
          <w:szCs w:val="24"/>
        </w:rPr>
        <w:t xml:space="preserve"> image about evolution of industry.</w:t>
      </w:r>
    </w:p>
    <w:p w14:paraId="4F951DA9" w14:textId="77777777" w:rsidR="001D2C76" w:rsidRPr="00C6089B" w:rsidRDefault="001D2C76" w:rsidP="001D2C76">
      <w:pPr>
        <w:spacing w:line="360" w:lineRule="auto"/>
        <w:jc w:val="both"/>
        <w:rPr>
          <w:rFonts w:ascii="Arial" w:hAnsi="Arial" w:cs="Arial"/>
          <w:sz w:val="24"/>
          <w:szCs w:val="24"/>
        </w:rPr>
      </w:pPr>
      <w:r w:rsidRPr="00C6089B">
        <w:rPr>
          <w:rFonts w:ascii="Arial" w:hAnsi="Arial" w:cs="Arial"/>
          <w:sz w:val="24"/>
          <w:szCs w:val="24"/>
        </w:rPr>
        <w:t>The hotel industry places a premium on employee engagement, as it directly impacts guest satisfaction. Here are some examples of hotels and hotel chains known for their effective employee engagement practices: Ritz-Carlton is renowned for its exceptional customer service, which is driven by a culture of employee empowerment. They have the "Gold Standards," which provide guidelines for employees to create memorable experiences for guests. Four Seasons Hotels and Resorts is committed to providing a supportive and nurturing work environment. They offer extensive training and development programs and prioritize employee well-being. Hilton focuses on employee well-being, career development, and recognition. They have various programs, such as "Hilton University" for training and "Catch Me at My Best" for recognizing exceptional employees. Marriott International places a strong emphasis on diversity and inclusion, as well as career development. They offer multiple training and advancement opportunities and have a robust recognition program, "Spirit to Serve". Kimpton Hotels &amp; Restaurants is known for its unique and supportive company culture. They have programs like "Kimpton University" and "Kimpton Cares" to foster employee engagement and social responsibility. MGM Resorts International emphasizes employee well-being, diversity, and inclusion. They have a variety of development programs and initiatives focused on making employees feel valued and included. Hyatt Hotels Corporation focuses on creating a culture of inclusion and employee well-being. They have a "Thrive" program that emphasizes physical and emotional well-being, as well as various training opportunities. Accor places an emphasis on employee development and diversity. They have a program called "</w:t>
      </w:r>
      <w:proofErr w:type="spellStart"/>
      <w:r w:rsidRPr="00C6089B">
        <w:rPr>
          <w:rFonts w:ascii="Arial" w:hAnsi="Arial" w:cs="Arial"/>
          <w:sz w:val="24"/>
          <w:szCs w:val="24"/>
        </w:rPr>
        <w:t>Heartist</w:t>
      </w:r>
      <w:proofErr w:type="spellEnd"/>
      <w:r w:rsidRPr="00C6089B">
        <w:rPr>
          <w:rFonts w:ascii="Arial" w:hAnsi="Arial" w:cs="Arial"/>
          <w:sz w:val="24"/>
          <w:szCs w:val="24"/>
        </w:rPr>
        <w:t>" that highlights their commitment to both guest and employee satisfaction. Rosewood Hotels &amp; Resorts has a culture of innovation and creativity. They empower employees to contribute ideas and solutions to enhance the guest experience. InterContinental Hotels Group (IHG) focuses on employee well-being, diversity, and career development. They have initiatives like "Room to Grow" and "Diverse Voices" aimed at creating an inclusive environment.</w:t>
      </w:r>
    </w:p>
    <w:p w14:paraId="269FC1B3" w14:textId="77777777" w:rsidR="001D2C76" w:rsidRPr="00C6089B" w:rsidRDefault="001D2C76" w:rsidP="001D2C76">
      <w:pPr>
        <w:spacing w:line="360" w:lineRule="auto"/>
        <w:jc w:val="both"/>
        <w:rPr>
          <w:rFonts w:ascii="Arial" w:hAnsi="Arial" w:cs="Arial"/>
          <w:sz w:val="24"/>
          <w:szCs w:val="24"/>
        </w:rPr>
      </w:pPr>
      <w:r w:rsidRPr="00C6089B">
        <w:rPr>
          <w:rFonts w:ascii="Arial" w:hAnsi="Arial" w:cs="Arial"/>
          <w:sz w:val="24"/>
          <w:szCs w:val="24"/>
        </w:rPr>
        <w:t>These examples highlight that leading hotels and hotel chains prioritize employee engagement through training, well-being initiatives, recognition programs, and a commitment to creating a positive and inclusive workplace culture. This, in turn, leads to improved guest satisfaction and loyalty.</w:t>
      </w:r>
    </w:p>
    <w:p w14:paraId="59D6B9AE" w14:textId="77777777" w:rsidR="001D2C76" w:rsidRDefault="001D2C76" w:rsidP="001D2C76">
      <w:pPr>
        <w:spacing w:line="360" w:lineRule="auto"/>
        <w:jc w:val="both"/>
        <w:rPr>
          <w:rFonts w:ascii="Arial" w:hAnsi="Arial" w:cs="Arial"/>
          <w:sz w:val="24"/>
          <w:szCs w:val="24"/>
        </w:rPr>
      </w:pPr>
    </w:p>
    <w:p w14:paraId="0652FDA5" w14:textId="77777777" w:rsidR="00E47C66" w:rsidRDefault="00E47C66" w:rsidP="001D2C76">
      <w:pPr>
        <w:spacing w:line="360" w:lineRule="auto"/>
        <w:jc w:val="both"/>
        <w:rPr>
          <w:rFonts w:ascii="Arial" w:hAnsi="Arial" w:cs="Arial"/>
          <w:sz w:val="24"/>
          <w:szCs w:val="24"/>
        </w:rPr>
      </w:pPr>
    </w:p>
    <w:p w14:paraId="1D9E3742" w14:textId="77777777" w:rsidR="001D2C76" w:rsidRDefault="001D2C76" w:rsidP="001D2C76">
      <w:pPr>
        <w:spacing w:line="360" w:lineRule="auto"/>
        <w:jc w:val="both"/>
        <w:rPr>
          <w:rFonts w:ascii="Arial" w:hAnsi="Arial" w:cs="Arial"/>
          <w:sz w:val="24"/>
          <w:szCs w:val="24"/>
        </w:rPr>
      </w:pPr>
    </w:p>
    <w:p w14:paraId="59BA99CB" w14:textId="77777777" w:rsidR="001D2C76" w:rsidRDefault="001D2C76" w:rsidP="001D2C76">
      <w:pPr>
        <w:spacing w:line="360" w:lineRule="auto"/>
        <w:jc w:val="both"/>
        <w:rPr>
          <w:rFonts w:ascii="Arial" w:hAnsi="Arial" w:cs="Arial"/>
          <w:sz w:val="24"/>
          <w:szCs w:val="24"/>
        </w:rPr>
      </w:pPr>
      <w:r w:rsidRPr="00C6089B">
        <w:rPr>
          <w:rFonts w:ascii="Arial" w:hAnsi="Arial" w:cs="Arial"/>
          <w:sz w:val="24"/>
          <w:szCs w:val="24"/>
        </w:rPr>
        <w:lastRenderedPageBreak/>
        <w:t>REFERENCES</w:t>
      </w:r>
    </w:p>
    <w:p w14:paraId="3367A1B7" w14:textId="77777777" w:rsidR="001D2C76" w:rsidRPr="00C6089B" w:rsidRDefault="001D2C76" w:rsidP="001D2C76">
      <w:pPr>
        <w:spacing w:line="360" w:lineRule="auto"/>
        <w:jc w:val="both"/>
        <w:rPr>
          <w:rFonts w:ascii="Arial" w:hAnsi="Arial" w:cs="Arial"/>
          <w:sz w:val="24"/>
          <w:szCs w:val="24"/>
        </w:rPr>
      </w:pPr>
    </w:p>
    <w:p w14:paraId="66AAF123" w14:textId="77777777" w:rsidR="001D2C76" w:rsidRPr="00C6089B" w:rsidRDefault="001D2C76" w:rsidP="001D2C76">
      <w:pPr>
        <w:spacing w:line="360" w:lineRule="auto"/>
        <w:jc w:val="both"/>
        <w:rPr>
          <w:rFonts w:ascii="Arial" w:hAnsi="Arial" w:cs="Arial"/>
          <w:sz w:val="24"/>
          <w:szCs w:val="24"/>
        </w:rPr>
      </w:pPr>
      <w:r w:rsidRPr="00C6089B">
        <w:rPr>
          <w:rFonts w:ascii="Arial" w:hAnsi="Arial" w:cs="Arial"/>
          <w:sz w:val="24"/>
          <w:szCs w:val="24"/>
        </w:rPr>
        <w:t xml:space="preserve">Armstrong, M. Taylor S., (2014) </w:t>
      </w:r>
      <w:r w:rsidRPr="00C6089B">
        <w:rPr>
          <w:rFonts w:ascii="Arial" w:hAnsi="Arial" w:cs="Arial"/>
          <w:i/>
          <w:iCs/>
          <w:sz w:val="24"/>
          <w:szCs w:val="24"/>
        </w:rPr>
        <w:t>Armstrong's handbook of human resource management practice</w:t>
      </w:r>
      <w:r w:rsidRPr="00C6089B">
        <w:rPr>
          <w:rFonts w:ascii="Arial" w:hAnsi="Arial" w:cs="Arial"/>
          <w:sz w:val="24"/>
          <w:szCs w:val="24"/>
        </w:rPr>
        <w:t>, 13th edition, Kogan Page</w:t>
      </w:r>
    </w:p>
    <w:p w14:paraId="46F1B73D" w14:textId="77777777" w:rsidR="001D2C76" w:rsidRPr="00C6089B" w:rsidRDefault="001D2C76" w:rsidP="001D2C76">
      <w:pPr>
        <w:spacing w:line="360" w:lineRule="auto"/>
        <w:jc w:val="both"/>
        <w:rPr>
          <w:rFonts w:ascii="Arial" w:hAnsi="Arial" w:cs="Arial"/>
          <w:sz w:val="24"/>
          <w:szCs w:val="24"/>
        </w:rPr>
      </w:pPr>
      <w:r w:rsidRPr="00C6089B">
        <w:rPr>
          <w:rFonts w:ascii="Arial" w:hAnsi="Arial" w:cs="Arial"/>
          <w:sz w:val="24"/>
          <w:szCs w:val="24"/>
        </w:rPr>
        <w:t xml:space="preserve">Barna. (2018, June 6). </w:t>
      </w:r>
      <w:r w:rsidRPr="00C6089B">
        <w:rPr>
          <w:rFonts w:ascii="Arial" w:hAnsi="Arial" w:cs="Arial"/>
          <w:i/>
          <w:iCs/>
          <w:sz w:val="24"/>
          <w:szCs w:val="24"/>
        </w:rPr>
        <w:t>Is Gen Z the most success-oriented generation?</w:t>
      </w:r>
      <w:r w:rsidRPr="00C6089B">
        <w:rPr>
          <w:rFonts w:ascii="Arial" w:hAnsi="Arial" w:cs="Arial"/>
          <w:sz w:val="24"/>
          <w:szCs w:val="24"/>
        </w:rPr>
        <w:t xml:space="preserve"> Barna.</w:t>
      </w:r>
    </w:p>
    <w:p w14:paraId="420F6BBD" w14:textId="77777777" w:rsidR="001D2C76" w:rsidRPr="00C6089B" w:rsidRDefault="001D2C76" w:rsidP="001D2C76">
      <w:pPr>
        <w:spacing w:line="360" w:lineRule="auto"/>
        <w:jc w:val="both"/>
        <w:rPr>
          <w:rFonts w:ascii="Arial" w:hAnsi="Arial" w:cs="Arial"/>
          <w:sz w:val="24"/>
          <w:szCs w:val="24"/>
        </w:rPr>
      </w:pPr>
      <w:r w:rsidRPr="00C6089B">
        <w:rPr>
          <w:rFonts w:ascii="Arial" w:hAnsi="Arial" w:cs="Arial"/>
          <w:sz w:val="24"/>
          <w:szCs w:val="24"/>
        </w:rPr>
        <w:t xml:space="preserve"> https://www.barna.com/research/is-gen-z-the-most-success-oriented-generation/</w:t>
      </w:r>
    </w:p>
    <w:p w14:paraId="64A4FD90" w14:textId="77777777" w:rsidR="001D2C76" w:rsidRPr="00C6089B" w:rsidRDefault="001D2C76" w:rsidP="001D2C76">
      <w:pPr>
        <w:spacing w:line="360" w:lineRule="auto"/>
        <w:jc w:val="both"/>
        <w:rPr>
          <w:rFonts w:ascii="Arial" w:hAnsi="Arial" w:cs="Arial"/>
          <w:i/>
          <w:iCs/>
          <w:sz w:val="24"/>
          <w:szCs w:val="24"/>
        </w:rPr>
      </w:pPr>
      <w:r w:rsidRPr="00C6089B">
        <w:rPr>
          <w:rFonts w:ascii="Arial" w:hAnsi="Arial" w:cs="Arial"/>
          <w:sz w:val="24"/>
          <w:szCs w:val="24"/>
        </w:rPr>
        <w:t xml:space="preserve">Bencsik, A., Horváth-Csikós, G., &amp; </w:t>
      </w:r>
      <w:proofErr w:type="spellStart"/>
      <w:r w:rsidRPr="00C6089B">
        <w:rPr>
          <w:rFonts w:ascii="Arial" w:hAnsi="Arial" w:cs="Arial"/>
          <w:sz w:val="24"/>
          <w:szCs w:val="24"/>
        </w:rPr>
        <w:t>Jubász</w:t>
      </w:r>
      <w:proofErr w:type="spellEnd"/>
      <w:r w:rsidRPr="00C6089B">
        <w:rPr>
          <w:rFonts w:ascii="Arial" w:hAnsi="Arial" w:cs="Arial"/>
          <w:sz w:val="24"/>
          <w:szCs w:val="24"/>
        </w:rPr>
        <w:t>, T. (2016</w:t>
      </w:r>
      <w:r w:rsidRPr="00C6089B">
        <w:rPr>
          <w:rFonts w:ascii="Arial" w:hAnsi="Arial" w:cs="Arial"/>
          <w:i/>
          <w:iCs/>
          <w:sz w:val="24"/>
          <w:szCs w:val="24"/>
        </w:rPr>
        <w:t xml:space="preserve">). Y and Z Generations at </w:t>
      </w:r>
    </w:p>
    <w:p w14:paraId="28A0573A" w14:textId="77777777" w:rsidR="001D2C76" w:rsidRPr="00C6089B" w:rsidRDefault="001D2C76" w:rsidP="001D2C76">
      <w:pPr>
        <w:spacing w:line="360" w:lineRule="auto"/>
        <w:jc w:val="both"/>
        <w:rPr>
          <w:rFonts w:ascii="Arial" w:hAnsi="Arial" w:cs="Arial"/>
          <w:sz w:val="24"/>
          <w:szCs w:val="24"/>
        </w:rPr>
      </w:pPr>
      <w:r w:rsidRPr="00C6089B">
        <w:rPr>
          <w:rFonts w:ascii="Arial" w:hAnsi="Arial" w:cs="Arial"/>
          <w:i/>
          <w:iCs/>
          <w:sz w:val="24"/>
          <w:szCs w:val="24"/>
        </w:rPr>
        <w:t>Workplaces</w:t>
      </w:r>
      <w:r w:rsidRPr="00C6089B">
        <w:rPr>
          <w:rFonts w:ascii="Arial" w:hAnsi="Arial" w:cs="Arial"/>
          <w:sz w:val="24"/>
          <w:szCs w:val="24"/>
        </w:rPr>
        <w:t xml:space="preserve">. Journal of Competitiveness, 8(3), 90–106. </w:t>
      </w:r>
      <w:proofErr w:type="spellStart"/>
      <w:r w:rsidRPr="00C6089B">
        <w:rPr>
          <w:rFonts w:ascii="Arial" w:hAnsi="Arial" w:cs="Arial"/>
          <w:sz w:val="24"/>
          <w:szCs w:val="24"/>
        </w:rPr>
        <w:t>doi</w:t>
      </w:r>
      <w:proofErr w:type="spellEnd"/>
      <w:r w:rsidRPr="00C6089B">
        <w:rPr>
          <w:rFonts w:ascii="Arial" w:hAnsi="Arial" w:cs="Arial"/>
          <w:sz w:val="24"/>
          <w:szCs w:val="24"/>
        </w:rPr>
        <w:t>: 10.7441-joc.2016.03.06</w:t>
      </w:r>
    </w:p>
    <w:p w14:paraId="2A3F24B6" w14:textId="77777777" w:rsidR="001D2C76" w:rsidRPr="00C6089B" w:rsidRDefault="001D2C76" w:rsidP="001D2C76">
      <w:pPr>
        <w:spacing w:line="360" w:lineRule="auto"/>
        <w:jc w:val="both"/>
        <w:rPr>
          <w:rFonts w:ascii="Arial" w:hAnsi="Arial" w:cs="Arial"/>
          <w:sz w:val="24"/>
          <w:szCs w:val="24"/>
        </w:rPr>
      </w:pPr>
      <w:r w:rsidRPr="00C6089B">
        <w:rPr>
          <w:rFonts w:ascii="Arial" w:hAnsi="Arial" w:cs="Arial"/>
          <w:sz w:val="24"/>
          <w:szCs w:val="24"/>
        </w:rPr>
        <w:t>Dimock, M. (2019, January 17).</w:t>
      </w:r>
      <w:r w:rsidRPr="00C6089B">
        <w:rPr>
          <w:rFonts w:ascii="Arial" w:hAnsi="Arial" w:cs="Arial"/>
          <w:i/>
          <w:iCs/>
          <w:sz w:val="24"/>
          <w:szCs w:val="24"/>
        </w:rPr>
        <w:t xml:space="preserve"> Defining generations: Where Millennials end and Generation Z begins</w:t>
      </w:r>
      <w:r w:rsidRPr="00C6089B">
        <w:rPr>
          <w:rFonts w:ascii="Arial" w:hAnsi="Arial" w:cs="Arial"/>
          <w:sz w:val="24"/>
          <w:szCs w:val="24"/>
        </w:rPr>
        <w:t>. Retrieved April 7, 2020</w:t>
      </w:r>
    </w:p>
    <w:p w14:paraId="53702F62" w14:textId="77777777" w:rsidR="001D2C76" w:rsidRPr="00C6089B" w:rsidRDefault="001D2C76" w:rsidP="001D2C76">
      <w:pPr>
        <w:spacing w:line="360" w:lineRule="auto"/>
        <w:jc w:val="both"/>
        <w:rPr>
          <w:rFonts w:ascii="Arial" w:hAnsi="Arial" w:cs="Arial"/>
          <w:sz w:val="24"/>
          <w:szCs w:val="24"/>
        </w:rPr>
      </w:pPr>
      <w:r w:rsidRPr="00C6089B">
        <w:rPr>
          <w:rFonts w:ascii="Arial" w:hAnsi="Arial" w:cs="Arial"/>
          <w:sz w:val="24"/>
          <w:szCs w:val="24"/>
        </w:rPr>
        <w:t xml:space="preserve">Gallagher, K. (2016) </w:t>
      </w:r>
      <w:r w:rsidRPr="00C6089B">
        <w:rPr>
          <w:rFonts w:ascii="Arial" w:hAnsi="Arial" w:cs="Arial"/>
          <w:i/>
          <w:iCs/>
          <w:sz w:val="24"/>
          <w:szCs w:val="24"/>
        </w:rPr>
        <w:t>Essential study and employment skills for business and management students</w:t>
      </w:r>
      <w:r w:rsidRPr="00C6089B">
        <w:rPr>
          <w:rFonts w:ascii="Arial" w:hAnsi="Arial" w:cs="Arial"/>
          <w:sz w:val="24"/>
          <w:szCs w:val="24"/>
        </w:rPr>
        <w:t>. Oxford: Oxford University Press.</w:t>
      </w:r>
    </w:p>
    <w:p w14:paraId="754CFDE7" w14:textId="77777777" w:rsidR="001D2C76" w:rsidRPr="00C6089B" w:rsidRDefault="001D2C76" w:rsidP="001D2C76">
      <w:pPr>
        <w:spacing w:line="360" w:lineRule="auto"/>
        <w:jc w:val="both"/>
        <w:rPr>
          <w:rFonts w:ascii="Arial" w:hAnsi="Arial" w:cs="Arial"/>
          <w:sz w:val="24"/>
          <w:szCs w:val="24"/>
        </w:rPr>
      </w:pPr>
      <w:r w:rsidRPr="00C6089B">
        <w:rPr>
          <w:rFonts w:ascii="Arial" w:hAnsi="Arial" w:cs="Arial"/>
          <w:sz w:val="24"/>
          <w:szCs w:val="24"/>
        </w:rPr>
        <w:t xml:space="preserve">Gibson, J. W., Greenwood, R. A., &amp; Murphy, E. F., Jr. (2009). </w:t>
      </w:r>
      <w:r w:rsidRPr="00C6089B">
        <w:rPr>
          <w:rFonts w:ascii="Arial" w:hAnsi="Arial" w:cs="Arial"/>
          <w:i/>
          <w:iCs/>
          <w:sz w:val="24"/>
          <w:szCs w:val="24"/>
        </w:rPr>
        <w:t>Generational differences in the workplace: Personal values, behaviours, and popular beliefs</w:t>
      </w:r>
      <w:r w:rsidRPr="00C6089B">
        <w:rPr>
          <w:rFonts w:ascii="Arial" w:hAnsi="Arial" w:cs="Arial"/>
          <w:sz w:val="24"/>
          <w:szCs w:val="24"/>
        </w:rPr>
        <w:t>. Journal of Diversity Management, 4(3), 1–8. https://doi.org/10.19030/jdm.v4i3.4959</w:t>
      </w:r>
    </w:p>
    <w:p w14:paraId="25B58B05" w14:textId="77777777" w:rsidR="001D2C76" w:rsidRPr="00C6089B" w:rsidRDefault="001D2C76" w:rsidP="001D2C76">
      <w:pPr>
        <w:spacing w:line="360" w:lineRule="auto"/>
        <w:jc w:val="both"/>
        <w:rPr>
          <w:rFonts w:ascii="Arial" w:hAnsi="Arial" w:cs="Arial"/>
          <w:sz w:val="24"/>
          <w:szCs w:val="24"/>
        </w:rPr>
      </w:pPr>
      <w:r w:rsidRPr="00C6089B">
        <w:rPr>
          <w:rFonts w:ascii="Arial" w:hAnsi="Arial" w:cs="Arial"/>
          <w:sz w:val="24"/>
          <w:szCs w:val="24"/>
        </w:rPr>
        <w:t xml:space="preserve">Green, A. P., Eigel, L. M., James, J. B., Hartmann, D., &amp; McLean, K. M. (2012). </w:t>
      </w:r>
      <w:r w:rsidRPr="00C6089B">
        <w:rPr>
          <w:rFonts w:ascii="Arial" w:hAnsi="Arial" w:cs="Arial"/>
          <w:i/>
          <w:iCs/>
          <w:sz w:val="24"/>
          <w:szCs w:val="24"/>
        </w:rPr>
        <w:t>Multiple generations in the workplace: Exploring the research, influence of stereotypes and organizational applications</w:t>
      </w:r>
      <w:r w:rsidRPr="00C6089B">
        <w:rPr>
          <w:rFonts w:ascii="Arial" w:hAnsi="Arial" w:cs="Arial"/>
          <w:sz w:val="24"/>
          <w:szCs w:val="24"/>
        </w:rPr>
        <w:t>. In J. W. Hedge &amp; W. C. Borman (Eds.), Oxford library of psychology. The Oxford handbook of work and aging (pp. 483–500). Oxford University Press</w:t>
      </w:r>
    </w:p>
    <w:p w14:paraId="40A2FB49" w14:textId="77777777" w:rsidR="001D2C76" w:rsidRPr="00C6089B" w:rsidRDefault="001D2C76" w:rsidP="001D2C76">
      <w:pPr>
        <w:spacing w:line="360" w:lineRule="auto"/>
        <w:jc w:val="both"/>
        <w:rPr>
          <w:rFonts w:ascii="Arial" w:hAnsi="Arial" w:cs="Arial"/>
          <w:sz w:val="24"/>
          <w:szCs w:val="24"/>
        </w:rPr>
      </w:pPr>
      <w:r w:rsidRPr="00C6089B">
        <w:rPr>
          <w:rFonts w:ascii="Arial" w:hAnsi="Arial" w:cs="Arial"/>
          <w:sz w:val="24"/>
          <w:szCs w:val="24"/>
        </w:rPr>
        <w:t xml:space="preserve">Hughes, J. (2020, February 19). </w:t>
      </w:r>
      <w:r w:rsidRPr="00C6089B">
        <w:rPr>
          <w:rFonts w:ascii="Arial" w:hAnsi="Arial" w:cs="Arial"/>
          <w:i/>
          <w:iCs/>
          <w:sz w:val="24"/>
          <w:szCs w:val="24"/>
        </w:rPr>
        <w:t>Need to Keep Gen Z Workers Happy? Hire a ‘Generational Consultant</w:t>
      </w:r>
      <w:r w:rsidRPr="00C6089B">
        <w:rPr>
          <w:rFonts w:ascii="Arial" w:hAnsi="Arial" w:cs="Arial"/>
          <w:sz w:val="24"/>
          <w:szCs w:val="24"/>
        </w:rPr>
        <w:t>.’ The New York Times Magazine.</w:t>
      </w:r>
    </w:p>
    <w:p w14:paraId="478EE966" w14:textId="77777777" w:rsidR="001D2C76" w:rsidRPr="00C6089B" w:rsidRDefault="001D2C76" w:rsidP="001D2C76">
      <w:pPr>
        <w:spacing w:line="360" w:lineRule="auto"/>
        <w:jc w:val="both"/>
        <w:rPr>
          <w:rFonts w:ascii="Arial" w:hAnsi="Arial" w:cs="Arial"/>
          <w:sz w:val="24"/>
          <w:szCs w:val="24"/>
        </w:rPr>
      </w:pPr>
      <w:r w:rsidRPr="00C6089B">
        <w:rPr>
          <w:rFonts w:ascii="Arial" w:hAnsi="Arial" w:cs="Arial"/>
          <w:sz w:val="24"/>
          <w:szCs w:val="24"/>
        </w:rPr>
        <w:t xml:space="preserve">Leslie, B., Anderson, C., Bickham, C. et al. </w:t>
      </w:r>
      <w:r w:rsidRPr="00C6089B">
        <w:rPr>
          <w:rFonts w:ascii="Arial" w:hAnsi="Arial" w:cs="Arial"/>
          <w:i/>
          <w:iCs/>
          <w:sz w:val="24"/>
          <w:szCs w:val="24"/>
        </w:rPr>
        <w:t>Generation Z Perceptions of a Positive Workplace Environment. Employ Response Rights</w:t>
      </w:r>
      <w:r w:rsidRPr="00C6089B">
        <w:rPr>
          <w:rFonts w:ascii="Arial" w:hAnsi="Arial" w:cs="Arial"/>
          <w:sz w:val="24"/>
          <w:szCs w:val="24"/>
        </w:rPr>
        <w:t xml:space="preserve"> J 33, 171–187 (2021).on https://doi.org/10.1007/s10672-021-09366-2</w:t>
      </w:r>
    </w:p>
    <w:p w14:paraId="509CCBA4" w14:textId="77777777" w:rsidR="001D2C76" w:rsidRPr="00C6089B" w:rsidRDefault="001D2C76" w:rsidP="001D2C76">
      <w:pPr>
        <w:spacing w:line="360" w:lineRule="auto"/>
        <w:jc w:val="both"/>
        <w:rPr>
          <w:rFonts w:ascii="Arial" w:hAnsi="Arial" w:cs="Arial"/>
          <w:sz w:val="24"/>
          <w:szCs w:val="24"/>
        </w:rPr>
      </w:pPr>
      <w:r w:rsidRPr="00C6089B">
        <w:rPr>
          <w:rFonts w:ascii="Arial" w:hAnsi="Arial" w:cs="Arial"/>
          <w:sz w:val="24"/>
          <w:szCs w:val="24"/>
        </w:rPr>
        <w:t xml:space="preserve">Mannheim, K. (1952). </w:t>
      </w:r>
      <w:r w:rsidRPr="00C6089B">
        <w:rPr>
          <w:rFonts w:ascii="Arial" w:hAnsi="Arial" w:cs="Arial"/>
          <w:i/>
          <w:iCs/>
          <w:sz w:val="24"/>
          <w:szCs w:val="24"/>
        </w:rPr>
        <w:t>The problem of generations</w:t>
      </w:r>
      <w:r w:rsidRPr="00C6089B">
        <w:rPr>
          <w:rFonts w:ascii="Arial" w:hAnsi="Arial" w:cs="Arial"/>
          <w:sz w:val="24"/>
          <w:szCs w:val="24"/>
        </w:rPr>
        <w:t xml:space="preserve">. In P. </w:t>
      </w:r>
      <w:proofErr w:type="spellStart"/>
      <w:r w:rsidRPr="00C6089B">
        <w:rPr>
          <w:rFonts w:ascii="Arial" w:hAnsi="Arial" w:cs="Arial"/>
          <w:sz w:val="24"/>
          <w:szCs w:val="24"/>
        </w:rPr>
        <w:t>Kecskemeti</w:t>
      </w:r>
      <w:proofErr w:type="spellEnd"/>
      <w:r w:rsidRPr="00C6089B">
        <w:rPr>
          <w:rFonts w:ascii="Arial" w:hAnsi="Arial" w:cs="Arial"/>
          <w:sz w:val="24"/>
          <w:szCs w:val="24"/>
        </w:rPr>
        <w:t xml:space="preserve"> (Vol. Ed</w:t>
      </w:r>
      <w:r w:rsidRPr="00C6089B">
        <w:rPr>
          <w:rFonts w:ascii="Arial" w:hAnsi="Arial" w:cs="Arial"/>
          <w:i/>
          <w:iCs/>
          <w:sz w:val="24"/>
          <w:szCs w:val="24"/>
        </w:rPr>
        <w:t>.), Essays on the sociology of knowledge: Collected works</w:t>
      </w:r>
      <w:r w:rsidRPr="00C6089B">
        <w:rPr>
          <w:rFonts w:ascii="Arial" w:hAnsi="Arial" w:cs="Arial"/>
          <w:sz w:val="24"/>
          <w:szCs w:val="24"/>
        </w:rPr>
        <w:t>, (pp. 276-322). New York: Routledge.</w:t>
      </w:r>
    </w:p>
    <w:p w14:paraId="2A3D2766" w14:textId="77777777" w:rsidR="001D2C76" w:rsidRPr="00C6089B" w:rsidRDefault="001D2C76" w:rsidP="001D2C76">
      <w:pPr>
        <w:spacing w:line="360" w:lineRule="auto"/>
        <w:jc w:val="both"/>
        <w:rPr>
          <w:rFonts w:ascii="Arial" w:hAnsi="Arial" w:cs="Arial"/>
          <w:sz w:val="24"/>
          <w:szCs w:val="24"/>
        </w:rPr>
      </w:pPr>
      <w:r w:rsidRPr="00C6089B">
        <w:rPr>
          <w:rFonts w:ascii="Arial" w:hAnsi="Arial" w:cs="Arial"/>
          <w:sz w:val="24"/>
          <w:szCs w:val="24"/>
        </w:rPr>
        <w:t xml:space="preserve">Marchington, M. and Wilkinson, A. (2016) </w:t>
      </w:r>
      <w:r w:rsidRPr="00EA666B">
        <w:rPr>
          <w:rFonts w:ascii="Arial" w:hAnsi="Arial" w:cs="Arial"/>
          <w:i/>
          <w:iCs/>
          <w:sz w:val="24"/>
          <w:szCs w:val="24"/>
        </w:rPr>
        <w:t>Human resource management at work</w:t>
      </w:r>
      <w:r w:rsidRPr="00C6089B">
        <w:rPr>
          <w:rFonts w:ascii="Arial" w:hAnsi="Arial" w:cs="Arial"/>
          <w:sz w:val="24"/>
          <w:szCs w:val="24"/>
        </w:rPr>
        <w:t>. 6th ed. London: Chartered Institute of Personnel and Development.</w:t>
      </w:r>
    </w:p>
    <w:p w14:paraId="071D3F36" w14:textId="77777777" w:rsidR="001D2C76" w:rsidRPr="00C6089B" w:rsidRDefault="001D2C76" w:rsidP="001D2C76">
      <w:pPr>
        <w:spacing w:line="360" w:lineRule="auto"/>
        <w:jc w:val="both"/>
        <w:rPr>
          <w:rFonts w:ascii="Arial" w:hAnsi="Arial" w:cs="Arial"/>
          <w:sz w:val="24"/>
          <w:szCs w:val="24"/>
        </w:rPr>
      </w:pPr>
      <w:r w:rsidRPr="00C6089B">
        <w:rPr>
          <w:rFonts w:ascii="Arial" w:hAnsi="Arial" w:cs="Arial"/>
          <w:sz w:val="24"/>
          <w:szCs w:val="24"/>
        </w:rPr>
        <w:t xml:space="preserve">Miller, J. (2018, November). </w:t>
      </w:r>
      <w:r w:rsidRPr="00C6089B">
        <w:rPr>
          <w:rFonts w:ascii="Arial" w:hAnsi="Arial" w:cs="Arial"/>
          <w:i/>
          <w:iCs/>
          <w:sz w:val="24"/>
          <w:szCs w:val="24"/>
        </w:rPr>
        <w:t>10 Things You Need to Know About Gen Z</w:t>
      </w:r>
      <w:r w:rsidRPr="00C6089B">
        <w:rPr>
          <w:rFonts w:ascii="Arial" w:hAnsi="Arial" w:cs="Arial"/>
          <w:sz w:val="24"/>
          <w:szCs w:val="24"/>
        </w:rPr>
        <w:t>. HR Magazine.</w:t>
      </w:r>
    </w:p>
    <w:p w14:paraId="080EB537" w14:textId="77777777" w:rsidR="001D2C76" w:rsidRPr="00C6089B" w:rsidRDefault="001D2C76" w:rsidP="001D2C76">
      <w:pPr>
        <w:spacing w:line="360" w:lineRule="auto"/>
        <w:jc w:val="both"/>
        <w:rPr>
          <w:rFonts w:ascii="Arial" w:hAnsi="Arial" w:cs="Arial"/>
          <w:i/>
          <w:iCs/>
          <w:sz w:val="24"/>
          <w:szCs w:val="24"/>
        </w:rPr>
      </w:pPr>
      <w:r w:rsidRPr="00C6089B">
        <w:rPr>
          <w:rFonts w:ascii="Arial" w:hAnsi="Arial" w:cs="Arial"/>
          <w:sz w:val="24"/>
          <w:szCs w:val="24"/>
        </w:rPr>
        <w:t xml:space="preserve">Schroth, H. (2019). </w:t>
      </w:r>
      <w:r w:rsidRPr="00C6089B">
        <w:rPr>
          <w:rFonts w:ascii="Arial" w:hAnsi="Arial" w:cs="Arial"/>
          <w:i/>
          <w:iCs/>
          <w:sz w:val="24"/>
          <w:szCs w:val="24"/>
        </w:rPr>
        <w:t xml:space="preserve">Are You Ready for Gen Z in the Workplace? California Management </w:t>
      </w:r>
    </w:p>
    <w:p w14:paraId="374AB41B" w14:textId="77777777" w:rsidR="001D2C76" w:rsidRPr="00C6089B" w:rsidRDefault="001D2C76" w:rsidP="001D2C76">
      <w:pPr>
        <w:spacing w:line="360" w:lineRule="auto"/>
        <w:jc w:val="both"/>
        <w:rPr>
          <w:rFonts w:ascii="Arial" w:hAnsi="Arial" w:cs="Arial"/>
          <w:sz w:val="24"/>
          <w:szCs w:val="24"/>
        </w:rPr>
      </w:pPr>
      <w:r w:rsidRPr="00C6089B">
        <w:rPr>
          <w:rFonts w:ascii="Arial" w:hAnsi="Arial" w:cs="Arial"/>
          <w:i/>
          <w:iCs/>
          <w:sz w:val="24"/>
          <w:szCs w:val="24"/>
        </w:rPr>
        <w:t>Review</w:t>
      </w:r>
      <w:r w:rsidRPr="00C6089B">
        <w:rPr>
          <w:rFonts w:ascii="Arial" w:hAnsi="Arial" w:cs="Arial"/>
          <w:sz w:val="24"/>
          <w:szCs w:val="24"/>
        </w:rPr>
        <w:t>, 61(3), 5–18. 10.1177/0008125619841006</w:t>
      </w:r>
    </w:p>
    <w:p w14:paraId="47EC4155" w14:textId="77777777" w:rsidR="001D2C76" w:rsidRPr="00C6089B" w:rsidRDefault="001D2C76" w:rsidP="001D2C76">
      <w:pPr>
        <w:spacing w:line="360" w:lineRule="auto"/>
        <w:jc w:val="both"/>
        <w:rPr>
          <w:rFonts w:ascii="Arial" w:hAnsi="Arial" w:cs="Arial"/>
          <w:sz w:val="24"/>
          <w:szCs w:val="24"/>
        </w:rPr>
      </w:pPr>
      <w:r w:rsidRPr="00C6089B">
        <w:rPr>
          <w:rFonts w:ascii="Arial" w:hAnsi="Arial" w:cs="Arial"/>
          <w:sz w:val="24"/>
          <w:szCs w:val="24"/>
        </w:rPr>
        <w:t xml:space="preserve">Torrington, D, Hall, L, Taylor, S, Atkinson, 2020, </w:t>
      </w:r>
      <w:r w:rsidRPr="00C6089B">
        <w:rPr>
          <w:rFonts w:ascii="Arial" w:hAnsi="Arial" w:cs="Arial"/>
          <w:i/>
          <w:iCs/>
          <w:sz w:val="24"/>
          <w:szCs w:val="24"/>
        </w:rPr>
        <w:t>Human Resource Management</w:t>
      </w:r>
      <w:r w:rsidRPr="00C6089B">
        <w:rPr>
          <w:rFonts w:ascii="Arial" w:hAnsi="Arial" w:cs="Arial"/>
          <w:sz w:val="24"/>
          <w:szCs w:val="24"/>
        </w:rPr>
        <w:t>, Pearson Education, Limited, Harlow</w:t>
      </w:r>
    </w:p>
    <w:p w14:paraId="4D932555" w14:textId="77777777" w:rsidR="001D2C76" w:rsidRPr="00C6089B" w:rsidRDefault="001D2C76" w:rsidP="001D2C76">
      <w:pPr>
        <w:spacing w:line="360" w:lineRule="auto"/>
        <w:jc w:val="both"/>
        <w:rPr>
          <w:rFonts w:ascii="Arial" w:hAnsi="Arial" w:cs="Arial"/>
          <w:sz w:val="24"/>
          <w:szCs w:val="24"/>
        </w:rPr>
      </w:pPr>
      <w:r w:rsidRPr="00C6089B">
        <w:rPr>
          <w:rFonts w:ascii="Arial" w:hAnsi="Arial" w:cs="Arial"/>
          <w:sz w:val="24"/>
          <w:szCs w:val="24"/>
        </w:rPr>
        <w:lastRenderedPageBreak/>
        <w:t xml:space="preserve">Zapier Editorial Team. (2020). </w:t>
      </w:r>
      <w:r w:rsidRPr="00C6089B">
        <w:rPr>
          <w:rFonts w:ascii="Arial" w:hAnsi="Arial" w:cs="Arial"/>
          <w:i/>
          <w:iCs/>
          <w:sz w:val="24"/>
          <w:szCs w:val="24"/>
        </w:rPr>
        <w:t>Misunderstood generations: what Millennials and Gen Z actually think about work</w:t>
      </w:r>
      <w:r w:rsidRPr="00C6089B">
        <w:rPr>
          <w:rFonts w:ascii="Arial" w:hAnsi="Arial" w:cs="Arial"/>
          <w:sz w:val="24"/>
          <w:szCs w:val="24"/>
        </w:rPr>
        <w:t>. Zapier. Retrieved from https://zapier.com/blog/digital-natives-report.</w:t>
      </w:r>
    </w:p>
    <w:p w14:paraId="210C0459" w14:textId="77777777" w:rsidR="001D2C76" w:rsidRDefault="001D2C76" w:rsidP="001D2C76">
      <w:pPr>
        <w:spacing w:line="360" w:lineRule="auto"/>
        <w:jc w:val="both"/>
        <w:rPr>
          <w:rFonts w:ascii="Arial" w:hAnsi="Arial" w:cs="Arial"/>
          <w:sz w:val="24"/>
          <w:szCs w:val="24"/>
        </w:rPr>
      </w:pPr>
      <w:r>
        <w:rPr>
          <w:rFonts w:ascii="Arial" w:hAnsi="Arial" w:cs="Arial"/>
          <w:sz w:val="24"/>
          <w:szCs w:val="24"/>
        </w:rPr>
        <w:t>https://</w:t>
      </w:r>
      <w:r w:rsidRPr="00EA666B">
        <w:rPr>
          <w:rFonts w:ascii="Arial" w:hAnsi="Arial" w:cs="Arial"/>
          <w:sz w:val="24"/>
          <w:szCs w:val="24"/>
        </w:rPr>
        <w:t>www.instituteofcustomerservice.com</w:t>
      </w:r>
    </w:p>
    <w:p w14:paraId="650F9555" w14:textId="77777777" w:rsidR="001D2C76" w:rsidRPr="00C6089B" w:rsidRDefault="001D2C76" w:rsidP="001D2C76">
      <w:pPr>
        <w:spacing w:line="360" w:lineRule="auto"/>
        <w:jc w:val="both"/>
        <w:rPr>
          <w:rFonts w:ascii="Arial" w:hAnsi="Arial" w:cs="Arial"/>
          <w:sz w:val="24"/>
          <w:szCs w:val="24"/>
        </w:rPr>
      </w:pPr>
      <w:r w:rsidRPr="00C6089B">
        <w:rPr>
          <w:rFonts w:ascii="Arial" w:hAnsi="Arial" w:cs="Arial"/>
          <w:sz w:val="24"/>
          <w:szCs w:val="24"/>
        </w:rPr>
        <w:t>https://www.marriott/carrers</w:t>
      </w:r>
    </w:p>
    <w:p w14:paraId="21E0D744" w14:textId="77777777" w:rsidR="001D2C76" w:rsidRPr="00C6089B" w:rsidRDefault="001D2C76" w:rsidP="001D2C76">
      <w:pPr>
        <w:spacing w:line="360" w:lineRule="auto"/>
        <w:jc w:val="both"/>
        <w:rPr>
          <w:rFonts w:ascii="Arial" w:hAnsi="Arial" w:cs="Arial"/>
          <w:sz w:val="24"/>
          <w:szCs w:val="24"/>
        </w:rPr>
      </w:pPr>
      <w:r w:rsidRPr="00C6089B">
        <w:rPr>
          <w:rFonts w:ascii="Arial" w:hAnsi="Arial" w:cs="Arial"/>
          <w:sz w:val="24"/>
          <w:szCs w:val="24"/>
        </w:rPr>
        <w:t>https://www.merriam-webster.com/dictionary/Generation%20Z</w:t>
      </w:r>
    </w:p>
    <w:p w14:paraId="49AF0912" w14:textId="77777777" w:rsidR="001D2C76" w:rsidRDefault="001D2C76" w:rsidP="001D2C76">
      <w:pPr>
        <w:spacing w:line="360" w:lineRule="auto"/>
        <w:jc w:val="both"/>
        <w:rPr>
          <w:rFonts w:ascii="Arial" w:hAnsi="Arial" w:cs="Arial"/>
          <w:sz w:val="24"/>
          <w:szCs w:val="24"/>
        </w:rPr>
      </w:pPr>
      <w:r w:rsidRPr="00C6089B">
        <w:rPr>
          <w:rFonts w:ascii="Arial" w:hAnsi="Arial" w:cs="Arial"/>
          <w:sz w:val="24"/>
          <w:szCs w:val="24"/>
        </w:rPr>
        <w:t>https://www.pewresearch.org/wp-content/uploads/2019/01/FT_19.01.17_generations_2019.png?w=640</w:t>
      </w:r>
    </w:p>
    <w:p w14:paraId="50716002" w14:textId="77777777" w:rsidR="00E47C66" w:rsidRPr="00C6089B" w:rsidRDefault="00E47C66" w:rsidP="00E47C66">
      <w:pPr>
        <w:spacing w:line="360" w:lineRule="auto"/>
        <w:jc w:val="both"/>
        <w:rPr>
          <w:rFonts w:ascii="Arial" w:hAnsi="Arial" w:cs="Arial"/>
          <w:sz w:val="24"/>
          <w:szCs w:val="24"/>
        </w:rPr>
      </w:pPr>
      <w:r w:rsidRPr="00C6089B">
        <w:rPr>
          <w:rFonts w:ascii="Arial" w:hAnsi="Arial" w:cs="Arial"/>
          <w:sz w:val="24"/>
          <w:szCs w:val="24"/>
        </w:rPr>
        <w:t>Generation Z In Merriam-Webster.com dictionary. Retrieved from https://www.merriam-webster.com/dictionary/documentation</w:t>
      </w:r>
    </w:p>
    <w:p w14:paraId="5AFBC84F" w14:textId="77777777" w:rsidR="001D2C76" w:rsidRDefault="001D2C76" w:rsidP="001D2C76">
      <w:pPr>
        <w:spacing w:line="360" w:lineRule="auto"/>
        <w:jc w:val="both"/>
        <w:rPr>
          <w:rFonts w:ascii="Arial" w:hAnsi="Arial" w:cs="Arial"/>
          <w:sz w:val="24"/>
          <w:szCs w:val="24"/>
        </w:rPr>
      </w:pPr>
    </w:p>
    <w:p w14:paraId="08407790" w14:textId="77777777" w:rsidR="001D2C76" w:rsidRDefault="001D2C76" w:rsidP="001D2C76">
      <w:pPr>
        <w:spacing w:line="360" w:lineRule="auto"/>
        <w:jc w:val="both"/>
        <w:rPr>
          <w:rFonts w:ascii="Arial" w:hAnsi="Arial" w:cs="Arial"/>
          <w:sz w:val="24"/>
          <w:szCs w:val="24"/>
        </w:rPr>
      </w:pPr>
    </w:p>
    <w:p w14:paraId="2C378244" w14:textId="77777777" w:rsidR="001D2C76" w:rsidRDefault="001D2C76" w:rsidP="001D2C76">
      <w:pPr>
        <w:spacing w:line="360" w:lineRule="auto"/>
        <w:jc w:val="both"/>
        <w:rPr>
          <w:rFonts w:ascii="Arial" w:hAnsi="Arial" w:cs="Arial"/>
          <w:sz w:val="24"/>
          <w:szCs w:val="24"/>
        </w:rPr>
      </w:pPr>
    </w:p>
    <w:p w14:paraId="688D31F5" w14:textId="77777777" w:rsidR="001D2C76" w:rsidRDefault="001D2C76" w:rsidP="001D2C76">
      <w:pPr>
        <w:spacing w:line="360" w:lineRule="auto"/>
        <w:jc w:val="both"/>
        <w:rPr>
          <w:rFonts w:ascii="Arial" w:hAnsi="Arial" w:cs="Arial"/>
          <w:sz w:val="24"/>
          <w:szCs w:val="24"/>
        </w:rPr>
      </w:pPr>
    </w:p>
    <w:p w14:paraId="0BC27A3F" w14:textId="77777777" w:rsidR="001D2C76" w:rsidRDefault="001D2C76" w:rsidP="001D2C76">
      <w:pPr>
        <w:spacing w:line="360" w:lineRule="auto"/>
        <w:jc w:val="both"/>
        <w:rPr>
          <w:rFonts w:ascii="Arial" w:hAnsi="Arial" w:cs="Arial"/>
          <w:sz w:val="24"/>
          <w:szCs w:val="24"/>
        </w:rPr>
      </w:pPr>
    </w:p>
    <w:p w14:paraId="3ED86820" w14:textId="77777777" w:rsidR="001D2C76" w:rsidRDefault="001D2C76" w:rsidP="001D2C76">
      <w:pPr>
        <w:spacing w:line="360" w:lineRule="auto"/>
        <w:jc w:val="both"/>
        <w:rPr>
          <w:rFonts w:ascii="Arial" w:hAnsi="Arial" w:cs="Arial"/>
          <w:sz w:val="24"/>
          <w:szCs w:val="24"/>
        </w:rPr>
      </w:pPr>
    </w:p>
    <w:p w14:paraId="0F1F7808" w14:textId="77777777" w:rsidR="001D2C76" w:rsidRDefault="001D2C76" w:rsidP="001D2C76">
      <w:pPr>
        <w:spacing w:line="360" w:lineRule="auto"/>
        <w:jc w:val="both"/>
        <w:rPr>
          <w:rFonts w:ascii="Arial" w:hAnsi="Arial" w:cs="Arial"/>
          <w:sz w:val="24"/>
          <w:szCs w:val="24"/>
        </w:rPr>
      </w:pPr>
    </w:p>
    <w:p w14:paraId="454C8DAB" w14:textId="77777777" w:rsidR="001D2C76" w:rsidRDefault="001D2C76" w:rsidP="001D2C76">
      <w:pPr>
        <w:spacing w:line="360" w:lineRule="auto"/>
        <w:jc w:val="both"/>
        <w:rPr>
          <w:rFonts w:ascii="Arial" w:hAnsi="Arial" w:cs="Arial"/>
          <w:sz w:val="24"/>
          <w:szCs w:val="24"/>
        </w:rPr>
      </w:pPr>
    </w:p>
    <w:p w14:paraId="24E3ACE5" w14:textId="77777777" w:rsidR="001D2C76" w:rsidRDefault="001D2C76" w:rsidP="001D2C76">
      <w:pPr>
        <w:spacing w:line="360" w:lineRule="auto"/>
        <w:jc w:val="both"/>
        <w:rPr>
          <w:rFonts w:ascii="Arial" w:hAnsi="Arial" w:cs="Arial"/>
          <w:sz w:val="24"/>
          <w:szCs w:val="24"/>
        </w:rPr>
      </w:pPr>
    </w:p>
    <w:p w14:paraId="4D6C8384" w14:textId="77777777" w:rsidR="001D2C76" w:rsidRDefault="001D2C76" w:rsidP="001D2C76">
      <w:pPr>
        <w:spacing w:line="360" w:lineRule="auto"/>
        <w:jc w:val="both"/>
        <w:rPr>
          <w:rFonts w:ascii="Arial" w:hAnsi="Arial" w:cs="Arial"/>
          <w:sz w:val="24"/>
          <w:szCs w:val="24"/>
        </w:rPr>
      </w:pPr>
    </w:p>
    <w:p w14:paraId="56FE2CE1" w14:textId="77777777" w:rsidR="001D2C76" w:rsidRDefault="001D2C76" w:rsidP="001D2C76">
      <w:pPr>
        <w:spacing w:line="360" w:lineRule="auto"/>
        <w:jc w:val="both"/>
        <w:rPr>
          <w:rFonts w:ascii="Arial" w:hAnsi="Arial" w:cs="Arial"/>
          <w:sz w:val="24"/>
          <w:szCs w:val="24"/>
        </w:rPr>
      </w:pPr>
    </w:p>
    <w:p w14:paraId="700C89FA" w14:textId="77777777" w:rsidR="001D2C76" w:rsidRDefault="001D2C76" w:rsidP="001D2C76">
      <w:pPr>
        <w:spacing w:line="360" w:lineRule="auto"/>
        <w:jc w:val="both"/>
        <w:rPr>
          <w:rFonts w:ascii="Arial" w:hAnsi="Arial" w:cs="Arial"/>
          <w:sz w:val="24"/>
          <w:szCs w:val="24"/>
        </w:rPr>
      </w:pPr>
    </w:p>
    <w:p w14:paraId="2C163EA6" w14:textId="77777777" w:rsidR="001D2C76" w:rsidRDefault="001D2C76" w:rsidP="001D2C76">
      <w:pPr>
        <w:spacing w:line="360" w:lineRule="auto"/>
        <w:jc w:val="both"/>
        <w:rPr>
          <w:rFonts w:ascii="Arial" w:hAnsi="Arial" w:cs="Arial"/>
          <w:sz w:val="24"/>
          <w:szCs w:val="24"/>
        </w:rPr>
      </w:pPr>
    </w:p>
    <w:p w14:paraId="6C6E1F79" w14:textId="77777777" w:rsidR="001D2C76" w:rsidRDefault="001D2C76" w:rsidP="001D2C76">
      <w:pPr>
        <w:spacing w:line="360" w:lineRule="auto"/>
        <w:jc w:val="both"/>
        <w:rPr>
          <w:rFonts w:ascii="Arial" w:hAnsi="Arial" w:cs="Arial"/>
          <w:sz w:val="24"/>
          <w:szCs w:val="24"/>
        </w:rPr>
      </w:pPr>
    </w:p>
    <w:p w14:paraId="57BA5580" w14:textId="77777777" w:rsidR="001D2C76" w:rsidRDefault="001D2C76" w:rsidP="001D2C76">
      <w:pPr>
        <w:spacing w:line="360" w:lineRule="auto"/>
        <w:jc w:val="both"/>
        <w:rPr>
          <w:rFonts w:ascii="Arial" w:hAnsi="Arial" w:cs="Arial"/>
          <w:sz w:val="24"/>
          <w:szCs w:val="24"/>
        </w:rPr>
      </w:pPr>
    </w:p>
    <w:p w14:paraId="6C0C03FE" w14:textId="77777777" w:rsidR="001D2C76" w:rsidRDefault="001D2C76" w:rsidP="001D2C76">
      <w:pPr>
        <w:spacing w:line="360" w:lineRule="auto"/>
        <w:jc w:val="both"/>
        <w:rPr>
          <w:rFonts w:ascii="Arial" w:hAnsi="Arial" w:cs="Arial"/>
          <w:sz w:val="24"/>
          <w:szCs w:val="24"/>
        </w:rPr>
      </w:pPr>
    </w:p>
    <w:p w14:paraId="7CB21EB0" w14:textId="77777777" w:rsidR="001D2C76" w:rsidRDefault="001D2C76" w:rsidP="001D2C76">
      <w:pPr>
        <w:spacing w:line="360" w:lineRule="auto"/>
        <w:jc w:val="both"/>
        <w:rPr>
          <w:rFonts w:ascii="Arial" w:hAnsi="Arial" w:cs="Arial"/>
          <w:sz w:val="24"/>
          <w:szCs w:val="24"/>
        </w:rPr>
      </w:pPr>
    </w:p>
    <w:p w14:paraId="1B82BAB0" w14:textId="77777777" w:rsidR="001D2C76" w:rsidRDefault="001D2C76" w:rsidP="001D2C76">
      <w:pPr>
        <w:spacing w:line="360" w:lineRule="auto"/>
        <w:jc w:val="both"/>
        <w:rPr>
          <w:rFonts w:ascii="Arial" w:hAnsi="Arial" w:cs="Arial"/>
          <w:sz w:val="24"/>
          <w:szCs w:val="24"/>
        </w:rPr>
      </w:pPr>
    </w:p>
    <w:p w14:paraId="27504E1B" w14:textId="77777777" w:rsidR="001D2C76" w:rsidRDefault="001D2C76" w:rsidP="001D2C76">
      <w:pPr>
        <w:spacing w:line="360" w:lineRule="auto"/>
        <w:jc w:val="both"/>
        <w:rPr>
          <w:rFonts w:ascii="Arial" w:hAnsi="Arial" w:cs="Arial"/>
          <w:sz w:val="24"/>
          <w:szCs w:val="24"/>
        </w:rPr>
      </w:pPr>
    </w:p>
    <w:p w14:paraId="4877B42E" w14:textId="77777777" w:rsidR="001D2C76" w:rsidRDefault="001D2C76" w:rsidP="001D2C76">
      <w:pPr>
        <w:spacing w:line="360" w:lineRule="auto"/>
        <w:jc w:val="both"/>
        <w:rPr>
          <w:rFonts w:ascii="Arial" w:hAnsi="Arial" w:cs="Arial"/>
          <w:sz w:val="24"/>
          <w:szCs w:val="24"/>
        </w:rPr>
      </w:pPr>
    </w:p>
    <w:p w14:paraId="031D4C55" w14:textId="77777777" w:rsidR="00E47C66" w:rsidRDefault="00E47C66" w:rsidP="001D2C76">
      <w:pPr>
        <w:spacing w:line="360" w:lineRule="auto"/>
        <w:jc w:val="both"/>
        <w:rPr>
          <w:rFonts w:ascii="Arial" w:hAnsi="Arial" w:cs="Arial"/>
          <w:sz w:val="24"/>
          <w:szCs w:val="24"/>
        </w:rPr>
      </w:pPr>
    </w:p>
    <w:p w14:paraId="226EE2BF" w14:textId="77777777" w:rsidR="001D2C76" w:rsidRDefault="001D2C76" w:rsidP="001D2C76">
      <w:pPr>
        <w:spacing w:line="360" w:lineRule="auto"/>
        <w:jc w:val="both"/>
        <w:rPr>
          <w:rFonts w:ascii="Arial" w:hAnsi="Arial" w:cs="Arial"/>
          <w:sz w:val="24"/>
          <w:szCs w:val="24"/>
        </w:rPr>
      </w:pPr>
    </w:p>
    <w:p w14:paraId="12FD8BA9" w14:textId="77777777" w:rsidR="001D2C76" w:rsidRPr="00C6089B" w:rsidRDefault="001D2C76" w:rsidP="001D2C76">
      <w:pPr>
        <w:spacing w:line="360" w:lineRule="auto"/>
        <w:jc w:val="both"/>
        <w:rPr>
          <w:rFonts w:ascii="Arial" w:hAnsi="Arial" w:cs="Arial"/>
          <w:sz w:val="24"/>
          <w:szCs w:val="24"/>
        </w:rPr>
      </w:pPr>
    </w:p>
    <w:p w14:paraId="23E396CE" w14:textId="77777777" w:rsidR="001D2C76" w:rsidRPr="00C6089B" w:rsidRDefault="001D2C76" w:rsidP="001D2C76">
      <w:pPr>
        <w:spacing w:line="360" w:lineRule="auto"/>
        <w:jc w:val="both"/>
        <w:rPr>
          <w:rFonts w:ascii="Arial" w:hAnsi="Arial" w:cs="Arial"/>
          <w:sz w:val="24"/>
          <w:szCs w:val="24"/>
        </w:rPr>
      </w:pPr>
      <w:r w:rsidRPr="00C6089B">
        <w:rPr>
          <w:rFonts w:ascii="Arial" w:hAnsi="Arial" w:cs="Arial"/>
          <w:sz w:val="24"/>
          <w:szCs w:val="24"/>
        </w:rPr>
        <w:lastRenderedPageBreak/>
        <w:t>Appendix</w:t>
      </w:r>
    </w:p>
    <w:p w14:paraId="6D1D3074" w14:textId="77777777" w:rsidR="001D2C76" w:rsidRDefault="001D2C76" w:rsidP="001D2C76">
      <w:pPr>
        <w:spacing w:line="360" w:lineRule="auto"/>
        <w:jc w:val="both"/>
        <w:rPr>
          <w:rFonts w:ascii="Arial" w:hAnsi="Arial" w:cs="Arial"/>
          <w:sz w:val="20"/>
          <w:szCs w:val="20"/>
        </w:rPr>
      </w:pPr>
    </w:p>
    <w:p w14:paraId="13D8C742" w14:textId="77777777" w:rsidR="001D2C76" w:rsidRDefault="001D2C76" w:rsidP="001D2C76">
      <w:pPr>
        <w:spacing w:line="360" w:lineRule="auto"/>
        <w:jc w:val="both"/>
        <w:rPr>
          <w:rFonts w:ascii="Arial" w:hAnsi="Arial" w:cs="Arial"/>
          <w:sz w:val="20"/>
          <w:szCs w:val="20"/>
        </w:rPr>
      </w:pPr>
      <w:r>
        <w:rPr>
          <w:noProof/>
        </w:rPr>
        <w:drawing>
          <wp:inline distT="0" distB="0" distL="0" distR="0" wp14:anchorId="4F6E4D78" wp14:editId="559EDF5E">
            <wp:extent cx="5172075" cy="2486025"/>
            <wp:effectExtent l="0" t="0" r="9525" b="9525"/>
            <wp:docPr id="1714475504" name="Picture 1" descr="A graph showing the birth of a chil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4475504" name="Picture 1" descr="A graph showing the birth of a child&#10;&#10;Description automatically generated"/>
                    <pic:cNvPicPr/>
                  </pic:nvPicPr>
                  <pic:blipFill>
                    <a:blip r:embed="rId4"/>
                    <a:stretch>
                      <a:fillRect/>
                    </a:stretch>
                  </pic:blipFill>
                  <pic:spPr>
                    <a:xfrm>
                      <a:off x="0" y="0"/>
                      <a:ext cx="5172075" cy="2486025"/>
                    </a:xfrm>
                    <a:prstGeom prst="rect">
                      <a:avLst/>
                    </a:prstGeom>
                  </pic:spPr>
                </pic:pic>
              </a:graphicData>
            </a:graphic>
          </wp:inline>
        </w:drawing>
      </w:r>
    </w:p>
    <w:p w14:paraId="7E60DEDA" w14:textId="77777777" w:rsidR="001D2C76" w:rsidRDefault="001D2C76" w:rsidP="001D2C76">
      <w:pPr>
        <w:spacing w:line="360" w:lineRule="auto"/>
        <w:jc w:val="both"/>
        <w:rPr>
          <w:rFonts w:ascii="Arial" w:hAnsi="Arial" w:cs="Arial"/>
          <w:sz w:val="20"/>
          <w:szCs w:val="20"/>
        </w:rPr>
      </w:pPr>
      <w:hyperlink r:id="rId5" w:history="1">
        <w:r w:rsidRPr="00EF1141">
          <w:rPr>
            <w:rStyle w:val="Hyperlink"/>
            <w:rFonts w:ascii="Arial" w:hAnsi="Arial" w:cs="Arial"/>
            <w:sz w:val="20"/>
            <w:szCs w:val="20"/>
          </w:rPr>
          <w:t>https://www.pewresearch.org/wp-content/uploads/2019/01/FT_19.01.17_generations_2019.png?w=640</w:t>
        </w:r>
      </w:hyperlink>
    </w:p>
    <w:p w14:paraId="65525405" w14:textId="77777777" w:rsidR="001D2C76" w:rsidRDefault="001D2C76" w:rsidP="001D2C76">
      <w:pPr>
        <w:spacing w:line="360" w:lineRule="auto"/>
        <w:jc w:val="both"/>
        <w:rPr>
          <w:rFonts w:ascii="Arial" w:hAnsi="Arial" w:cs="Arial"/>
          <w:sz w:val="20"/>
          <w:szCs w:val="20"/>
        </w:rPr>
      </w:pPr>
    </w:p>
    <w:p w14:paraId="226E235A" w14:textId="77777777" w:rsidR="001D2C76" w:rsidRDefault="001D2C76" w:rsidP="001D2C76">
      <w:pPr>
        <w:spacing w:line="360" w:lineRule="auto"/>
        <w:jc w:val="both"/>
        <w:rPr>
          <w:rFonts w:ascii="Arial" w:hAnsi="Arial" w:cs="Arial"/>
          <w:sz w:val="20"/>
          <w:szCs w:val="20"/>
        </w:rPr>
      </w:pPr>
      <w:r>
        <w:rPr>
          <w:rFonts w:ascii="Arial" w:hAnsi="Arial" w:cs="Arial"/>
          <w:noProof/>
          <w:sz w:val="20"/>
          <w:szCs w:val="20"/>
        </w:rPr>
        <w:drawing>
          <wp:inline distT="0" distB="0" distL="0" distR="0" wp14:anchorId="4AEBECC5" wp14:editId="57E71051">
            <wp:extent cx="2617607" cy="4379526"/>
            <wp:effectExtent l="0" t="0" r="0" b="2540"/>
            <wp:docPr id="2124945732" name="Picture 1" descr="A screenshot of a cell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4945732" name="Picture 1" descr="A screenshot of a cellphone&#10;&#10;Description automatically generated"/>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668614" cy="4464866"/>
                    </a:xfrm>
                    <a:prstGeom prst="rect">
                      <a:avLst/>
                    </a:prstGeom>
                    <a:noFill/>
                  </pic:spPr>
                </pic:pic>
              </a:graphicData>
            </a:graphic>
          </wp:inline>
        </w:drawing>
      </w:r>
    </w:p>
    <w:p w14:paraId="764EFDDF" w14:textId="77777777" w:rsidR="001D2C76" w:rsidRPr="00482F0C" w:rsidRDefault="001D2C76" w:rsidP="001D2C76">
      <w:pPr>
        <w:spacing w:line="360" w:lineRule="auto"/>
        <w:jc w:val="both"/>
        <w:rPr>
          <w:rFonts w:ascii="Arial" w:hAnsi="Arial" w:cs="Arial"/>
          <w:sz w:val="20"/>
          <w:szCs w:val="20"/>
        </w:rPr>
      </w:pPr>
      <w:hyperlink r:id="rId7" w:history="1">
        <w:r w:rsidRPr="00EF1141">
          <w:rPr>
            <w:rStyle w:val="Hyperlink"/>
            <w:rFonts w:ascii="Arial" w:hAnsi="Arial" w:cs="Arial"/>
            <w:sz w:val="20"/>
            <w:szCs w:val="20"/>
          </w:rPr>
          <w:t>https://images.ctfassets.net/lzny33ho1g45/6RtAlTIdky6kLcUb6aC1jd/5ec2eede3b1cbc15ee93a3d837aaa234/Three_quarters_of_knowledge_workers_are_willing_to_quit_their_job_to_go_remote?w=400</w:t>
        </w:r>
      </w:hyperlink>
    </w:p>
    <w:p w14:paraId="5FFAA87F" w14:textId="77777777" w:rsidR="00E478DC" w:rsidRDefault="00E478DC"/>
    <w:sectPr w:rsidR="00E478DC" w:rsidSect="001D2C76">
      <w:pgSz w:w="11906" w:h="16838"/>
      <w:pgMar w:top="737" w:right="851" w:bottom="680" w:left="851"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2C76"/>
    <w:rsid w:val="00072B55"/>
    <w:rsid w:val="00093EDA"/>
    <w:rsid w:val="000E258C"/>
    <w:rsid w:val="0018526A"/>
    <w:rsid w:val="00196D33"/>
    <w:rsid w:val="001A003C"/>
    <w:rsid w:val="001D2C76"/>
    <w:rsid w:val="001E7773"/>
    <w:rsid w:val="00240717"/>
    <w:rsid w:val="00390E27"/>
    <w:rsid w:val="00506CC5"/>
    <w:rsid w:val="00581DFA"/>
    <w:rsid w:val="0059558D"/>
    <w:rsid w:val="007068EA"/>
    <w:rsid w:val="00957CA6"/>
    <w:rsid w:val="009D570C"/>
    <w:rsid w:val="00B55DEA"/>
    <w:rsid w:val="00CE1EB5"/>
    <w:rsid w:val="00CF5C32"/>
    <w:rsid w:val="00D46B32"/>
    <w:rsid w:val="00DA6363"/>
    <w:rsid w:val="00DE3AF3"/>
    <w:rsid w:val="00E12DE4"/>
    <w:rsid w:val="00E478DC"/>
    <w:rsid w:val="00E47C66"/>
    <w:rsid w:val="00F565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D18D28"/>
  <w15:chartTrackingRefBased/>
  <w15:docId w15:val="{FEB06761-7EB3-4CB4-86A7-BF70F5E5FE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D2C76"/>
    <w:pPr>
      <w:spacing w:after="80" w:line="240" w:lineRule="auto"/>
    </w:pPr>
    <w:rPr>
      <w:kern w:val="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D2C76"/>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images.ctfassets.net/lzny33ho1g45/6RtAlTIdky6kLcUb6aC1jd/5ec2eede3b1cbc15ee93a3d837aaa234/Three_quarters_of_knowledge_workers_are_willing_to_quit_their_job_to_go_remote?w=400"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2.png"/><Relationship Id="rId5" Type="http://schemas.openxmlformats.org/officeDocument/2006/relationships/hyperlink" Target="https://www.pewresearch.org/wp-content/uploads/2019/01/FT_19.01.17_generations_2019.png?w=640" TargetMode="External"/><Relationship Id="rId4" Type="http://schemas.openxmlformats.org/officeDocument/2006/relationships/image" Target="media/image1.png"/><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2916</Words>
  <Characters>16625</Characters>
  <Application>Microsoft Office Word</Application>
  <DocSecurity>0</DocSecurity>
  <Lines>138</Lines>
  <Paragraphs>39</Paragraphs>
  <ScaleCrop>false</ScaleCrop>
  <Company/>
  <LinksUpToDate>false</LinksUpToDate>
  <CharactersWithSpaces>19502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Catalina Gabriela Dumitru</dc:creator>
  <cp:keywords/>
  <dc:description/>
  <cp:lastModifiedBy>Catalina Gabriela Dumitru</cp:lastModifiedBy>
  <cp:revision>24</cp:revision>
  <dcterms:created xsi:type="dcterms:W3CDTF">2023-10-22T23:42:00Z</dcterms:created>
  <dcterms:modified xsi:type="dcterms:W3CDTF">2023-10-23T00:14:00Z</dcterms:modified>
</cp:coreProperties>
</file>