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33A25" w:rsidRPr="005A6A01" w:rsidRDefault="00A33A25" w:rsidP="00A33A25">
      <w:pPr>
        <w:spacing w:after="480"/>
        <w:jc w:val="center"/>
        <w:rPr>
          <w:rFonts w:cs="Arial"/>
          <w:b/>
          <w:sz w:val="32"/>
        </w:rPr>
      </w:pPr>
      <w:r w:rsidRPr="005A6A01">
        <w:rPr>
          <w:rFonts w:cs="Arial"/>
          <w:b/>
          <w:sz w:val="28"/>
        </w:rPr>
        <w:t>LCDB7007 Research Principles and Philosophy</w:t>
      </w:r>
    </w:p>
    <w:p w:rsidR="00A33A25" w:rsidRPr="009E1183" w:rsidRDefault="00A33A25" w:rsidP="00A33A25">
      <w:pPr>
        <w:jc w:val="center"/>
        <w:rPr>
          <w:b/>
        </w:rPr>
      </w:pPr>
      <w:r w:rsidRPr="009E1183">
        <w:rPr>
          <w:b/>
        </w:rPr>
        <w:t xml:space="preserve">Developing an </w:t>
      </w:r>
      <w:proofErr w:type="spellStart"/>
      <w:r w:rsidRPr="009E1183">
        <w:rPr>
          <w:b/>
        </w:rPr>
        <w:t>Organisational</w:t>
      </w:r>
      <w:proofErr w:type="spellEnd"/>
      <w:r w:rsidRPr="009E1183">
        <w:rPr>
          <w:b/>
        </w:rPr>
        <w:t xml:space="preserve"> Capability Framework for E-Commerce Value </w:t>
      </w:r>
      <w:proofErr w:type="spellStart"/>
      <w:r w:rsidRPr="009E1183">
        <w:rPr>
          <w:b/>
        </w:rPr>
        <w:t>Realisation</w:t>
      </w:r>
      <w:proofErr w:type="spellEnd"/>
      <w:r w:rsidRPr="009E1183">
        <w:rPr>
          <w:b/>
        </w:rPr>
        <w:t xml:space="preserve"> in Bangladeshi Retail SMEs</w:t>
      </w:r>
    </w:p>
    <w:p w:rsidR="00A33A25" w:rsidRPr="009E1183" w:rsidRDefault="00A33A25" w:rsidP="00A33A25">
      <w:pPr>
        <w:jc w:val="center"/>
        <w:rPr>
          <w:rFonts w:cs="Arial"/>
          <w:sz w:val="22"/>
        </w:rPr>
      </w:pPr>
      <w:r w:rsidRPr="009E1183">
        <w:rPr>
          <w:b/>
        </w:rPr>
        <w:t>Student ID:</w:t>
      </w:r>
      <w:r w:rsidRPr="009E1183">
        <w:t xml:space="preserve"> </w:t>
      </w:r>
      <w:r w:rsidRPr="009E1183">
        <w:rPr>
          <w:rFonts w:cs="Arial"/>
          <w:sz w:val="22"/>
        </w:rPr>
        <w:t>2519345</w:t>
      </w:r>
    </w:p>
    <w:p w:rsidR="00A33A25" w:rsidRPr="009E1183" w:rsidRDefault="00A33A25" w:rsidP="00A33A25">
      <w:pPr>
        <w:jc w:val="center"/>
      </w:pPr>
      <w:r w:rsidRPr="009E1183">
        <w:rPr>
          <w:rFonts w:cs="Arial"/>
          <w:b/>
          <w:sz w:val="22"/>
        </w:rPr>
        <w:t>Word count:</w:t>
      </w:r>
      <w:r w:rsidR="00E6747F">
        <w:rPr>
          <w:rFonts w:cs="Arial"/>
          <w:b/>
          <w:sz w:val="22"/>
        </w:rPr>
        <w:t xml:space="preserve"> 7741</w:t>
      </w:r>
    </w:p>
    <w:p w:rsidR="00A33A25" w:rsidRPr="005A6A01" w:rsidRDefault="00A33A25" w:rsidP="00A33A25">
      <w:pPr>
        <w:rPr>
          <w:rFonts w:cs="Arial"/>
        </w:rPr>
      </w:pPr>
    </w:p>
    <w:p w:rsidR="00A33A25" w:rsidRPr="005A6A01" w:rsidRDefault="00A33A25" w:rsidP="00A33A25">
      <w:pPr>
        <w:rPr>
          <w:rFonts w:cs="Arial"/>
        </w:rPr>
      </w:pPr>
      <w:r w:rsidRPr="005A6A01">
        <w:rPr>
          <w:rFonts w:cs="Arial"/>
        </w:rPr>
        <w:br/>
      </w:r>
    </w:p>
    <w:p w:rsidR="00A33A25" w:rsidRDefault="00A33A25" w:rsidP="00A33A25">
      <w:pPr>
        <w:rPr>
          <w:rFonts w:cs="Arial"/>
        </w:rPr>
      </w:pPr>
    </w:p>
    <w:p w:rsidR="00A33A25" w:rsidRDefault="00A33A25" w:rsidP="00A33A25">
      <w:pPr>
        <w:rPr>
          <w:rFonts w:cs="Arial"/>
        </w:rPr>
      </w:pPr>
    </w:p>
    <w:p w:rsidR="00A33A25" w:rsidRDefault="00A33A25" w:rsidP="00A33A25">
      <w:pPr>
        <w:rPr>
          <w:rFonts w:cs="Arial"/>
        </w:rPr>
      </w:pPr>
    </w:p>
    <w:p w:rsidR="00A33A25" w:rsidRDefault="00A33A25" w:rsidP="00A33A25">
      <w:pPr>
        <w:rPr>
          <w:rFonts w:cs="Arial"/>
        </w:rPr>
      </w:pPr>
    </w:p>
    <w:p w:rsidR="00A33A25" w:rsidRDefault="00A33A25" w:rsidP="00A33A25">
      <w:pPr>
        <w:rPr>
          <w:rFonts w:cs="Arial"/>
        </w:rPr>
      </w:pPr>
    </w:p>
    <w:p w:rsidR="00A33A25" w:rsidRDefault="00A33A25" w:rsidP="00A33A25">
      <w:pPr>
        <w:rPr>
          <w:rFonts w:cs="Arial"/>
        </w:rPr>
      </w:pPr>
    </w:p>
    <w:p w:rsidR="00A33A25" w:rsidRDefault="00A33A25" w:rsidP="00A33A25">
      <w:pPr>
        <w:rPr>
          <w:rFonts w:cs="Arial"/>
        </w:rPr>
      </w:pPr>
    </w:p>
    <w:p w:rsidR="00A33A25" w:rsidRDefault="00A33A25" w:rsidP="00A33A25">
      <w:pPr>
        <w:rPr>
          <w:rFonts w:cs="Arial"/>
        </w:rPr>
      </w:pPr>
    </w:p>
    <w:p w:rsidR="00A33A25" w:rsidRDefault="00A33A25" w:rsidP="00A33A25">
      <w:pPr>
        <w:rPr>
          <w:rFonts w:cs="Arial"/>
        </w:rPr>
      </w:pPr>
    </w:p>
    <w:p w:rsidR="00A33A25" w:rsidRDefault="00A33A25" w:rsidP="00A33A25">
      <w:pPr>
        <w:rPr>
          <w:rFonts w:cs="Arial"/>
        </w:rPr>
      </w:pPr>
    </w:p>
    <w:p w:rsidR="00A33A25" w:rsidRDefault="00A33A25" w:rsidP="00A33A25">
      <w:pPr>
        <w:rPr>
          <w:rFonts w:cs="Arial"/>
        </w:rPr>
      </w:pPr>
    </w:p>
    <w:p w:rsidR="00A33A25" w:rsidRDefault="00A33A25" w:rsidP="00A33A25">
      <w:pPr>
        <w:rPr>
          <w:rFonts w:cs="Arial"/>
        </w:rPr>
      </w:pPr>
    </w:p>
    <w:p w:rsidR="00A33A25" w:rsidRDefault="00A33A25" w:rsidP="00A33A25">
      <w:pPr>
        <w:rPr>
          <w:rFonts w:cs="Arial"/>
        </w:rPr>
      </w:pPr>
    </w:p>
    <w:p w:rsidR="00A33A25" w:rsidRDefault="00A33A25" w:rsidP="00A33A25">
      <w:pPr>
        <w:rPr>
          <w:rFonts w:cs="Arial"/>
        </w:rPr>
      </w:pPr>
    </w:p>
    <w:p w:rsidR="00A33A25" w:rsidRDefault="00A33A25" w:rsidP="00A33A25">
      <w:pPr>
        <w:rPr>
          <w:rFonts w:cs="Arial"/>
        </w:rPr>
      </w:pPr>
    </w:p>
    <w:p w:rsidR="00A33A25" w:rsidRDefault="00A33A25" w:rsidP="00A33A25">
      <w:pPr>
        <w:rPr>
          <w:rFonts w:cs="Arial"/>
        </w:rPr>
      </w:pPr>
    </w:p>
    <w:p w:rsidR="00A33A25" w:rsidRDefault="00A33A25" w:rsidP="00A33A25">
      <w:pPr>
        <w:rPr>
          <w:rFonts w:cs="Arial"/>
        </w:rPr>
      </w:pPr>
    </w:p>
    <w:p w:rsidR="00A33A25" w:rsidRDefault="00A33A25" w:rsidP="00A33A25">
      <w:pPr>
        <w:rPr>
          <w:rFonts w:cs="Arial"/>
        </w:rPr>
      </w:pPr>
    </w:p>
    <w:sdt>
      <w:sdtPr>
        <w:id w:val="-689994238"/>
        <w:docPartObj>
          <w:docPartGallery w:val="Table of Contents"/>
          <w:docPartUnique/>
        </w:docPartObj>
      </w:sdtPr>
      <w:sdtEndPr>
        <w:rPr>
          <w:rFonts w:eastAsiaTheme="minorEastAsia" w:cstheme="minorBidi"/>
          <w:noProof/>
          <w:color w:val="auto"/>
          <w:sz w:val="24"/>
          <w:szCs w:val="22"/>
        </w:rPr>
      </w:sdtEndPr>
      <w:sdtContent>
        <w:p w:rsidR="00A33A25" w:rsidRDefault="00A33A25" w:rsidP="00A33A25">
          <w:pPr>
            <w:pStyle w:val="TOCHeading"/>
          </w:pPr>
          <w:r>
            <w:t>Table of Contents</w:t>
          </w:r>
        </w:p>
        <w:p w:rsidR="00A33A25" w:rsidRDefault="00A33A25" w:rsidP="00A33A25">
          <w:pPr>
            <w:pStyle w:val="TOC1"/>
            <w:tabs>
              <w:tab w:val="right" w:leader="dot" w:pos="9061"/>
            </w:tabs>
            <w:rPr>
              <w:noProof/>
            </w:rPr>
          </w:pPr>
          <w:r>
            <w:fldChar w:fldCharType="begin"/>
          </w:r>
          <w:r>
            <w:instrText xml:space="preserve"> TOC \o "1-3" \h \z \u </w:instrText>
          </w:r>
          <w:r>
            <w:fldChar w:fldCharType="separate"/>
          </w:r>
          <w:hyperlink w:anchor="_Toc238011401" w:history="1">
            <w:r w:rsidRPr="00384817">
              <w:rPr>
                <w:rStyle w:val="Hyperlink"/>
                <w:rFonts w:cs="Arial"/>
                <w:noProof/>
              </w:rPr>
              <w:t>1. Introduction</w:t>
            </w:r>
            <w:r>
              <w:rPr>
                <w:noProof/>
                <w:webHidden/>
              </w:rPr>
              <w:tab/>
            </w:r>
            <w:r>
              <w:rPr>
                <w:noProof/>
                <w:webHidden/>
              </w:rPr>
              <w:fldChar w:fldCharType="begin"/>
            </w:r>
            <w:r>
              <w:rPr>
                <w:noProof/>
                <w:webHidden/>
              </w:rPr>
              <w:instrText xml:space="preserve"> PAGEREF _Toc238011401 \h </w:instrText>
            </w:r>
            <w:r>
              <w:rPr>
                <w:noProof/>
                <w:webHidden/>
              </w:rPr>
            </w:r>
            <w:r>
              <w:rPr>
                <w:noProof/>
                <w:webHidden/>
              </w:rPr>
              <w:fldChar w:fldCharType="separate"/>
            </w:r>
            <w:r>
              <w:rPr>
                <w:noProof/>
                <w:webHidden/>
              </w:rPr>
              <w:t>2</w:t>
            </w:r>
            <w:r>
              <w:rPr>
                <w:noProof/>
                <w:webHidden/>
              </w:rPr>
              <w:fldChar w:fldCharType="end"/>
            </w:r>
          </w:hyperlink>
        </w:p>
        <w:p w:rsidR="00A33A25" w:rsidRDefault="00A33A25" w:rsidP="00A33A25">
          <w:pPr>
            <w:pStyle w:val="TOC2"/>
            <w:tabs>
              <w:tab w:val="right" w:leader="dot" w:pos="9061"/>
            </w:tabs>
            <w:rPr>
              <w:noProof/>
            </w:rPr>
          </w:pPr>
          <w:hyperlink w:anchor="_Toc238011402" w:history="1">
            <w:r w:rsidRPr="00384817">
              <w:rPr>
                <w:rStyle w:val="Hyperlink"/>
                <w:rFonts w:cs="Arial"/>
                <w:noProof/>
              </w:rPr>
              <w:t>1.1 Background and organisational problem</w:t>
            </w:r>
            <w:r>
              <w:rPr>
                <w:noProof/>
                <w:webHidden/>
              </w:rPr>
              <w:tab/>
            </w:r>
            <w:r>
              <w:rPr>
                <w:noProof/>
                <w:webHidden/>
              </w:rPr>
              <w:fldChar w:fldCharType="begin"/>
            </w:r>
            <w:r>
              <w:rPr>
                <w:noProof/>
                <w:webHidden/>
              </w:rPr>
              <w:instrText xml:space="preserve"> PAGEREF _Toc238011402 \h </w:instrText>
            </w:r>
            <w:r>
              <w:rPr>
                <w:noProof/>
                <w:webHidden/>
              </w:rPr>
            </w:r>
            <w:r>
              <w:rPr>
                <w:noProof/>
                <w:webHidden/>
              </w:rPr>
              <w:fldChar w:fldCharType="separate"/>
            </w:r>
            <w:r>
              <w:rPr>
                <w:noProof/>
                <w:webHidden/>
              </w:rPr>
              <w:t>2</w:t>
            </w:r>
            <w:r>
              <w:rPr>
                <w:noProof/>
                <w:webHidden/>
              </w:rPr>
              <w:fldChar w:fldCharType="end"/>
            </w:r>
          </w:hyperlink>
        </w:p>
        <w:p w:rsidR="00A33A25" w:rsidRDefault="00A33A25" w:rsidP="00A33A25">
          <w:pPr>
            <w:pStyle w:val="TOC2"/>
            <w:tabs>
              <w:tab w:val="right" w:leader="dot" w:pos="9061"/>
            </w:tabs>
            <w:rPr>
              <w:noProof/>
            </w:rPr>
          </w:pPr>
          <w:hyperlink w:anchor="_Toc238011403" w:history="1">
            <w:r w:rsidRPr="00384817">
              <w:rPr>
                <w:rStyle w:val="Hyperlink"/>
                <w:rFonts w:cs="Arial"/>
                <w:noProof/>
              </w:rPr>
              <w:t>1.2 Aim, objectives and research questions</w:t>
            </w:r>
            <w:r>
              <w:rPr>
                <w:noProof/>
                <w:webHidden/>
              </w:rPr>
              <w:tab/>
            </w:r>
            <w:r>
              <w:rPr>
                <w:noProof/>
                <w:webHidden/>
              </w:rPr>
              <w:fldChar w:fldCharType="begin"/>
            </w:r>
            <w:r>
              <w:rPr>
                <w:noProof/>
                <w:webHidden/>
              </w:rPr>
              <w:instrText xml:space="preserve"> PAGEREF _Toc238011403 \h </w:instrText>
            </w:r>
            <w:r>
              <w:rPr>
                <w:noProof/>
                <w:webHidden/>
              </w:rPr>
            </w:r>
            <w:r>
              <w:rPr>
                <w:noProof/>
                <w:webHidden/>
              </w:rPr>
              <w:fldChar w:fldCharType="separate"/>
            </w:r>
            <w:r>
              <w:rPr>
                <w:noProof/>
                <w:webHidden/>
              </w:rPr>
              <w:t>3</w:t>
            </w:r>
            <w:r>
              <w:rPr>
                <w:noProof/>
                <w:webHidden/>
              </w:rPr>
              <w:fldChar w:fldCharType="end"/>
            </w:r>
          </w:hyperlink>
        </w:p>
        <w:p w:rsidR="00A33A25" w:rsidRDefault="00A33A25" w:rsidP="00A33A25">
          <w:pPr>
            <w:pStyle w:val="TOC2"/>
            <w:tabs>
              <w:tab w:val="right" w:leader="dot" w:pos="9061"/>
            </w:tabs>
            <w:rPr>
              <w:noProof/>
            </w:rPr>
          </w:pPr>
          <w:hyperlink w:anchor="_Toc238011404" w:history="1">
            <w:r w:rsidRPr="00384817">
              <w:rPr>
                <w:rStyle w:val="Hyperlink"/>
                <w:rFonts w:cs="Arial"/>
                <w:noProof/>
              </w:rPr>
              <w:t>1.3 Structure of the report</w:t>
            </w:r>
            <w:r>
              <w:rPr>
                <w:noProof/>
                <w:webHidden/>
              </w:rPr>
              <w:tab/>
            </w:r>
            <w:r>
              <w:rPr>
                <w:noProof/>
                <w:webHidden/>
              </w:rPr>
              <w:fldChar w:fldCharType="begin"/>
            </w:r>
            <w:r>
              <w:rPr>
                <w:noProof/>
                <w:webHidden/>
              </w:rPr>
              <w:instrText xml:space="preserve"> PAGEREF _Toc238011404 \h </w:instrText>
            </w:r>
            <w:r>
              <w:rPr>
                <w:noProof/>
                <w:webHidden/>
              </w:rPr>
            </w:r>
            <w:r>
              <w:rPr>
                <w:noProof/>
                <w:webHidden/>
              </w:rPr>
              <w:fldChar w:fldCharType="separate"/>
            </w:r>
            <w:r>
              <w:rPr>
                <w:noProof/>
                <w:webHidden/>
              </w:rPr>
              <w:t>3</w:t>
            </w:r>
            <w:r>
              <w:rPr>
                <w:noProof/>
                <w:webHidden/>
              </w:rPr>
              <w:fldChar w:fldCharType="end"/>
            </w:r>
          </w:hyperlink>
        </w:p>
        <w:p w:rsidR="00A33A25" w:rsidRDefault="00A33A25" w:rsidP="00A33A25">
          <w:pPr>
            <w:pStyle w:val="TOC1"/>
            <w:tabs>
              <w:tab w:val="right" w:leader="dot" w:pos="9061"/>
            </w:tabs>
            <w:rPr>
              <w:noProof/>
            </w:rPr>
          </w:pPr>
          <w:hyperlink w:anchor="_Toc238011405" w:history="1">
            <w:r w:rsidRPr="00384817">
              <w:rPr>
                <w:rStyle w:val="Hyperlink"/>
                <w:rFonts w:cs="Arial"/>
                <w:noProof/>
              </w:rPr>
              <w:t>2. Literature Review Method and Scope</w:t>
            </w:r>
            <w:r>
              <w:rPr>
                <w:noProof/>
                <w:webHidden/>
              </w:rPr>
              <w:tab/>
            </w:r>
            <w:r>
              <w:rPr>
                <w:noProof/>
                <w:webHidden/>
              </w:rPr>
              <w:fldChar w:fldCharType="begin"/>
            </w:r>
            <w:r>
              <w:rPr>
                <w:noProof/>
                <w:webHidden/>
              </w:rPr>
              <w:instrText xml:space="preserve"> PAGEREF _Toc238011405 \h </w:instrText>
            </w:r>
            <w:r>
              <w:rPr>
                <w:noProof/>
                <w:webHidden/>
              </w:rPr>
            </w:r>
            <w:r>
              <w:rPr>
                <w:noProof/>
                <w:webHidden/>
              </w:rPr>
              <w:fldChar w:fldCharType="separate"/>
            </w:r>
            <w:r>
              <w:rPr>
                <w:noProof/>
                <w:webHidden/>
              </w:rPr>
              <w:t>4</w:t>
            </w:r>
            <w:r>
              <w:rPr>
                <w:noProof/>
                <w:webHidden/>
              </w:rPr>
              <w:fldChar w:fldCharType="end"/>
            </w:r>
          </w:hyperlink>
        </w:p>
        <w:p w:rsidR="00A33A25" w:rsidRDefault="00A33A25" w:rsidP="00A33A25">
          <w:pPr>
            <w:pStyle w:val="TOC2"/>
            <w:tabs>
              <w:tab w:val="right" w:leader="dot" w:pos="9061"/>
            </w:tabs>
            <w:rPr>
              <w:noProof/>
            </w:rPr>
          </w:pPr>
          <w:hyperlink w:anchor="_Toc238011406" w:history="1">
            <w:r w:rsidRPr="00384817">
              <w:rPr>
                <w:rStyle w:val="Hyperlink"/>
                <w:rFonts w:cs="Arial"/>
                <w:noProof/>
              </w:rPr>
              <w:t>2.1 Review design and rationale</w:t>
            </w:r>
            <w:r>
              <w:rPr>
                <w:noProof/>
                <w:webHidden/>
              </w:rPr>
              <w:tab/>
            </w:r>
            <w:r>
              <w:rPr>
                <w:noProof/>
                <w:webHidden/>
              </w:rPr>
              <w:fldChar w:fldCharType="begin"/>
            </w:r>
            <w:r>
              <w:rPr>
                <w:noProof/>
                <w:webHidden/>
              </w:rPr>
              <w:instrText xml:space="preserve"> PAGEREF _Toc238011406 \h </w:instrText>
            </w:r>
            <w:r>
              <w:rPr>
                <w:noProof/>
                <w:webHidden/>
              </w:rPr>
            </w:r>
            <w:r>
              <w:rPr>
                <w:noProof/>
                <w:webHidden/>
              </w:rPr>
              <w:fldChar w:fldCharType="separate"/>
            </w:r>
            <w:r>
              <w:rPr>
                <w:noProof/>
                <w:webHidden/>
              </w:rPr>
              <w:t>4</w:t>
            </w:r>
            <w:r>
              <w:rPr>
                <w:noProof/>
                <w:webHidden/>
              </w:rPr>
              <w:fldChar w:fldCharType="end"/>
            </w:r>
          </w:hyperlink>
        </w:p>
        <w:p w:rsidR="00A33A25" w:rsidRDefault="00A33A25" w:rsidP="00A33A25">
          <w:pPr>
            <w:pStyle w:val="TOC2"/>
            <w:tabs>
              <w:tab w:val="right" w:leader="dot" w:pos="9061"/>
            </w:tabs>
            <w:rPr>
              <w:noProof/>
            </w:rPr>
          </w:pPr>
          <w:hyperlink w:anchor="_Toc238011407" w:history="1">
            <w:r w:rsidRPr="00384817">
              <w:rPr>
                <w:rStyle w:val="Hyperlink"/>
                <w:rFonts w:cs="Arial"/>
                <w:noProof/>
              </w:rPr>
              <w:t>2.2 Search strategy</w:t>
            </w:r>
            <w:r>
              <w:rPr>
                <w:noProof/>
                <w:webHidden/>
              </w:rPr>
              <w:tab/>
            </w:r>
            <w:r>
              <w:rPr>
                <w:noProof/>
                <w:webHidden/>
              </w:rPr>
              <w:fldChar w:fldCharType="begin"/>
            </w:r>
            <w:r>
              <w:rPr>
                <w:noProof/>
                <w:webHidden/>
              </w:rPr>
              <w:instrText xml:space="preserve"> PAGEREF _Toc238011407 \h </w:instrText>
            </w:r>
            <w:r>
              <w:rPr>
                <w:noProof/>
                <w:webHidden/>
              </w:rPr>
            </w:r>
            <w:r>
              <w:rPr>
                <w:noProof/>
                <w:webHidden/>
              </w:rPr>
              <w:fldChar w:fldCharType="separate"/>
            </w:r>
            <w:r>
              <w:rPr>
                <w:noProof/>
                <w:webHidden/>
              </w:rPr>
              <w:t>4</w:t>
            </w:r>
            <w:r>
              <w:rPr>
                <w:noProof/>
                <w:webHidden/>
              </w:rPr>
              <w:fldChar w:fldCharType="end"/>
            </w:r>
          </w:hyperlink>
        </w:p>
        <w:p w:rsidR="00A33A25" w:rsidRDefault="00A33A25" w:rsidP="00A33A25">
          <w:pPr>
            <w:pStyle w:val="TOC2"/>
            <w:tabs>
              <w:tab w:val="right" w:leader="dot" w:pos="9061"/>
            </w:tabs>
            <w:rPr>
              <w:noProof/>
            </w:rPr>
          </w:pPr>
          <w:hyperlink w:anchor="_Toc238011408" w:history="1">
            <w:r w:rsidRPr="00384817">
              <w:rPr>
                <w:rStyle w:val="Hyperlink"/>
                <w:rFonts w:cs="Arial"/>
                <w:noProof/>
              </w:rPr>
              <w:t>2.3 Inclusion, exclusion and quality appraisal</w:t>
            </w:r>
            <w:r>
              <w:rPr>
                <w:noProof/>
                <w:webHidden/>
              </w:rPr>
              <w:tab/>
            </w:r>
            <w:r>
              <w:rPr>
                <w:noProof/>
                <w:webHidden/>
              </w:rPr>
              <w:fldChar w:fldCharType="begin"/>
            </w:r>
            <w:r>
              <w:rPr>
                <w:noProof/>
                <w:webHidden/>
              </w:rPr>
              <w:instrText xml:space="preserve"> PAGEREF _Toc238011408 \h </w:instrText>
            </w:r>
            <w:r>
              <w:rPr>
                <w:noProof/>
                <w:webHidden/>
              </w:rPr>
            </w:r>
            <w:r>
              <w:rPr>
                <w:noProof/>
                <w:webHidden/>
              </w:rPr>
              <w:fldChar w:fldCharType="separate"/>
            </w:r>
            <w:r>
              <w:rPr>
                <w:noProof/>
                <w:webHidden/>
              </w:rPr>
              <w:t>5</w:t>
            </w:r>
            <w:r>
              <w:rPr>
                <w:noProof/>
                <w:webHidden/>
              </w:rPr>
              <w:fldChar w:fldCharType="end"/>
            </w:r>
          </w:hyperlink>
        </w:p>
        <w:p w:rsidR="00A33A25" w:rsidRDefault="00A33A25" w:rsidP="00A33A25">
          <w:pPr>
            <w:pStyle w:val="TOC2"/>
            <w:tabs>
              <w:tab w:val="right" w:leader="dot" w:pos="9061"/>
            </w:tabs>
            <w:rPr>
              <w:noProof/>
            </w:rPr>
          </w:pPr>
          <w:hyperlink w:anchor="_Toc238011409" w:history="1">
            <w:r w:rsidRPr="00384817">
              <w:rPr>
                <w:rStyle w:val="Hyperlink"/>
                <w:rFonts w:cs="Arial"/>
                <w:noProof/>
              </w:rPr>
              <w:t>2.4 Screening, coding and thematic synthesis</w:t>
            </w:r>
            <w:r>
              <w:rPr>
                <w:noProof/>
                <w:webHidden/>
              </w:rPr>
              <w:tab/>
            </w:r>
            <w:r>
              <w:rPr>
                <w:noProof/>
                <w:webHidden/>
              </w:rPr>
              <w:fldChar w:fldCharType="begin"/>
            </w:r>
            <w:r>
              <w:rPr>
                <w:noProof/>
                <w:webHidden/>
              </w:rPr>
              <w:instrText xml:space="preserve"> PAGEREF _Toc238011409 \h </w:instrText>
            </w:r>
            <w:r>
              <w:rPr>
                <w:noProof/>
                <w:webHidden/>
              </w:rPr>
            </w:r>
            <w:r>
              <w:rPr>
                <w:noProof/>
                <w:webHidden/>
              </w:rPr>
              <w:fldChar w:fldCharType="separate"/>
            </w:r>
            <w:r>
              <w:rPr>
                <w:noProof/>
                <w:webHidden/>
              </w:rPr>
              <w:t>6</w:t>
            </w:r>
            <w:r>
              <w:rPr>
                <w:noProof/>
                <w:webHidden/>
              </w:rPr>
              <w:fldChar w:fldCharType="end"/>
            </w:r>
          </w:hyperlink>
        </w:p>
        <w:p w:rsidR="00A33A25" w:rsidRDefault="00A33A25" w:rsidP="00A33A25">
          <w:pPr>
            <w:pStyle w:val="TOC1"/>
            <w:tabs>
              <w:tab w:val="right" w:leader="dot" w:pos="9061"/>
            </w:tabs>
            <w:rPr>
              <w:noProof/>
            </w:rPr>
          </w:pPr>
          <w:hyperlink w:anchor="_Toc238011410" w:history="1">
            <w:r w:rsidRPr="00384817">
              <w:rPr>
                <w:rStyle w:val="Hyperlink"/>
                <w:rFonts w:cs="Arial"/>
                <w:noProof/>
              </w:rPr>
              <w:t>3. Critical Literature Review</w:t>
            </w:r>
            <w:r>
              <w:rPr>
                <w:noProof/>
                <w:webHidden/>
              </w:rPr>
              <w:tab/>
            </w:r>
            <w:r>
              <w:rPr>
                <w:noProof/>
                <w:webHidden/>
              </w:rPr>
              <w:fldChar w:fldCharType="begin"/>
            </w:r>
            <w:r>
              <w:rPr>
                <w:noProof/>
                <w:webHidden/>
              </w:rPr>
              <w:instrText xml:space="preserve"> PAGEREF _Toc238011410 \h </w:instrText>
            </w:r>
            <w:r>
              <w:rPr>
                <w:noProof/>
                <w:webHidden/>
              </w:rPr>
            </w:r>
            <w:r>
              <w:rPr>
                <w:noProof/>
                <w:webHidden/>
              </w:rPr>
              <w:fldChar w:fldCharType="separate"/>
            </w:r>
            <w:r>
              <w:rPr>
                <w:noProof/>
                <w:webHidden/>
              </w:rPr>
              <w:t>8</w:t>
            </w:r>
            <w:r>
              <w:rPr>
                <w:noProof/>
                <w:webHidden/>
              </w:rPr>
              <w:fldChar w:fldCharType="end"/>
            </w:r>
          </w:hyperlink>
        </w:p>
        <w:p w:rsidR="00A33A25" w:rsidRDefault="00A33A25" w:rsidP="00A33A25">
          <w:pPr>
            <w:pStyle w:val="TOC2"/>
            <w:tabs>
              <w:tab w:val="right" w:leader="dot" w:pos="9061"/>
            </w:tabs>
            <w:rPr>
              <w:noProof/>
            </w:rPr>
          </w:pPr>
          <w:hyperlink w:anchor="_Toc238011411" w:history="1">
            <w:r w:rsidRPr="00384817">
              <w:rPr>
                <w:rStyle w:val="Hyperlink"/>
                <w:rFonts w:cs="Arial"/>
                <w:noProof/>
              </w:rPr>
              <w:t>3.1 E-commerce adoption versus value realisation</w:t>
            </w:r>
            <w:r>
              <w:rPr>
                <w:noProof/>
                <w:webHidden/>
              </w:rPr>
              <w:tab/>
            </w:r>
            <w:r>
              <w:rPr>
                <w:noProof/>
                <w:webHidden/>
              </w:rPr>
              <w:fldChar w:fldCharType="begin"/>
            </w:r>
            <w:r>
              <w:rPr>
                <w:noProof/>
                <w:webHidden/>
              </w:rPr>
              <w:instrText xml:space="preserve"> PAGEREF _Toc238011411 \h </w:instrText>
            </w:r>
            <w:r>
              <w:rPr>
                <w:noProof/>
                <w:webHidden/>
              </w:rPr>
            </w:r>
            <w:r>
              <w:rPr>
                <w:noProof/>
                <w:webHidden/>
              </w:rPr>
              <w:fldChar w:fldCharType="separate"/>
            </w:r>
            <w:r>
              <w:rPr>
                <w:noProof/>
                <w:webHidden/>
              </w:rPr>
              <w:t>8</w:t>
            </w:r>
            <w:r>
              <w:rPr>
                <w:noProof/>
                <w:webHidden/>
              </w:rPr>
              <w:fldChar w:fldCharType="end"/>
            </w:r>
          </w:hyperlink>
        </w:p>
        <w:p w:rsidR="00A33A25" w:rsidRDefault="00A33A25" w:rsidP="00A33A25">
          <w:pPr>
            <w:pStyle w:val="TOC2"/>
            <w:tabs>
              <w:tab w:val="right" w:leader="dot" w:pos="9061"/>
            </w:tabs>
            <w:rPr>
              <w:noProof/>
            </w:rPr>
          </w:pPr>
          <w:hyperlink w:anchor="_Toc238011412" w:history="1">
            <w:r w:rsidRPr="00384817">
              <w:rPr>
                <w:rStyle w:val="Hyperlink"/>
                <w:rFonts w:cs="Arial"/>
                <w:noProof/>
              </w:rPr>
              <w:t>3.2 Meaning and dimensions of e-commerce value</w:t>
            </w:r>
            <w:r>
              <w:rPr>
                <w:noProof/>
                <w:webHidden/>
              </w:rPr>
              <w:tab/>
            </w:r>
            <w:r>
              <w:rPr>
                <w:noProof/>
                <w:webHidden/>
              </w:rPr>
              <w:fldChar w:fldCharType="begin"/>
            </w:r>
            <w:r>
              <w:rPr>
                <w:noProof/>
                <w:webHidden/>
              </w:rPr>
              <w:instrText xml:space="preserve"> PAGEREF _Toc238011412 \h </w:instrText>
            </w:r>
            <w:r>
              <w:rPr>
                <w:noProof/>
                <w:webHidden/>
              </w:rPr>
            </w:r>
            <w:r>
              <w:rPr>
                <w:noProof/>
                <w:webHidden/>
              </w:rPr>
              <w:fldChar w:fldCharType="separate"/>
            </w:r>
            <w:r>
              <w:rPr>
                <w:noProof/>
                <w:webHidden/>
              </w:rPr>
              <w:t>9</w:t>
            </w:r>
            <w:r>
              <w:rPr>
                <w:noProof/>
                <w:webHidden/>
              </w:rPr>
              <w:fldChar w:fldCharType="end"/>
            </w:r>
          </w:hyperlink>
        </w:p>
        <w:p w:rsidR="00A33A25" w:rsidRDefault="00A33A25" w:rsidP="00A33A25">
          <w:pPr>
            <w:pStyle w:val="TOC2"/>
            <w:tabs>
              <w:tab w:val="right" w:leader="dot" w:pos="9061"/>
            </w:tabs>
            <w:rPr>
              <w:noProof/>
            </w:rPr>
          </w:pPr>
          <w:hyperlink w:anchor="_Toc238011413" w:history="1">
            <w:r w:rsidRPr="00384817">
              <w:rPr>
                <w:rStyle w:val="Hyperlink"/>
                <w:rFonts w:cs="Arial"/>
                <w:noProof/>
              </w:rPr>
              <w:t>3.3 TOE and competing explanations of digital use</w:t>
            </w:r>
            <w:r>
              <w:rPr>
                <w:noProof/>
                <w:webHidden/>
              </w:rPr>
              <w:tab/>
            </w:r>
            <w:r>
              <w:rPr>
                <w:noProof/>
                <w:webHidden/>
              </w:rPr>
              <w:fldChar w:fldCharType="begin"/>
            </w:r>
            <w:r>
              <w:rPr>
                <w:noProof/>
                <w:webHidden/>
              </w:rPr>
              <w:instrText xml:space="preserve"> PAGEREF _Toc238011413 \h </w:instrText>
            </w:r>
            <w:r>
              <w:rPr>
                <w:noProof/>
                <w:webHidden/>
              </w:rPr>
            </w:r>
            <w:r>
              <w:rPr>
                <w:noProof/>
                <w:webHidden/>
              </w:rPr>
              <w:fldChar w:fldCharType="separate"/>
            </w:r>
            <w:r>
              <w:rPr>
                <w:noProof/>
                <w:webHidden/>
              </w:rPr>
              <w:t>10</w:t>
            </w:r>
            <w:r>
              <w:rPr>
                <w:noProof/>
                <w:webHidden/>
              </w:rPr>
              <w:fldChar w:fldCharType="end"/>
            </w:r>
          </w:hyperlink>
        </w:p>
        <w:p w:rsidR="00A33A25" w:rsidRDefault="00A33A25" w:rsidP="00A33A25">
          <w:pPr>
            <w:pStyle w:val="TOC2"/>
            <w:tabs>
              <w:tab w:val="right" w:leader="dot" w:pos="9061"/>
            </w:tabs>
            <w:rPr>
              <w:noProof/>
            </w:rPr>
          </w:pPr>
          <w:hyperlink w:anchor="_Toc238011414" w:history="1">
            <w:r w:rsidRPr="00384817">
              <w:rPr>
                <w:rStyle w:val="Hyperlink"/>
                <w:rFonts w:cs="Arial"/>
                <w:noProof/>
              </w:rPr>
              <w:t>3.4 Resource-based view and dynamic capabilities</w:t>
            </w:r>
            <w:r>
              <w:rPr>
                <w:noProof/>
                <w:webHidden/>
              </w:rPr>
              <w:tab/>
            </w:r>
            <w:r>
              <w:rPr>
                <w:noProof/>
                <w:webHidden/>
              </w:rPr>
              <w:fldChar w:fldCharType="begin"/>
            </w:r>
            <w:r>
              <w:rPr>
                <w:noProof/>
                <w:webHidden/>
              </w:rPr>
              <w:instrText xml:space="preserve"> PAGEREF _Toc238011414 \h </w:instrText>
            </w:r>
            <w:r>
              <w:rPr>
                <w:noProof/>
                <w:webHidden/>
              </w:rPr>
            </w:r>
            <w:r>
              <w:rPr>
                <w:noProof/>
                <w:webHidden/>
              </w:rPr>
              <w:fldChar w:fldCharType="separate"/>
            </w:r>
            <w:r>
              <w:rPr>
                <w:noProof/>
                <w:webHidden/>
              </w:rPr>
              <w:t>11</w:t>
            </w:r>
            <w:r>
              <w:rPr>
                <w:noProof/>
                <w:webHidden/>
              </w:rPr>
              <w:fldChar w:fldCharType="end"/>
            </w:r>
          </w:hyperlink>
        </w:p>
        <w:p w:rsidR="00A33A25" w:rsidRDefault="00A33A25" w:rsidP="00A33A25">
          <w:pPr>
            <w:pStyle w:val="TOC2"/>
            <w:tabs>
              <w:tab w:val="right" w:leader="dot" w:pos="9061"/>
            </w:tabs>
            <w:rPr>
              <w:noProof/>
            </w:rPr>
          </w:pPr>
          <w:hyperlink w:anchor="_Toc238011415" w:history="1">
            <w:r w:rsidRPr="00384817">
              <w:rPr>
                <w:rStyle w:val="Hyperlink"/>
                <w:rFonts w:cs="Arial"/>
                <w:noProof/>
              </w:rPr>
              <w:t>3.5 Affordance actualisation, platform governance and dependence</w:t>
            </w:r>
            <w:r>
              <w:rPr>
                <w:noProof/>
                <w:webHidden/>
              </w:rPr>
              <w:tab/>
            </w:r>
            <w:r>
              <w:rPr>
                <w:noProof/>
                <w:webHidden/>
              </w:rPr>
              <w:fldChar w:fldCharType="begin"/>
            </w:r>
            <w:r>
              <w:rPr>
                <w:noProof/>
                <w:webHidden/>
              </w:rPr>
              <w:instrText xml:space="preserve"> PAGEREF _Toc238011415 \h </w:instrText>
            </w:r>
            <w:r>
              <w:rPr>
                <w:noProof/>
                <w:webHidden/>
              </w:rPr>
            </w:r>
            <w:r>
              <w:rPr>
                <w:noProof/>
                <w:webHidden/>
              </w:rPr>
              <w:fldChar w:fldCharType="separate"/>
            </w:r>
            <w:r>
              <w:rPr>
                <w:noProof/>
                <w:webHidden/>
              </w:rPr>
              <w:t>12</w:t>
            </w:r>
            <w:r>
              <w:rPr>
                <w:noProof/>
                <w:webHidden/>
              </w:rPr>
              <w:fldChar w:fldCharType="end"/>
            </w:r>
          </w:hyperlink>
        </w:p>
        <w:p w:rsidR="00A33A25" w:rsidRDefault="00A33A25" w:rsidP="00A33A25">
          <w:pPr>
            <w:pStyle w:val="TOC2"/>
            <w:tabs>
              <w:tab w:val="right" w:leader="dot" w:pos="9061"/>
            </w:tabs>
            <w:rPr>
              <w:noProof/>
            </w:rPr>
          </w:pPr>
          <w:hyperlink w:anchor="_Toc238011416" w:history="1">
            <w:r w:rsidRPr="00384817">
              <w:rPr>
                <w:rStyle w:val="Hyperlink"/>
                <w:rFonts w:cs="Arial"/>
                <w:noProof/>
              </w:rPr>
              <w:t>3.6 Organisational capability domains for e-commerce value realisation</w:t>
            </w:r>
            <w:r>
              <w:rPr>
                <w:noProof/>
                <w:webHidden/>
              </w:rPr>
              <w:tab/>
            </w:r>
            <w:r>
              <w:rPr>
                <w:noProof/>
                <w:webHidden/>
              </w:rPr>
              <w:fldChar w:fldCharType="begin"/>
            </w:r>
            <w:r>
              <w:rPr>
                <w:noProof/>
                <w:webHidden/>
              </w:rPr>
              <w:instrText xml:space="preserve"> PAGEREF _Toc238011416 \h </w:instrText>
            </w:r>
            <w:r>
              <w:rPr>
                <w:noProof/>
                <w:webHidden/>
              </w:rPr>
            </w:r>
            <w:r>
              <w:rPr>
                <w:noProof/>
                <w:webHidden/>
              </w:rPr>
              <w:fldChar w:fldCharType="separate"/>
            </w:r>
            <w:r>
              <w:rPr>
                <w:noProof/>
                <w:webHidden/>
              </w:rPr>
              <w:t>13</w:t>
            </w:r>
            <w:r>
              <w:rPr>
                <w:noProof/>
                <w:webHidden/>
              </w:rPr>
              <w:fldChar w:fldCharType="end"/>
            </w:r>
          </w:hyperlink>
        </w:p>
        <w:p w:rsidR="00A33A25" w:rsidRDefault="00A33A25" w:rsidP="00A33A25">
          <w:pPr>
            <w:pStyle w:val="TOC2"/>
            <w:tabs>
              <w:tab w:val="right" w:leader="dot" w:pos="9061"/>
            </w:tabs>
            <w:rPr>
              <w:noProof/>
            </w:rPr>
          </w:pPr>
          <w:hyperlink w:anchor="_Toc238011417" w:history="1">
            <w:r w:rsidRPr="00384817">
              <w:rPr>
                <w:rStyle w:val="Hyperlink"/>
                <w:rFonts w:cs="Arial"/>
                <w:noProof/>
              </w:rPr>
              <w:t>3.7 Bangladesh-specific evidence and the prioritised research gap</w:t>
            </w:r>
            <w:r>
              <w:rPr>
                <w:noProof/>
                <w:webHidden/>
              </w:rPr>
              <w:tab/>
            </w:r>
            <w:r>
              <w:rPr>
                <w:noProof/>
                <w:webHidden/>
              </w:rPr>
              <w:fldChar w:fldCharType="begin"/>
            </w:r>
            <w:r>
              <w:rPr>
                <w:noProof/>
                <w:webHidden/>
              </w:rPr>
              <w:instrText xml:space="preserve"> PAGEREF _Toc238011417 \h </w:instrText>
            </w:r>
            <w:r>
              <w:rPr>
                <w:noProof/>
                <w:webHidden/>
              </w:rPr>
            </w:r>
            <w:r>
              <w:rPr>
                <w:noProof/>
                <w:webHidden/>
              </w:rPr>
              <w:fldChar w:fldCharType="separate"/>
            </w:r>
            <w:r>
              <w:rPr>
                <w:noProof/>
                <w:webHidden/>
              </w:rPr>
              <w:t>14</w:t>
            </w:r>
            <w:r>
              <w:rPr>
                <w:noProof/>
                <w:webHidden/>
              </w:rPr>
              <w:fldChar w:fldCharType="end"/>
            </w:r>
          </w:hyperlink>
        </w:p>
        <w:p w:rsidR="00A33A25" w:rsidRDefault="00A33A25" w:rsidP="00A33A25">
          <w:pPr>
            <w:pStyle w:val="TOC2"/>
            <w:tabs>
              <w:tab w:val="right" w:leader="dot" w:pos="9061"/>
            </w:tabs>
            <w:rPr>
              <w:noProof/>
            </w:rPr>
          </w:pPr>
          <w:hyperlink w:anchor="_Toc238011418" w:history="1">
            <w:r w:rsidRPr="00384817">
              <w:rPr>
                <w:rStyle w:val="Hyperlink"/>
                <w:rFonts w:cs="Arial"/>
                <w:noProof/>
              </w:rPr>
              <w:t>3.8 Philosophical, methodological and ethical patterns in the literature</w:t>
            </w:r>
            <w:r>
              <w:rPr>
                <w:noProof/>
                <w:webHidden/>
              </w:rPr>
              <w:tab/>
            </w:r>
            <w:r>
              <w:rPr>
                <w:noProof/>
                <w:webHidden/>
              </w:rPr>
              <w:fldChar w:fldCharType="begin"/>
            </w:r>
            <w:r>
              <w:rPr>
                <w:noProof/>
                <w:webHidden/>
              </w:rPr>
              <w:instrText xml:space="preserve"> PAGEREF _Toc238011418 \h </w:instrText>
            </w:r>
            <w:r>
              <w:rPr>
                <w:noProof/>
                <w:webHidden/>
              </w:rPr>
            </w:r>
            <w:r>
              <w:rPr>
                <w:noProof/>
                <w:webHidden/>
              </w:rPr>
              <w:fldChar w:fldCharType="separate"/>
            </w:r>
            <w:r>
              <w:rPr>
                <w:noProof/>
                <w:webHidden/>
              </w:rPr>
              <w:t>15</w:t>
            </w:r>
            <w:r>
              <w:rPr>
                <w:noProof/>
                <w:webHidden/>
              </w:rPr>
              <w:fldChar w:fldCharType="end"/>
            </w:r>
          </w:hyperlink>
        </w:p>
        <w:p w:rsidR="00A33A25" w:rsidRDefault="00A33A25" w:rsidP="00A33A25">
          <w:pPr>
            <w:pStyle w:val="TOC1"/>
            <w:tabs>
              <w:tab w:val="right" w:leader="dot" w:pos="9061"/>
            </w:tabs>
            <w:rPr>
              <w:noProof/>
            </w:rPr>
          </w:pPr>
          <w:hyperlink w:anchor="_Toc238011419" w:history="1">
            <w:r w:rsidRPr="00384817">
              <w:rPr>
                <w:rStyle w:val="Hyperlink"/>
                <w:rFonts w:cs="Arial"/>
                <w:noProof/>
              </w:rPr>
              <w:t>4. Philosophical and Methodological Analysis of Matarazzo et al. (2021)</w:t>
            </w:r>
            <w:r>
              <w:rPr>
                <w:noProof/>
                <w:webHidden/>
              </w:rPr>
              <w:tab/>
            </w:r>
            <w:r>
              <w:rPr>
                <w:noProof/>
                <w:webHidden/>
              </w:rPr>
              <w:fldChar w:fldCharType="begin"/>
            </w:r>
            <w:r>
              <w:rPr>
                <w:noProof/>
                <w:webHidden/>
              </w:rPr>
              <w:instrText xml:space="preserve"> PAGEREF _Toc238011419 \h </w:instrText>
            </w:r>
            <w:r>
              <w:rPr>
                <w:noProof/>
                <w:webHidden/>
              </w:rPr>
            </w:r>
            <w:r>
              <w:rPr>
                <w:noProof/>
                <w:webHidden/>
              </w:rPr>
              <w:fldChar w:fldCharType="separate"/>
            </w:r>
            <w:r>
              <w:rPr>
                <w:noProof/>
                <w:webHidden/>
              </w:rPr>
              <w:t>16</w:t>
            </w:r>
            <w:r>
              <w:rPr>
                <w:noProof/>
                <w:webHidden/>
              </w:rPr>
              <w:fldChar w:fldCharType="end"/>
            </w:r>
          </w:hyperlink>
        </w:p>
        <w:p w:rsidR="00A33A25" w:rsidRDefault="00A33A25" w:rsidP="00A33A25">
          <w:pPr>
            <w:pStyle w:val="TOC1"/>
            <w:tabs>
              <w:tab w:val="right" w:leader="dot" w:pos="9061"/>
            </w:tabs>
            <w:rPr>
              <w:noProof/>
            </w:rPr>
          </w:pPr>
          <w:hyperlink w:anchor="_Toc238011420" w:history="1">
            <w:r w:rsidRPr="00384817">
              <w:rPr>
                <w:rStyle w:val="Hyperlink"/>
                <w:rFonts w:cs="Arial"/>
                <w:noProof/>
              </w:rPr>
              <w:t>5. Integrative Discussion</w:t>
            </w:r>
            <w:r>
              <w:rPr>
                <w:noProof/>
                <w:webHidden/>
              </w:rPr>
              <w:tab/>
            </w:r>
            <w:r>
              <w:rPr>
                <w:noProof/>
                <w:webHidden/>
              </w:rPr>
              <w:fldChar w:fldCharType="begin"/>
            </w:r>
            <w:r>
              <w:rPr>
                <w:noProof/>
                <w:webHidden/>
              </w:rPr>
              <w:instrText xml:space="preserve"> PAGEREF _Toc238011420 \h </w:instrText>
            </w:r>
            <w:r>
              <w:rPr>
                <w:noProof/>
                <w:webHidden/>
              </w:rPr>
            </w:r>
            <w:r>
              <w:rPr>
                <w:noProof/>
                <w:webHidden/>
              </w:rPr>
              <w:fldChar w:fldCharType="separate"/>
            </w:r>
            <w:r>
              <w:rPr>
                <w:noProof/>
                <w:webHidden/>
              </w:rPr>
              <w:t>18</w:t>
            </w:r>
            <w:r>
              <w:rPr>
                <w:noProof/>
                <w:webHidden/>
              </w:rPr>
              <w:fldChar w:fldCharType="end"/>
            </w:r>
          </w:hyperlink>
        </w:p>
        <w:p w:rsidR="00A33A25" w:rsidRDefault="00A33A25" w:rsidP="00A33A25">
          <w:pPr>
            <w:pStyle w:val="TOC1"/>
            <w:tabs>
              <w:tab w:val="right" w:leader="dot" w:pos="9061"/>
            </w:tabs>
            <w:rPr>
              <w:noProof/>
            </w:rPr>
          </w:pPr>
          <w:hyperlink w:anchor="_Toc238011421" w:history="1">
            <w:r w:rsidRPr="00384817">
              <w:rPr>
                <w:rStyle w:val="Hyperlink"/>
                <w:rFonts w:cs="Arial"/>
                <w:noProof/>
              </w:rPr>
              <w:t>6. Proposed Organisational Capability Framework</w:t>
            </w:r>
            <w:r>
              <w:rPr>
                <w:noProof/>
                <w:webHidden/>
              </w:rPr>
              <w:tab/>
            </w:r>
            <w:r>
              <w:rPr>
                <w:noProof/>
                <w:webHidden/>
              </w:rPr>
              <w:fldChar w:fldCharType="begin"/>
            </w:r>
            <w:r>
              <w:rPr>
                <w:noProof/>
                <w:webHidden/>
              </w:rPr>
              <w:instrText xml:space="preserve"> PAGEREF _Toc238011421 \h </w:instrText>
            </w:r>
            <w:r>
              <w:rPr>
                <w:noProof/>
                <w:webHidden/>
              </w:rPr>
            </w:r>
            <w:r>
              <w:rPr>
                <w:noProof/>
                <w:webHidden/>
              </w:rPr>
              <w:fldChar w:fldCharType="separate"/>
            </w:r>
            <w:r>
              <w:rPr>
                <w:noProof/>
                <w:webHidden/>
              </w:rPr>
              <w:t>20</w:t>
            </w:r>
            <w:r>
              <w:rPr>
                <w:noProof/>
                <w:webHidden/>
              </w:rPr>
              <w:fldChar w:fldCharType="end"/>
            </w:r>
          </w:hyperlink>
        </w:p>
        <w:p w:rsidR="00A33A25" w:rsidRDefault="00A33A25" w:rsidP="00A33A25">
          <w:pPr>
            <w:pStyle w:val="TOC1"/>
            <w:tabs>
              <w:tab w:val="right" w:leader="dot" w:pos="9061"/>
            </w:tabs>
            <w:rPr>
              <w:noProof/>
            </w:rPr>
          </w:pPr>
          <w:hyperlink w:anchor="_Toc238011422" w:history="1">
            <w:r w:rsidRPr="00384817">
              <w:rPr>
                <w:rStyle w:val="Hyperlink"/>
                <w:rFonts w:cs="Arial"/>
                <w:noProof/>
              </w:rPr>
              <w:t>7. Conclusion</w:t>
            </w:r>
            <w:r>
              <w:rPr>
                <w:noProof/>
                <w:webHidden/>
              </w:rPr>
              <w:tab/>
            </w:r>
            <w:r>
              <w:rPr>
                <w:noProof/>
                <w:webHidden/>
              </w:rPr>
              <w:fldChar w:fldCharType="begin"/>
            </w:r>
            <w:r>
              <w:rPr>
                <w:noProof/>
                <w:webHidden/>
              </w:rPr>
              <w:instrText xml:space="preserve"> PAGEREF _Toc238011422 \h </w:instrText>
            </w:r>
            <w:r>
              <w:rPr>
                <w:noProof/>
                <w:webHidden/>
              </w:rPr>
            </w:r>
            <w:r>
              <w:rPr>
                <w:noProof/>
                <w:webHidden/>
              </w:rPr>
              <w:fldChar w:fldCharType="separate"/>
            </w:r>
            <w:r>
              <w:rPr>
                <w:noProof/>
                <w:webHidden/>
              </w:rPr>
              <w:t>22</w:t>
            </w:r>
            <w:r>
              <w:rPr>
                <w:noProof/>
                <w:webHidden/>
              </w:rPr>
              <w:fldChar w:fldCharType="end"/>
            </w:r>
          </w:hyperlink>
        </w:p>
        <w:p w:rsidR="00A33A25" w:rsidRDefault="00A33A25" w:rsidP="00A33A25">
          <w:pPr>
            <w:pStyle w:val="TOC1"/>
            <w:tabs>
              <w:tab w:val="right" w:leader="dot" w:pos="9061"/>
            </w:tabs>
            <w:rPr>
              <w:noProof/>
            </w:rPr>
          </w:pPr>
          <w:hyperlink w:anchor="_Toc238011423" w:history="1">
            <w:r w:rsidRPr="00384817">
              <w:rPr>
                <w:rStyle w:val="Hyperlink"/>
                <w:rFonts w:cs="Arial"/>
                <w:noProof/>
              </w:rPr>
              <w:t>References</w:t>
            </w:r>
            <w:r>
              <w:rPr>
                <w:noProof/>
                <w:webHidden/>
              </w:rPr>
              <w:tab/>
            </w:r>
            <w:r>
              <w:rPr>
                <w:noProof/>
                <w:webHidden/>
              </w:rPr>
              <w:fldChar w:fldCharType="begin"/>
            </w:r>
            <w:r>
              <w:rPr>
                <w:noProof/>
                <w:webHidden/>
              </w:rPr>
              <w:instrText xml:space="preserve"> PAGEREF _Toc238011423 \h </w:instrText>
            </w:r>
            <w:r>
              <w:rPr>
                <w:noProof/>
                <w:webHidden/>
              </w:rPr>
            </w:r>
            <w:r>
              <w:rPr>
                <w:noProof/>
                <w:webHidden/>
              </w:rPr>
              <w:fldChar w:fldCharType="separate"/>
            </w:r>
            <w:r>
              <w:rPr>
                <w:noProof/>
                <w:webHidden/>
              </w:rPr>
              <w:t>24</w:t>
            </w:r>
            <w:r>
              <w:rPr>
                <w:noProof/>
                <w:webHidden/>
              </w:rPr>
              <w:fldChar w:fldCharType="end"/>
            </w:r>
          </w:hyperlink>
        </w:p>
        <w:p w:rsidR="00A33A25" w:rsidRDefault="00A33A25" w:rsidP="00A33A25">
          <w:r>
            <w:rPr>
              <w:b/>
              <w:bCs/>
              <w:noProof/>
            </w:rPr>
            <w:fldChar w:fldCharType="end"/>
          </w:r>
        </w:p>
      </w:sdtContent>
    </w:sdt>
    <w:p w:rsidR="00A33A25" w:rsidRPr="005A6A01" w:rsidRDefault="00A33A25" w:rsidP="00A33A25">
      <w:pPr>
        <w:rPr>
          <w:rFonts w:cs="Arial"/>
        </w:rPr>
      </w:pPr>
    </w:p>
    <w:p w:rsidR="00A33A25" w:rsidRPr="005A6A01" w:rsidRDefault="00A33A25" w:rsidP="00A33A25">
      <w:pPr>
        <w:pStyle w:val="Heading1"/>
        <w:rPr>
          <w:rFonts w:cs="Arial"/>
        </w:rPr>
      </w:pPr>
      <w:bookmarkStart w:id="0" w:name="_Toc238011401"/>
      <w:r w:rsidRPr="005A6A01">
        <w:rPr>
          <w:rFonts w:cs="Arial"/>
        </w:rPr>
        <w:lastRenderedPageBreak/>
        <w:t>1. Introduction</w:t>
      </w:r>
      <w:bookmarkEnd w:id="0"/>
    </w:p>
    <w:p w:rsidR="00A33A25" w:rsidRPr="005A6A01" w:rsidRDefault="00A33A25" w:rsidP="00A33A25">
      <w:pPr>
        <w:pStyle w:val="Heading2"/>
        <w:rPr>
          <w:rFonts w:cs="Arial"/>
        </w:rPr>
      </w:pPr>
      <w:bookmarkStart w:id="1" w:name="_Toc238011402"/>
      <w:r w:rsidRPr="005A6A01">
        <w:rPr>
          <w:rFonts w:cs="Arial"/>
        </w:rPr>
        <w:t xml:space="preserve">1.1 Background and </w:t>
      </w:r>
      <w:proofErr w:type="spellStart"/>
      <w:r w:rsidRPr="005A6A01">
        <w:rPr>
          <w:rFonts w:cs="Arial"/>
        </w:rPr>
        <w:t>organisational</w:t>
      </w:r>
      <w:proofErr w:type="spellEnd"/>
      <w:r w:rsidRPr="005A6A01">
        <w:rPr>
          <w:rFonts w:cs="Arial"/>
        </w:rPr>
        <w:t xml:space="preserve"> problem</w:t>
      </w:r>
      <w:bookmarkEnd w:id="1"/>
    </w:p>
    <w:p w:rsidR="00A33A25" w:rsidRPr="005A6A01" w:rsidRDefault="00A33A25" w:rsidP="00A33A25">
      <w:pPr>
        <w:rPr>
          <w:rFonts w:cs="Arial"/>
        </w:rPr>
      </w:pPr>
      <w:r w:rsidRPr="005A6A01">
        <w:rPr>
          <w:rFonts w:cs="Arial"/>
        </w:rPr>
        <w:t xml:space="preserve">Many small and medium-sized enterprises (SMEs) have integrated e-commerce in their operating architecture. The marketplaces, social-commerce sites, owned websites and digital payment systems can expand the reach, minimize certain transaction frictions and create new customer data. Yet digital access and business value are not equivalent. Information-systems research differentiates between technology investment and </w:t>
      </w:r>
      <w:proofErr w:type="spellStart"/>
      <w:r w:rsidRPr="005A6A01">
        <w:rPr>
          <w:rFonts w:cs="Arial"/>
        </w:rPr>
        <w:t>realised</w:t>
      </w:r>
      <w:proofErr w:type="spellEnd"/>
      <w:r w:rsidRPr="005A6A01">
        <w:rPr>
          <w:rFonts w:cs="Arial"/>
        </w:rPr>
        <w:t xml:space="preserve"> performance since value is contingent on complementary resources, work practices and conditions in the environment (Melville et al., 2004). Digital-transformation studies also draw the same conclusion: transformation is a process in an </w:t>
      </w:r>
      <w:proofErr w:type="spellStart"/>
      <w:r w:rsidRPr="005A6A01">
        <w:rPr>
          <w:rFonts w:cs="Arial"/>
        </w:rPr>
        <w:t>organisation</w:t>
      </w:r>
      <w:proofErr w:type="spellEnd"/>
      <w:r w:rsidRPr="005A6A01">
        <w:rPr>
          <w:rFonts w:cs="Arial"/>
        </w:rPr>
        <w:t xml:space="preserve"> in which technologies change value creation and routines, not merely a set of tools (Vial, 2019; </w:t>
      </w:r>
      <w:proofErr w:type="spellStart"/>
      <w:r w:rsidRPr="005A6A01">
        <w:rPr>
          <w:rFonts w:cs="Arial"/>
        </w:rPr>
        <w:t>Verhoef</w:t>
      </w:r>
      <w:proofErr w:type="spellEnd"/>
      <w:r w:rsidRPr="005A6A01">
        <w:rPr>
          <w:rFonts w:cs="Arial"/>
        </w:rPr>
        <w:t xml:space="preserve"> et al., 2021). It is also framed by </w:t>
      </w:r>
      <w:proofErr w:type="spellStart"/>
      <w:r w:rsidRPr="005A6A01">
        <w:rPr>
          <w:rFonts w:cs="Arial"/>
        </w:rPr>
        <w:t>Hanelt</w:t>
      </w:r>
      <w:proofErr w:type="spellEnd"/>
      <w:r w:rsidRPr="005A6A01">
        <w:rPr>
          <w:rFonts w:cs="Arial"/>
        </w:rPr>
        <w:t xml:space="preserve"> et al. (2021) as strategic and </w:t>
      </w:r>
      <w:proofErr w:type="spellStart"/>
      <w:r w:rsidRPr="005A6A01">
        <w:rPr>
          <w:rFonts w:cs="Arial"/>
        </w:rPr>
        <w:t>organisational</w:t>
      </w:r>
      <w:proofErr w:type="spellEnd"/>
      <w:r w:rsidRPr="005A6A01">
        <w:rPr>
          <w:rFonts w:cs="Arial"/>
        </w:rPr>
        <w:t xml:space="preserve"> change. </w:t>
      </w:r>
    </w:p>
    <w:p w:rsidR="00A33A25" w:rsidRPr="005A6A01" w:rsidRDefault="00A33A25" w:rsidP="00A33A25">
      <w:pPr>
        <w:rPr>
          <w:rFonts w:cs="Arial"/>
        </w:rPr>
      </w:pPr>
      <w:r w:rsidRPr="005A6A01">
        <w:rPr>
          <w:rFonts w:cs="Arial"/>
        </w:rPr>
        <w:t xml:space="preserve">This is especially critical to retail SMEs in Bangladesh. The adoption of e-commerce and digital-marketing has been linked to financial and sustainability performance (Gao et al., 2023), whereas studies on Bangladesh-specific focus also prioritize </w:t>
      </w:r>
      <w:proofErr w:type="spellStart"/>
      <w:r w:rsidRPr="005A6A01">
        <w:rPr>
          <w:rFonts w:cs="Arial"/>
        </w:rPr>
        <w:t>organisational</w:t>
      </w:r>
      <w:proofErr w:type="spellEnd"/>
      <w:r w:rsidRPr="005A6A01">
        <w:rPr>
          <w:rFonts w:cs="Arial"/>
        </w:rPr>
        <w:t xml:space="preserve"> and external success factors, entrepreneurial competence, connectivity and business-data management (Hossain et al., 2024; Hossain et al., 2025). Nevertheless, these findings are not entirely clear as to why companies with equal access to platforms report varying outcome. A retailer can create orders online and experience faulty inventory, high fulfilment expenses, ineffective customer complaint service or reliance on a single market. Adoption has been </w:t>
      </w:r>
      <w:proofErr w:type="spellStart"/>
      <w:r w:rsidRPr="005A6A01">
        <w:rPr>
          <w:rFonts w:cs="Arial"/>
        </w:rPr>
        <w:t>realised</w:t>
      </w:r>
      <w:proofErr w:type="spellEnd"/>
      <w:r w:rsidRPr="005A6A01">
        <w:rPr>
          <w:rFonts w:cs="Arial"/>
        </w:rPr>
        <w:t xml:space="preserve">, with value </w:t>
      </w:r>
      <w:proofErr w:type="spellStart"/>
      <w:r w:rsidRPr="005A6A01">
        <w:rPr>
          <w:rFonts w:cs="Arial"/>
        </w:rPr>
        <w:t>realisation</w:t>
      </w:r>
      <w:proofErr w:type="spellEnd"/>
      <w:r w:rsidRPr="005A6A01">
        <w:rPr>
          <w:rFonts w:cs="Arial"/>
        </w:rPr>
        <w:t xml:space="preserve"> still unvalued. </w:t>
      </w:r>
    </w:p>
    <w:p w:rsidR="00A33A25" w:rsidRPr="005A6A01" w:rsidRDefault="00A33A25" w:rsidP="00A33A25">
      <w:pPr>
        <w:rPr>
          <w:rFonts w:cs="Arial"/>
        </w:rPr>
      </w:pPr>
      <w:r w:rsidRPr="005A6A01">
        <w:rPr>
          <w:rFonts w:cs="Arial"/>
        </w:rPr>
        <w:t xml:space="preserve">In this report, e-commerce adoption refers to an </w:t>
      </w:r>
      <w:proofErr w:type="spellStart"/>
      <w:r w:rsidRPr="005A6A01">
        <w:rPr>
          <w:rFonts w:cs="Arial"/>
        </w:rPr>
        <w:t>organisational</w:t>
      </w:r>
      <w:proofErr w:type="spellEnd"/>
      <w:r w:rsidRPr="005A6A01">
        <w:rPr>
          <w:rFonts w:cs="Arial"/>
        </w:rPr>
        <w:t xml:space="preserve"> choice to launch and </w:t>
      </w:r>
      <w:proofErr w:type="spellStart"/>
      <w:r w:rsidRPr="005A6A01">
        <w:rPr>
          <w:rFonts w:cs="Arial"/>
        </w:rPr>
        <w:t>utilise</w:t>
      </w:r>
      <w:proofErr w:type="spellEnd"/>
      <w:r w:rsidRPr="005A6A01">
        <w:rPr>
          <w:rFonts w:cs="Arial"/>
        </w:rPr>
        <w:t xml:space="preserve"> a digital commerce channel or technology. E-commerce value </w:t>
      </w:r>
      <w:proofErr w:type="spellStart"/>
      <w:r w:rsidRPr="005A6A01">
        <w:rPr>
          <w:rFonts w:cs="Arial"/>
        </w:rPr>
        <w:t>realisation</w:t>
      </w:r>
      <w:proofErr w:type="spellEnd"/>
      <w:r w:rsidRPr="005A6A01">
        <w:rPr>
          <w:rFonts w:cs="Arial"/>
        </w:rPr>
        <w:t xml:space="preserve"> refers to the process by which that </w:t>
      </w:r>
      <w:proofErr w:type="spellStart"/>
      <w:r w:rsidRPr="005A6A01">
        <w:rPr>
          <w:rFonts w:cs="Arial"/>
        </w:rPr>
        <w:t>utilisation</w:t>
      </w:r>
      <w:proofErr w:type="spellEnd"/>
      <w:r w:rsidRPr="005A6A01">
        <w:rPr>
          <w:rFonts w:cs="Arial"/>
        </w:rPr>
        <w:t xml:space="preserve"> becomes routine and generates long-term financial, operational, customer and strategic gains. Adoption is thus more of a threshold question, whether and why technology is adopted, and value </w:t>
      </w:r>
      <w:proofErr w:type="spellStart"/>
      <w:r w:rsidRPr="005A6A01">
        <w:rPr>
          <w:rFonts w:cs="Arial"/>
        </w:rPr>
        <w:t>realisation</w:t>
      </w:r>
      <w:proofErr w:type="spellEnd"/>
      <w:r w:rsidRPr="005A6A01">
        <w:rPr>
          <w:rFonts w:cs="Arial"/>
        </w:rPr>
        <w:t xml:space="preserve"> is a process question, how resources are packaged, routines changed and possibilities </w:t>
      </w:r>
      <w:proofErr w:type="spellStart"/>
      <w:r w:rsidRPr="005A6A01">
        <w:rPr>
          <w:rFonts w:cs="Arial"/>
        </w:rPr>
        <w:t>realised</w:t>
      </w:r>
      <w:proofErr w:type="spellEnd"/>
      <w:r w:rsidRPr="005A6A01">
        <w:rPr>
          <w:rFonts w:cs="Arial"/>
        </w:rPr>
        <w:t xml:space="preserve"> through technology. Zhu and Kraemer (2005) demonstrate that the usage and value of e-business remain different following adoption, which proves the post-adoption depth.</w:t>
      </w:r>
    </w:p>
    <w:p w:rsidR="00A33A25" w:rsidRPr="005A6A01" w:rsidRDefault="00A33A25" w:rsidP="00A33A25">
      <w:pPr>
        <w:rPr>
          <w:rFonts w:cs="Arial"/>
        </w:rPr>
      </w:pPr>
      <w:r w:rsidRPr="005A6A01">
        <w:rPr>
          <w:rFonts w:cs="Arial"/>
        </w:rPr>
        <w:lastRenderedPageBreak/>
        <w:t xml:space="preserve">The key </w:t>
      </w:r>
      <w:proofErr w:type="spellStart"/>
      <w:r w:rsidRPr="005A6A01">
        <w:rPr>
          <w:rFonts w:cs="Arial"/>
        </w:rPr>
        <w:t>organisational</w:t>
      </w:r>
      <w:proofErr w:type="spellEnd"/>
      <w:r w:rsidRPr="005A6A01">
        <w:rPr>
          <w:rFonts w:cs="Arial"/>
        </w:rPr>
        <w:t xml:space="preserve"> issue is thus a capability issue as opposed to a technology-availability issue. Retail SMEs have channel decisions to make, combine orders and inventory, interpret customer data, organize fulfilment, learn through digital experimentation and control external dependencies. The literature identifies six common domains: strategic digital leadership; systems integration; market sensing, customer engagement and analytics; process orchestration and fulfilment; </w:t>
      </w:r>
      <w:proofErr w:type="spellStart"/>
      <w:r w:rsidRPr="005A6A01">
        <w:rPr>
          <w:rFonts w:cs="Arial"/>
        </w:rPr>
        <w:t>organisational</w:t>
      </w:r>
      <w:proofErr w:type="spellEnd"/>
      <w:r w:rsidRPr="005A6A01">
        <w:rPr>
          <w:rFonts w:cs="Arial"/>
        </w:rPr>
        <w:t xml:space="preserve"> learning and </w:t>
      </w:r>
      <w:proofErr w:type="spellStart"/>
      <w:r w:rsidRPr="005A6A01">
        <w:rPr>
          <w:rFonts w:cs="Arial"/>
        </w:rPr>
        <w:t>reconfigurators</w:t>
      </w:r>
      <w:proofErr w:type="spellEnd"/>
      <w:r w:rsidRPr="005A6A01">
        <w:rPr>
          <w:rFonts w:cs="Arial"/>
        </w:rPr>
        <w:t>: ecosystem or institutional navigation. These are not regarded as independent variables but as an interdependent portfolio since the strength of promotion cannot always cover weak fulfilment or data can never generate value without decision routines.</w:t>
      </w:r>
    </w:p>
    <w:p w:rsidR="00A33A25" w:rsidRPr="005A6A01" w:rsidRDefault="00A33A25" w:rsidP="00A33A25">
      <w:pPr>
        <w:rPr>
          <w:rFonts w:cs="Arial"/>
        </w:rPr>
      </w:pPr>
      <w:r w:rsidRPr="005A6A01">
        <w:rPr>
          <w:rFonts w:cs="Arial"/>
        </w:rPr>
        <w:t>The shift matters because managers need more than statistically significant adoption antecedents; they need an explanation of which capabilities must be built, how those capabilities interact and which outcomes should be monitored. It also raises philosophical questions: survey research commonly represents capabilities as measurable constructs, whereas case research treats capability development as situated and processual. A critical-realist orientation is useful because it treats observable outcomes as effects of underlying mechanisms operating in particular contexts (Fletcher, 2017). Pragmatism is also relevant where different forms of evidence are needed for different parts of a managerial problem (Morgan, 2014).</w:t>
      </w:r>
    </w:p>
    <w:p w:rsidR="00A33A25" w:rsidRPr="005A6A01" w:rsidRDefault="00A33A25" w:rsidP="00A33A25">
      <w:pPr>
        <w:pStyle w:val="Heading2"/>
        <w:rPr>
          <w:rFonts w:cs="Arial"/>
        </w:rPr>
      </w:pPr>
      <w:bookmarkStart w:id="2" w:name="_Toc238011403"/>
      <w:r w:rsidRPr="005A6A01">
        <w:rPr>
          <w:rFonts w:cs="Arial"/>
        </w:rPr>
        <w:t>1.2 Aim, objectives and research questions</w:t>
      </w:r>
      <w:bookmarkEnd w:id="2"/>
    </w:p>
    <w:p w:rsidR="00A33A25" w:rsidRPr="005A6A01" w:rsidRDefault="00A33A25" w:rsidP="00A33A25">
      <w:pPr>
        <w:rPr>
          <w:rFonts w:cs="Arial"/>
        </w:rPr>
      </w:pPr>
      <w:r w:rsidRPr="005A6A01">
        <w:rPr>
          <w:rFonts w:cs="Arial"/>
        </w:rPr>
        <w:t xml:space="preserve">The aim is to critically evaluate recent research on how retail SMEs </w:t>
      </w:r>
      <w:proofErr w:type="spellStart"/>
      <w:r w:rsidRPr="005A6A01">
        <w:rPr>
          <w:rFonts w:cs="Arial"/>
        </w:rPr>
        <w:t>realise</w:t>
      </w:r>
      <w:proofErr w:type="spellEnd"/>
      <w:r w:rsidRPr="005A6A01">
        <w:rPr>
          <w:rFonts w:cs="Arial"/>
        </w:rPr>
        <w:t xml:space="preserve"> value from e-commerce and to develop a context-sensitive </w:t>
      </w:r>
      <w:proofErr w:type="spellStart"/>
      <w:r w:rsidRPr="005A6A01">
        <w:rPr>
          <w:rFonts w:cs="Arial"/>
        </w:rPr>
        <w:t>organisational</w:t>
      </w:r>
      <w:proofErr w:type="spellEnd"/>
      <w:r w:rsidRPr="005A6A01">
        <w:rPr>
          <w:rFonts w:cs="Arial"/>
        </w:rPr>
        <w:t xml:space="preserve"> capability framework for Bangladeshi retail SMEs. The objectives are to: (1) review recent research on adoption, post-adoption use, capabilities and value </w:t>
      </w:r>
      <w:proofErr w:type="spellStart"/>
      <w:r w:rsidRPr="005A6A01">
        <w:rPr>
          <w:rFonts w:cs="Arial"/>
        </w:rPr>
        <w:t>realisation</w:t>
      </w:r>
      <w:proofErr w:type="spellEnd"/>
      <w:r w:rsidRPr="005A6A01">
        <w:rPr>
          <w:rFonts w:cs="Arial"/>
        </w:rPr>
        <w:t xml:space="preserve">; (2) evaluate the theoretical, ontological, epistemological, axiological, methodological and ethical assumptions evident in that research; (3) appraise one recent empirical study in depth, particularly its philosophy, ethics, reliability and validity; and (4) </w:t>
      </w:r>
      <w:proofErr w:type="spellStart"/>
      <w:r w:rsidRPr="005A6A01">
        <w:rPr>
          <w:rFonts w:cs="Arial"/>
        </w:rPr>
        <w:t>synthesise</w:t>
      </w:r>
      <w:proofErr w:type="spellEnd"/>
      <w:r w:rsidRPr="005A6A01">
        <w:rPr>
          <w:rFonts w:cs="Arial"/>
        </w:rPr>
        <w:t xml:space="preserve"> the evidence into a preliminary framework connecting context, </w:t>
      </w:r>
      <w:proofErr w:type="spellStart"/>
      <w:r w:rsidRPr="005A6A01">
        <w:rPr>
          <w:rFonts w:cs="Arial"/>
        </w:rPr>
        <w:t>organisational</w:t>
      </w:r>
      <w:proofErr w:type="spellEnd"/>
      <w:r w:rsidRPr="005A6A01">
        <w:rPr>
          <w:rFonts w:cs="Arial"/>
        </w:rPr>
        <w:t xml:space="preserve"> mechanisms and multidimensional outcomes.</w:t>
      </w:r>
    </w:p>
    <w:p w:rsidR="00A33A25" w:rsidRPr="005A6A01" w:rsidRDefault="00A33A25" w:rsidP="00A33A25">
      <w:pPr>
        <w:rPr>
          <w:rFonts w:cs="Arial"/>
        </w:rPr>
      </w:pPr>
      <w:r w:rsidRPr="005A6A01">
        <w:rPr>
          <w:rFonts w:cs="Arial"/>
        </w:rPr>
        <w:t xml:space="preserve">Three questions guide the report. First, what </w:t>
      </w:r>
      <w:proofErr w:type="spellStart"/>
      <w:r w:rsidRPr="005A6A01">
        <w:rPr>
          <w:rFonts w:cs="Arial"/>
        </w:rPr>
        <w:t>organisational</w:t>
      </w:r>
      <w:proofErr w:type="spellEnd"/>
      <w:r w:rsidRPr="005A6A01">
        <w:rPr>
          <w:rFonts w:cs="Arial"/>
        </w:rPr>
        <w:t xml:space="preserve"> capabilities enable retail SMEs to translate e-commerce use into financial, operational, customer and strategic value? Second, how do technological, </w:t>
      </w:r>
      <w:proofErr w:type="spellStart"/>
      <w:r w:rsidRPr="005A6A01">
        <w:rPr>
          <w:rFonts w:cs="Arial"/>
        </w:rPr>
        <w:t>organisational</w:t>
      </w:r>
      <w:proofErr w:type="spellEnd"/>
      <w:r w:rsidRPr="005A6A01">
        <w:rPr>
          <w:rFonts w:cs="Arial"/>
        </w:rPr>
        <w:t xml:space="preserve"> and environmental conditions shape the activation and effectiveness of those capabilities? Third, how can the </w:t>
      </w:r>
      <w:r w:rsidRPr="005A6A01">
        <w:rPr>
          <w:rFonts w:cs="Arial"/>
        </w:rPr>
        <w:lastRenderedPageBreak/>
        <w:t>capabilities be integrated into a theoretically coherent and managerially usable framework for Bangladeshi retail SMEs?</w:t>
      </w:r>
    </w:p>
    <w:p w:rsidR="00A33A25" w:rsidRPr="005A6A01" w:rsidRDefault="00A33A25" w:rsidP="00A33A25">
      <w:pPr>
        <w:pStyle w:val="Heading2"/>
        <w:rPr>
          <w:rFonts w:cs="Arial"/>
        </w:rPr>
      </w:pPr>
      <w:bookmarkStart w:id="3" w:name="_Toc238011404"/>
      <w:r w:rsidRPr="005A6A01">
        <w:rPr>
          <w:rFonts w:cs="Arial"/>
        </w:rPr>
        <w:t>1.3 Structure of the report</w:t>
      </w:r>
      <w:bookmarkEnd w:id="3"/>
    </w:p>
    <w:p w:rsidR="00A33A25" w:rsidRPr="005A6A01" w:rsidRDefault="00A33A25" w:rsidP="00A33A25">
      <w:pPr>
        <w:rPr>
          <w:rFonts w:cs="Arial"/>
        </w:rPr>
      </w:pPr>
      <w:r w:rsidRPr="005A6A01">
        <w:rPr>
          <w:rFonts w:cs="Arial"/>
        </w:rPr>
        <w:t xml:space="preserve">After explaining the review method, the report </w:t>
      </w:r>
      <w:proofErr w:type="spellStart"/>
      <w:r w:rsidRPr="005A6A01">
        <w:rPr>
          <w:rFonts w:cs="Arial"/>
        </w:rPr>
        <w:t>synthesises</w:t>
      </w:r>
      <w:proofErr w:type="spellEnd"/>
      <w:r w:rsidRPr="005A6A01">
        <w:rPr>
          <w:rFonts w:cs="Arial"/>
        </w:rPr>
        <w:t xml:space="preserve"> the literature through the adoption-value distinction, competing theories, capability domains, Bangladesh-specific evidence, and philosophical and ethical patterns. </w:t>
      </w:r>
      <w:proofErr w:type="spellStart"/>
      <w:r w:rsidRPr="005A6A01">
        <w:rPr>
          <w:rFonts w:cs="Arial"/>
        </w:rPr>
        <w:t>Matarazzo</w:t>
      </w:r>
      <w:proofErr w:type="spellEnd"/>
      <w:r w:rsidRPr="005A6A01">
        <w:rPr>
          <w:rFonts w:cs="Arial"/>
        </w:rPr>
        <w:t xml:space="preserve"> et al. (2021) is then examined as a theoretically informed multiple-case study. The final sections integrate the findings, present the proposed framework and answer the research questions.</w:t>
      </w:r>
    </w:p>
    <w:p w:rsidR="00A33A25" w:rsidRPr="005A6A01" w:rsidRDefault="00A33A25" w:rsidP="00A33A25">
      <w:pPr>
        <w:pStyle w:val="Heading1"/>
        <w:rPr>
          <w:rFonts w:cs="Arial"/>
        </w:rPr>
      </w:pPr>
      <w:bookmarkStart w:id="4" w:name="_Toc238011405"/>
      <w:r w:rsidRPr="005A6A01">
        <w:rPr>
          <w:rFonts w:cs="Arial"/>
        </w:rPr>
        <w:t>2. Literature Review Method and Scope</w:t>
      </w:r>
      <w:bookmarkEnd w:id="4"/>
    </w:p>
    <w:p w:rsidR="00A33A25" w:rsidRPr="005A6A01" w:rsidRDefault="00A33A25" w:rsidP="00A33A25">
      <w:pPr>
        <w:pStyle w:val="Heading2"/>
        <w:rPr>
          <w:rFonts w:cs="Arial"/>
        </w:rPr>
      </w:pPr>
      <w:bookmarkStart w:id="5" w:name="_Toc238011406"/>
      <w:r w:rsidRPr="005A6A01">
        <w:rPr>
          <w:rFonts w:cs="Arial"/>
        </w:rPr>
        <w:t>2.1 Review design and rationale</w:t>
      </w:r>
      <w:bookmarkEnd w:id="5"/>
    </w:p>
    <w:p w:rsidR="00A33A25" w:rsidRPr="005A6A01" w:rsidRDefault="00A33A25" w:rsidP="00A33A25">
      <w:pPr>
        <w:rPr>
          <w:rFonts w:cs="Arial"/>
        </w:rPr>
      </w:pPr>
      <w:r w:rsidRPr="005A6A01">
        <w:rPr>
          <w:rFonts w:cs="Arial"/>
        </w:rPr>
        <w:t xml:space="preserve">The report employs a systematic critical literature review to investigate the influence of </w:t>
      </w:r>
      <w:proofErr w:type="spellStart"/>
      <w:r w:rsidRPr="005A6A01">
        <w:rPr>
          <w:rFonts w:cs="Arial"/>
        </w:rPr>
        <w:t>organisational</w:t>
      </w:r>
      <w:proofErr w:type="spellEnd"/>
      <w:r w:rsidRPr="005A6A01">
        <w:rPr>
          <w:rFonts w:cs="Arial"/>
        </w:rPr>
        <w:t xml:space="preserve"> capabilities in the value </w:t>
      </w:r>
      <w:proofErr w:type="spellStart"/>
      <w:r w:rsidRPr="005A6A01">
        <w:rPr>
          <w:rFonts w:cs="Arial"/>
        </w:rPr>
        <w:t>realisation</w:t>
      </w:r>
      <w:proofErr w:type="spellEnd"/>
      <w:r w:rsidRPr="005A6A01">
        <w:rPr>
          <w:rFonts w:cs="Arial"/>
        </w:rPr>
        <w:t xml:space="preserve"> of e-commerce in retail SMEs. Transparent review procedures make the basis for selection and synthesis more traceable while still permitting interpretive comparison across heterogeneous studies (Snyder, 2019). Similar findings are made by </w:t>
      </w:r>
      <w:proofErr w:type="spellStart"/>
      <w:r w:rsidRPr="005A6A01">
        <w:rPr>
          <w:rFonts w:cs="Arial"/>
        </w:rPr>
        <w:t>Tranfield</w:t>
      </w:r>
      <w:proofErr w:type="spellEnd"/>
      <w:r w:rsidRPr="005A6A01">
        <w:rPr>
          <w:rFonts w:cs="Arial"/>
        </w:rPr>
        <w:t xml:space="preserve"> et al. (2003) which underscores explicit search, appraisal and synthesis processes in management research. The review focuses on 2021-2026 evidence, and the seminal theory and research-method sources are maintained when needed. Searching, eligibility screening, quality appraisal and thematic synthesis were thus considered to be interrelated phases.</w:t>
      </w:r>
    </w:p>
    <w:p w:rsidR="00A33A25" w:rsidRPr="005A6A01" w:rsidRDefault="00A33A25" w:rsidP="00A33A25">
      <w:pPr>
        <w:pStyle w:val="Heading2"/>
        <w:rPr>
          <w:rFonts w:cs="Arial"/>
        </w:rPr>
      </w:pPr>
      <w:bookmarkStart w:id="6" w:name="_Toc238011407"/>
      <w:r w:rsidRPr="005A6A01">
        <w:rPr>
          <w:rFonts w:cs="Arial"/>
        </w:rPr>
        <w:t>2.2 Search strategy</w:t>
      </w:r>
      <w:bookmarkEnd w:id="6"/>
    </w:p>
    <w:p w:rsidR="00A33A25" w:rsidRPr="005A6A01" w:rsidRDefault="00A33A25" w:rsidP="00A33A25">
      <w:pPr>
        <w:rPr>
          <w:rFonts w:cs="Arial"/>
        </w:rPr>
      </w:pPr>
      <w:r w:rsidRPr="005A6A01">
        <w:rPr>
          <w:rFonts w:cs="Arial"/>
        </w:rPr>
        <w:t xml:space="preserve">The search included three concepts groups: e-commerce and digital transformation, </w:t>
      </w:r>
      <w:proofErr w:type="spellStart"/>
      <w:r w:rsidRPr="005A6A01">
        <w:rPr>
          <w:rFonts w:cs="Arial"/>
        </w:rPr>
        <w:t>organisational</w:t>
      </w:r>
      <w:proofErr w:type="spellEnd"/>
      <w:r w:rsidRPr="005A6A01">
        <w:rPr>
          <w:rFonts w:cs="Arial"/>
        </w:rPr>
        <w:t xml:space="preserve"> capability and value </w:t>
      </w:r>
      <w:proofErr w:type="spellStart"/>
      <w:r w:rsidRPr="005A6A01">
        <w:rPr>
          <w:rFonts w:cs="Arial"/>
        </w:rPr>
        <w:t>realisation</w:t>
      </w:r>
      <w:proofErr w:type="spellEnd"/>
      <w:r w:rsidRPr="005A6A01">
        <w:rPr>
          <w:rFonts w:cs="Arial"/>
        </w:rPr>
        <w:t xml:space="preserve"> and performance, with Bangladesh and emerging economies as contextual terms. </w:t>
      </w:r>
      <w:proofErr w:type="spellStart"/>
      <w:r w:rsidRPr="005A6A01">
        <w:rPr>
          <w:rFonts w:cs="Arial"/>
        </w:rPr>
        <w:t>ScienceDirect</w:t>
      </w:r>
      <w:proofErr w:type="spellEnd"/>
      <w:r w:rsidRPr="005A6A01">
        <w:rPr>
          <w:rFonts w:cs="Arial"/>
        </w:rPr>
        <w:t xml:space="preserve">, </w:t>
      </w:r>
      <w:proofErr w:type="spellStart"/>
      <w:r w:rsidRPr="005A6A01">
        <w:rPr>
          <w:rFonts w:cs="Arial"/>
        </w:rPr>
        <w:t>SpringerLink</w:t>
      </w:r>
      <w:proofErr w:type="spellEnd"/>
      <w:r w:rsidRPr="005A6A01">
        <w:rPr>
          <w:rFonts w:cs="Arial"/>
        </w:rPr>
        <w:t xml:space="preserve">, SAGE and MDPI were searched and complemented by backward citation tracking. The database searches identified 230 records before screening. Table 1 </w:t>
      </w:r>
      <w:proofErr w:type="spellStart"/>
      <w:r w:rsidRPr="005A6A01">
        <w:rPr>
          <w:rFonts w:cs="Arial"/>
        </w:rPr>
        <w:t>summarises</w:t>
      </w:r>
      <w:proofErr w:type="spellEnd"/>
      <w:r w:rsidRPr="005A6A01">
        <w:rPr>
          <w:rFonts w:cs="Arial"/>
        </w:rPr>
        <w:t xml:space="preserve"> the search blocks, limits and purpose.</w:t>
      </w:r>
    </w:p>
    <w:p w:rsidR="00A33A25" w:rsidRPr="005A6A01" w:rsidRDefault="00A33A25" w:rsidP="00A33A25">
      <w:pPr>
        <w:spacing w:before="120" w:after="80"/>
        <w:jc w:val="center"/>
        <w:rPr>
          <w:rFonts w:cs="Arial"/>
        </w:rPr>
      </w:pPr>
      <w:r w:rsidRPr="005A6A01">
        <w:rPr>
          <w:rFonts w:cs="Arial"/>
        </w:rPr>
        <w:t>Table 1. Search strategy and scope</w:t>
      </w:r>
    </w:p>
    <w:tbl>
      <w:tblPr>
        <w:tblStyle w:val="TableGrid"/>
        <w:tblW w:w="0" w:type="auto"/>
        <w:tblLayout w:type="fixed"/>
        <w:tblLook w:val="04A0" w:firstRow="1" w:lastRow="0" w:firstColumn="1" w:lastColumn="0" w:noHBand="0" w:noVBand="1"/>
      </w:tblPr>
      <w:tblGrid>
        <w:gridCol w:w="1584"/>
        <w:gridCol w:w="3600"/>
        <w:gridCol w:w="1800"/>
        <w:gridCol w:w="2376"/>
      </w:tblGrid>
      <w:tr w:rsidR="00A33A25" w:rsidRPr="005A6A01" w:rsidTr="001250CC">
        <w:tc>
          <w:tcPr>
            <w:tcW w:w="1584" w:type="dxa"/>
            <w:shd w:val="clear" w:color="auto" w:fill="808080" w:themeFill="background1" w:themeFillShade="80"/>
          </w:tcPr>
          <w:p w:rsidR="00A33A25" w:rsidRPr="005A6A01" w:rsidRDefault="00A33A25" w:rsidP="001250CC">
            <w:pPr>
              <w:rPr>
                <w:rFonts w:cs="Arial"/>
              </w:rPr>
            </w:pPr>
            <w:r w:rsidRPr="005A6A01">
              <w:rPr>
                <w:rFonts w:cs="Arial"/>
              </w:rPr>
              <w:t>Search block</w:t>
            </w:r>
          </w:p>
        </w:tc>
        <w:tc>
          <w:tcPr>
            <w:tcW w:w="3600" w:type="dxa"/>
            <w:shd w:val="clear" w:color="auto" w:fill="808080" w:themeFill="background1" w:themeFillShade="80"/>
          </w:tcPr>
          <w:p w:rsidR="00A33A25" w:rsidRPr="005A6A01" w:rsidRDefault="00A33A25" w:rsidP="001250CC">
            <w:pPr>
              <w:rPr>
                <w:rFonts w:cs="Arial"/>
              </w:rPr>
            </w:pPr>
            <w:r w:rsidRPr="005A6A01">
              <w:rPr>
                <w:rFonts w:cs="Arial"/>
              </w:rPr>
              <w:t>Representative terms</w:t>
            </w:r>
          </w:p>
        </w:tc>
        <w:tc>
          <w:tcPr>
            <w:tcW w:w="1800" w:type="dxa"/>
            <w:shd w:val="clear" w:color="auto" w:fill="808080" w:themeFill="background1" w:themeFillShade="80"/>
          </w:tcPr>
          <w:p w:rsidR="00A33A25" w:rsidRPr="005A6A01" w:rsidRDefault="00A33A25" w:rsidP="001250CC">
            <w:pPr>
              <w:rPr>
                <w:rFonts w:cs="Arial"/>
              </w:rPr>
            </w:pPr>
            <w:r w:rsidRPr="005A6A01">
              <w:rPr>
                <w:rFonts w:cs="Arial"/>
              </w:rPr>
              <w:t>Limits</w:t>
            </w:r>
          </w:p>
        </w:tc>
        <w:tc>
          <w:tcPr>
            <w:tcW w:w="2376" w:type="dxa"/>
            <w:shd w:val="clear" w:color="auto" w:fill="808080" w:themeFill="background1" w:themeFillShade="80"/>
          </w:tcPr>
          <w:p w:rsidR="00A33A25" w:rsidRPr="005A6A01" w:rsidRDefault="00A33A25" w:rsidP="001250CC">
            <w:pPr>
              <w:rPr>
                <w:rFonts w:cs="Arial"/>
              </w:rPr>
            </w:pPr>
            <w:r w:rsidRPr="005A6A01">
              <w:rPr>
                <w:rFonts w:cs="Arial"/>
              </w:rPr>
              <w:t>Purpose</w:t>
            </w:r>
          </w:p>
        </w:tc>
      </w:tr>
      <w:tr w:rsidR="00A33A25" w:rsidRPr="005A6A01" w:rsidTr="001250CC">
        <w:tc>
          <w:tcPr>
            <w:tcW w:w="1584" w:type="dxa"/>
          </w:tcPr>
          <w:p w:rsidR="00A33A25" w:rsidRPr="005A6A01" w:rsidRDefault="00A33A25" w:rsidP="001250CC">
            <w:pPr>
              <w:rPr>
                <w:rFonts w:cs="Arial"/>
              </w:rPr>
            </w:pPr>
            <w:r w:rsidRPr="005A6A01">
              <w:rPr>
                <w:rFonts w:cs="Arial"/>
              </w:rPr>
              <w:lastRenderedPageBreak/>
              <w:t>E-commerce adoption</w:t>
            </w:r>
          </w:p>
        </w:tc>
        <w:tc>
          <w:tcPr>
            <w:tcW w:w="3600" w:type="dxa"/>
          </w:tcPr>
          <w:p w:rsidR="00A33A25" w:rsidRPr="005A6A01" w:rsidRDefault="00A33A25" w:rsidP="001250CC">
            <w:pPr>
              <w:rPr>
                <w:rFonts w:cs="Arial"/>
              </w:rPr>
            </w:pPr>
            <w:r w:rsidRPr="005A6A01">
              <w:rPr>
                <w:rFonts w:cs="Arial"/>
              </w:rPr>
              <w:t xml:space="preserve">("e-commerce" OR "online retail*" OR "digital commerce") AND (SME* OR "small and medium enterprise*") AND (adoption OR </w:t>
            </w:r>
            <w:proofErr w:type="spellStart"/>
            <w:r w:rsidRPr="005A6A01">
              <w:rPr>
                <w:rFonts w:cs="Arial"/>
              </w:rPr>
              <w:t>utilisation</w:t>
            </w:r>
            <w:proofErr w:type="spellEnd"/>
            <w:r w:rsidRPr="005A6A01">
              <w:rPr>
                <w:rFonts w:cs="Arial"/>
              </w:rPr>
              <w:t>)</w:t>
            </w:r>
          </w:p>
        </w:tc>
        <w:tc>
          <w:tcPr>
            <w:tcW w:w="1800" w:type="dxa"/>
          </w:tcPr>
          <w:p w:rsidR="00A33A25" w:rsidRPr="005A6A01" w:rsidRDefault="00A33A25" w:rsidP="001250CC">
            <w:pPr>
              <w:rPr>
                <w:rFonts w:cs="Arial"/>
              </w:rPr>
            </w:pPr>
            <w:r w:rsidRPr="005A6A01">
              <w:rPr>
                <w:rFonts w:cs="Arial"/>
              </w:rPr>
              <w:t>2021–2026; English; scholarly</w:t>
            </w:r>
          </w:p>
        </w:tc>
        <w:tc>
          <w:tcPr>
            <w:tcW w:w="2376" w:type="dxa"/>
          </w:tcPr>
          <w:p w:rsidR="00A33A25" w:rsidRPr="005A6A01" w:rsidRDefault="00A33A25" w:rsidP="001250CC">
            <w:pPr>
              <w:rPr>
                <w:rFonts w:cs="Arial"/>
              </w:rPr>
            </w:pPr>
            <w:r w:rsidRPr="005A6A01">
              <w:rPr>
                <w:rFonts w:cs="Arial"/>
              </w:rPr>
              <w:t>Identify adoption antecedents and contextual conditions</w:t>
            </w:r>
          </w:p>
        </w:tc>
      </w:tr>
      <w:tr w:rsidR="00A33A25" w:rsidRPr="005A6A01" w:rsidTr="001250CC">
        <w:tc>
          <w:tcPr>
            <w:tcW w:w="1584" w:type="dxa"/>
          </w:tcPr>
          <w:p w:rsidR="00A33A25" w:rsidRPr="005A6A01" w:rsidRDefault="00A33A25" w:rsidP="001250CC">
            <w:pPr>
              <w:rPr>
                <w:rFonts w:cs="Arial"/>
              </w:rPr>
            </w:pPr>
            <w:r w:rsidRPr="005A6A01">
              <w:rPr>
                <w:rFonts w:cs="Arial"/>
              </w:rPr>
              <w:t xml:space="preserve">Value </w:t>
            </w:r>
            <w:proofErr w:type="spellStart"/>
            <w:r w:rsidRPr="005A6A01">
              <w:rPr>
                <w:rFonts w:cs="Arial"/>
              </w:rPr>
              <w:t>realisation</w:t>
            </w:r>
            <w:proofErr w:type="spellEnd"/>
          </w:p>
        </w:tc>
        <w:tc>
          <w:tcPr>
            <w:tcW w:w="3600" w:type="dxa"/>
          </w:tcPr>
          <w:p w:rsidR="00A33A25" w:rsidRPr="005A6A01" w:rsidRDefault="00A33A25" w:rsidP="001250CC">
            <w:pPr>
              <w:rPr>
                <w:rFonts w:cs="Arial"/>
              </w:rPr>
            </w:pPr>
            <w:r w:rsidRPr="005A6A01">
              <w:rPr>
                <w:rFonts w:cs="Arial"/>
              </w:rPr>
              <w:t xml:space="preserve">("e-commerce" OR "digital transformation") AND SME* AND ("value </w:t>
            </w:r>
            <w:proofErr w:type="spellStart"/>
            <w:r w:rsidRPr="005A6A01">
              <w:rPr>
                <w:rFonts w:cs="Arial"/>
              </w:rPr>
              <w:t>realisation</w:t>
            </w:r>
            <w:proofErr w:type="spellEnd"/>
            <w:r w:rsidRPr="005A6A01">
              <w:rPr>
                <w:rFonts w:cs="Arial"/>
              </w:rPr>
              <w:t>" OR performance OR "value creation")</w:t>
            </w:r>
          </w:p>
        </w:tc>
        <w:tc>
          <w:tcPr>
            <w:tcW w:w="1800" w:type="dxa"/>
          </w:tcPr>
          <w:p w:rsidR="00A33A25" w:rsidRPr="005A6A01" w:rsidRDefault="00A33A25" w:rsidP="001250CC">
            <w:pPr>
              <w:rPr>
                <w:rFonts w:cs="Arial"/>
              </w:rPr>
            </w:pPr>
            <w:r w:rsidRPr="005A6A01">
              <w:rPr>
                <w:rFonts w:cs="Arial"/>
              </w:rPr>
              <w:t>2021–2026; seminal work where necessary</w:t>
            </w:r>
          </w:p>
        </w:tc>
        <w:tc>
          <w:tcPr>
            <w:tcW w:w="2376" w:type="dxa"/>
          </w:tcPr>
          <w:p w:rsidR="00A33A25" w:rsidRPr="005A6A01" w:rsidRDefault="00A33A25" w:rsidP="001250CC">
            <w:pPr>
              <w:rPr>
                <w:rFonts w:cs="Arial"/>
              </w:rPr>
            </w:pPr>
            <w:r w:rsidRPr="005A6A01">
              <w:rPr>
                <w:rFonts w:cs="Arial"/>
              </w:rPr>
              <w:t>Identify post-adoption mechanisms and outcomes</w:t>
            </w:r>
          </w:p>
        </w:tc>
      </w:tr>
      <w:tr w:rsidR="00A33A25" w:rsidRPr="005A6A01" w:rsidTr="001250CC">
        <w:tc>
          <w:tcPr>
            <w:tcW w:w="1584" w:type="dxa"/>
          </w:tcPr>
          <w:p w:rsidR="00A33A25" w:rsidRPr="005A6A01" w:rsidRDefault="00A33A25" w:rsidP="001250CC">
            <w:pPr>
              <w:rPr>
                <w:rFonts w:cs="Arial"/>
              </w:rPr>
            </w:pPr>
            <w:r w:rsidRPr="005A6A01">
              <w:rPr>
                <w:rFonts w:cs="Arial"/>
              </w:rPr>
              <w:t>Capability theory</w:t>
            </w:r>
          </w:p>
        </w:tc>
        <w:tc>
          <w:tcPr>
            <w:tcW w:w="3600" w:type="dxa"/>
          </w:tcPr>
          <w:p w:rsidR="00A33A25" w:rsidRPr="005A6A01" w:rsidRDefault="00A33A25" w:rsidP="001250CC">
            <w:pPr>
              <w:rPr>
                <w:rFonts w:cs="Arial"/>
              </w:rPr>
            </w:pPr>
            <w:r w:rsidRPr="005A6A01">
              <w:rPr>
                <w:rFonts w:cs="Arial"/>
              </w:rPr>
              <w:t xml:space="preserve">SME* AND ("digital capability" OR "dynamic </w:t>
            </w:r>
            <w:proofErr w:type="spellStart"/>
            <w:r w:rsidRPr="005A6A01">
              <w:rPr>
                <w:rFonts w:cs="Arial"/>
              </w:rPr>
              <w:t>capabilit</w:t>
            </w:r>
            <w:proofErr w:type="spellEnd"/>
            <w:r w:rsidRPr="005A6A01">
              <w:rPr>
                <w:rFonts w:cs="Arial"/>
              </w:rPr>
              <w:t>*" OR "</w:t>
            </w:r>
            <w:proofErr w:type="spellStart"/>
            <w:r w:rsidRPr="005A6A01">
              <w:rPr>
                <w:rFonts w:cs="Arial"/>
              </w:rPr>
              <w:t>organisational</w:t>
            </w:r>
            <w:proofErr w:type="spellEnd"/>
            <w:r w:rsidRPr="005A6A01">
              <w:rPr>
                <w:rFonts w:cs="Arial"/>
              </w:rPr>
              <w:t xml:space="preserve"> capability") AND (performance OR value)</w:t>
            </w:r>
          </w:p>
        </w:tc>
        <w:tc>
          <w:tcPr>
            <w:tcW w:w="1800" w:type="dxa"/>
          </w:tcPr>
          <w:p w:rsidR="00A33A25" w:rsidRPr="005A6A01" w:rsidRDefault="00A33A25" w:rsidP="001250CC">
            <w:pPr>
              <w:rPr>
                <w:rFonts w:cs="Arial"/>
              </w:rPr>
            </w:pPr>
            <w:r w:rsidRPr="005A6A01">
              <w:rPr>
                <w:rFonts w:cs="Arial"/>
              </w:rPr>
              <w:t>Peer-reviewed priority</w:t>
            </w:r>
          </w:p>
        </w:tc>
        <w:tc>
          <w:tcPr>
            <w:tcW w:w="2376" w:type="dxa"/>
          </w:tcPr>
          <w:p w:rsidR="00A33A25" w:rsidRPr="005A6A01" w:rsidRDefault="00A33A25" w:rsidP="001250CC">
            <w:pPr>
              <w:rPr>
                <w:rFonts w:cs="Arial"/>
              </w:rPr>
            </w:pPr>
            <w:r w:rsidRPr="005A6A01">
              <w:rPr>
                <w:rFonts w:cs="Arial"/>
              </w:rPr>
              <w:t>Identify capability mechanisms and competing theories</w:t>
            </w:r>
          </w:p>
        </w:tc>
      </w:tr>
      <w:tr w:rsidR="00A33A25" w:rsidRPr="005A6A01" w:rsidTr="001250CC">
        <w:tc>
          <w:tcPr>
            <w:tcW w:w="1584" w:type="dxa"/>
          </w:tcPr>
          <w:p w:rsidR="00A33A25" w:rsidRPr="005A6A01" w:rsidRDefault="00A33A25" w:rsidP="001250CC">
            <w:pPr>
              <w:rPr>
                <w:rFonts w:cs="Arial"/>
              </w:rPr>
            </w:pPr>
            <w:r w:rsidRPr="005A6A01">
              <w:rPr>
                <w:rFonts w:cs="Arial"/>
              </w:rPr>
              <w:t>Bangladesh/context</w:t>
            </w:r>
          </w:p>
        </w:tc>
        <w:tc>
          <w:tcPr>
            <w:tcW w:w="3600" w:type="dxa"/>
          </w:tcPr>
          <w:p w:rsidR="00A33A25" w:rsidRPr="005A6A01" w:rsidRDefault="00A33A25" w:rsidP="001250CC">
            <w:pPr>
              <w:rPr>
                <w:rFonts w:cs="Arial"/>
              </w:rPr>
            </w:pPr>
            <w:r w:rsidRPr="005A6A01">
              <w:rPr>
                <w:rFonts w:cs="Arial"/>
              </w:rPr>
              <w:t xml:space="preserve">("e-commerce" AND SME*) AND (Bangladesh OR "emerging </w:t>
            </w:r>
            <w:proofErr w:type="spellStart"/>
            <w:r w:rsidRPr="005A6A01">
              <w:rPr>
                <w:rFonts w:cs="Arial"/>
              </w:rPr>
              <w:t>econom</w:t>
            </w:r>
            <w:proofErr w:type="spellEnd"/>
            <w:r w:rsidRPr="005A6A01">
              <w:rPr>
                <w:rFonts w:cs="Arial"/>
              </w:rPr>
              <w:t>*") AND (capability OR performance OR adoption)</w:t>
            </w:r>
          </w:p>
        </w:tc>
        <w:tc>
          <w:tcPr>
            <w:tcW w:w="1800" w:type="dxa"/>
          </w:tcPr>
          <w:p w:rsidR="00A33A25" w:rsidRPr="005A6A01" w:rsidRDefault="00A33A25" w:rsidP="001250CC">
            <w:pPr>
              <w:rPr>
                <w:rFonts w:cs="Arial"/>
              </w:rPr>
            </w:pPr>
            <w:r w:rsidRPr="005A6A01">
              <w:rPr>
                <w:rFonts w:cs="Arial"/>
              </w:rPr>
              <w:t xml:space="preserve">Bangladesh </w:t>
            </w:r>
            <w:proofErr w:type="spellStart"/>
            <w:r w:rsidRPr="005A6A01">
              <w:rPr>
                <w:rFonts w:cs="Arial"/>
              </w:rPr>
              <w:t>prioritised</w:t>
            </w:r>
            <w:proofErr w:type="spellEnd"/>
          </w:p>
        </w:tc>
        <w:tc>
          <w:tcPr>
            <w:tcW w:w="2376" w:type="dxa"/>
          </w:tcPr>
          <w:p w:rsidR="00A33A25" w:rsidRPr="005A6A01" w:rsidRDefault="00A33A25" w:rsidP="001250CC">
            <w:pPr>
              <w:rPr>
                <w:rFonts w:cs="Arial"/>
              </w:rPr>
            </w:pPr>
            <w:r w:rsidRPr="005A6A01">
              <w:rPr>
                <w:rFonts w:cs="Arial"/>
              </w:rPr>
              <w:t>Assess contextual transferability and institutional conditions</w:t>
            </w:r>
          </w:p>
        </w:tc>
      </w:tr>
    </w:tbl>
    <w:p w:rsidR="00A33A25" w:rsidRPr="005A6A01" w:rsidRDefault="00A33A25" w:rsidP="00A33A25">
      <w:pPr>
        <w:pStyle w:val="Heading2"/>
        <w:rPr>
          <w:rFonts w:cs="Arial"/>
        </w:rPr>
      </w:pPr>
      <w:bookmarkStart w:id="7" w:name="_Toc238011408"/>
      <w:r w:rsidRPr="005A6A01">
        <w:rPr>
          <w:rFonts w:cs="Arial"/>
        </w:rPr>
        <w:t>2.3 Inclusion, exclusion and quality appraisal</w:t>
      </w:r>
      <w:bookmarkEnd w:id="7"/>
    </w:p>
    <w:p w:rsidR="00A33A25" w:rsidRPr="005A6A01" w:rsidRDefault="00A33A25" w:rsidP="00A33A25">
      <w:pPr>
        <w:rPr>
          <w:rFonts w:cs="Arial"/>
        </w:rPr>
      </w:pPr>
      <w:r w:rsidRPr="005A6A01">
        <w:rPr>
          <w:rFonts w:cs="Arial"/>
        </w:rPr>
        <w:t xml:space="preserve">Selection criteria kept the review focused on the </w:t>
      </w:r>
      <w:proofErr w:type="spellStart"/>
      <w:r w:rsidRPr="005A6A01">
        <w:rPr>
          <w:rFonts w:cs="Arial"/>
        </w:rPr>
        <w:t>organisational</w:t>
      </w:r>
      <w:proofErr w:type="spellEnd"/>
      <w:r w:rsidRPr="005A6A01">
        <w:rPr>
          <w:rFonts w:cs="Arial"/>
        </w:rPr>
        <w:t xml:space="preserve"> problem rather than consumer purchase intention or technology acceptance alone. Eighteen studies met the topic-specific eligibility and quality criteria and were included in the thematic synthesis. Foundational theoretical and methodological works were used where necessary to interpret the evidence and are cited in the relevant sections. Empirical evidence from Bangladesh and comparable emerging economies received greater contextual weight because institutional and infrastructure conditions affect transferability.</w:t>
      </w:r>
    </w:p>
    <w:p w:rsidR="00A33A25" w:rsidRPr="005A6A01" w:rsidRDefault="00A33A25" w:rsidP="00A33A25">
      <w:pPr>
        <w:spacing w:before="120" w:after="80"/>
        <w:jc w:val="center"/>
        <w:rPr>
          <w:rFonts w:cs="Arial"/>
        </w:rPr>
      </w:pPr>
      <w:r w:rsidRPr="005A6A01">
        <w:rPr>
          <w:rFonts w:cs="Arial"/>
        </w:rPr>
        <w:t>Table 2. Inclusion and exclusion criteria</w:t>
      </w:r>
    </w:p>
    <w:tbl>
      <w:tblPr>
        <w:tblStyle w:val="TableGrid"/>
        <w:tblW w:w="0" w:type="auto"/>
        <w:tblLayout w:type="fixed"/>
        <w:tblLook w:val="04A0" w:firstRow="1" w:lastRow="0" w:firstColumn="1" w:lastColumn="0" w:noHBand="0" w:noVBand="1"/>
      </w:tblPr>
      <w:tblGrid>
        <w:gridCol w:w="1655"/>
        <w:gridCol w:w="3888"/>
        <w:gridCol w:w="3816"/>
      </w:tblGrid>
      <w:tr w:rsidR="00A33A25" w:rsidRPr="005A6A01" w:rsidTr="001250CC">
        <w:tc>
          <w:tcPr>
            <w:tcW w:w="1655" w:type="dxa"/>
            <w:shd w:val="clear" w:color="auto" w:fill="A6A6A6" w:themeFill="background1" w:themeFillShade="A6"/>
          </w:tcPr>
          <w:p w:rsidR="00A33A25" w:rsidRPr="005A6A01" w:rsidRDefault="00A33A25" w:rsidP="001250CC">
            <w:pPr>
              <w:rPr>
                <w:rFonts w:cs="Arial"/>
              </w:rPr>
            </w:pPr>
            <w:r w:rsidRPr="005A6A01">
              <w:rPr>
                <w:rFonts w:cs="Arial"/>
              </w:rPr>
              <w:t>Criterion</w:t>
            </w:r>
          </w:p>
        </w:tc>
        <w:tc>
          <w:tcPr>
            <w:tcW w:w="3888" w:type="dxa"/>
            <w:shd w:val="clear" w:color="auto" w:fill="A6A6A6" w:themeFill="background1" w:themeFillShade="A6"/>
          </w:tcPr>
          <w:p w:rsidR="00A33A25" w:rsidRPr="005A6A01" w:rsidRDefault="00A33A25" w:rsidP="001250CC">
            <w:pPr>
              <w:rPr>
                <w:rFonts w:cs="Arial"/>
              </w:rPr>
            </w:pPr>
            <w:r w:rsidRPr="005A6A01">
              <w:rPr>
                <w:rFonts w:cs="Arial"/>
              </w:rPr>
              <w:t>Included</w:t>
            </w:r>
          </w:p>
        </w:tc>
        <w:tc>
          <w:tcPr>
            <w:tcW w:w="3816" w:type="dxa"/>
            <w:shd w:val="clear" w:color="auto" w:fill="A6A6A6" w:themeFill="background1" w:themeFillShade="A6"/>
          </w:tcPr>
          <w:p w:rsidR="00A33A25" w:rsidRPr="005A6A01" w:rsidRDefault="00A33A25" w:rsidP="001250CC">
            <w:pPr>
              <w:rPr>
                <w:rFonts w:cs="Arial"/>
              </w:rPr>
            </w:pPr>
            <w:r w:rsidRPr="005A6A01">
              <w:rPr>
                <w:rFonts w:cs="Arial"/>
              </w:rPr>
              <w:t>Excluded</w:t>
            </w:r>
          </w:p>
        </w:tc>
      </w:tr>
      <w:tr w:rsidR="00A33A25" w:rsidRPr="005A6A01" w:rsidTr="001250CC">
        <w:tc>
          <w:tcPr>
            <w:tcW w:w="1655" w:type="dxa"/>
          </w:tcPr>
          <w:p w:rsidR="00A33A25" w:rsidRPr="005A6A01" w:rsidRDefault="00A33A25" w:rsidP="001250CC">
            <w:pPr>
              <w:rPr>
                <w:rFonts w:cs="Arial"/>
              </w:rPr>
            </w:pPr>
            <w:r w:rsidRPr="005A6A01">
              <w:rPr>
                <w:rFonts w:cs="Arial"/>
              </w:rPr>
              <w:lastRenderedPageBreak/>
              <w:t>Period</w:t>
            </w:r>
          </w:p>
        </w:tc>
        <w:tc>
          <w:tcPr>
            <w:tcW w:w="3888" w:type="dxa"/>
          </w:tcPr>
          <w:p w:rsidR="00A33A25" w:rsidRPr="005A6A01" w:rsidRDefault="00A33A25" w:rsidP="001250CC">
            <w:pPr>
              <w:rPr>
                <w:rFonts w:cs="Arial"/>
              </w:rPr>
            </w:pPr>
            <w:r w:rsidRPr="005A6A01">
              <w:rPr>
                <w:rFonts w:cs="Arial"/>
              </w:rPr>
              <w:t>2021–2026 contemporary evidence; older seminal theory/method sources where necessary</w:t>
            </w:r>
          </w:p>
        </w:tc>
        <w:tc>
          <w:tcPr>
            <w:tcW w:w="3816" w:type="dxa"/>
          </w:tcPr>
          <w:p w:rsidR="00A33A25" w:rsidRPr="005A6A01" w:rsidRDefault="00A33A25" w:rsidP="001250CC">
            <w:pPr>
              <w:rPr>
                <w:rFonts w:cs="Arial"/>
              </w:rPr>
            </w:pPr>
            <w:r w:rsidRPr="005A6A01">
              <w:rPr>
                <w:rFonts w:cs="Arial"/>
              </w:rPr>
              <w:t>Older non-foundational studies with limited relevance</w:t>
            </w:r>
          </w:p>
        </w:tc>
      </w:tr>
      <w:tr w:rsidR="00A33A25" w:rsidRPr="005A6A01" w:rsidTr="001250CC">
        <w:tc>
          <w:tcPr>
            <w:tcW w:w="1655" w:type="dxa"/>
          </w:tcPr>
          <w:p w:rsidR="00A33A25" w:rsidRPr="005A6A01" w:rsidRDefault="00A33A25" w:rsidP="001250CC">
            <w:pPr>
              <w:rPr>
                <w:rFonts w:cs="Arial"/>
              </w:rPr>
            </w:pPr>
            <w:r w:rsidRPr="005A6A01">
              <w:rPr>
                <w:rFonts w:cs="Arial"/>
              </w:rPr>
              <w:t>Unit/context</w:t>
            </w:r>
          </w:p>
        </w:tc>
        <w:tc>
          <w:tcPr>
            <w:tcW w:w="3888" w:type="dxa"/>
          </w:tcPr>
          <w:p w:rsidR="00A33A25" w:rsidRPr="005A6A01" w:rsidRDefault="00A33A25" w:rsidP="001250CC">
            <w:pPr>
              <w:rPr>
                <w:rFonts w:cs="Arial"/>
              </w:rPr>
            </w:pPr>
            <w:r w:rsidRPr="005A6A01">
              <w:rPr>
                <w:rFonts w:cs="Arial"/>
              </w:rPr>
              <w:t xml:space="preserve">SMEs; </w:t>
            </w:r>
            <w:proofErr w:type="spellStart"/>
            <w:r w:rsidRPr="005A6A01">
              <w:rPr>
                <w:rFonts w:cs="Arial"/>
              </w:rPr>
              <w:t>organisational</w:t>
            </w:r>
            <w:proofErr w:type="spellEnd"/>
            <w:r w:rsidRPr="005A6A01">
              <w:rPr>
                <w:rFonts w:cs="Arial"/>
              </w:rPr>
              <w:t xml:space="preserve"> e-commerce/digital transformation; Bangladesh and comparable emerging economies</w:t>
            </w:r>
          </w:p>
        </w:tc>
        <w:tc>
          <w:tcPr>
            <w:tcW w:w="3816" w:type="dxa"/>
          </w:tcPr>
          <w:p w:rsidR="00A33A25" w:rsidRPr="005A6A01" w:rsidRDefault="00A33A25" w:rsidP="001250CC">
            <w:pPr>
              <w:rPr>
                <w:rFonts w:cs="Arial"/>
              </w:rPr>
            </w:pPr>
            <w:r w:rsidRPr="005A6A01">
              <w:rPr>
                <w:rFonts w:cs="Arial"/>
              </w:rPr>
              <w:t xml:space="preserve">Consumer-only studies without an </w:t>
            </w:r>
            <w:proofErr w:type="spellStart"/>
            <w:r w:rsidRPr="005A6A01">
              <w:rPr>
                <w:rFonts w:cs="Arial"/>
              </w:rPr>
              <w:t>organisational</w:t>
            </w:r>
            <w:proofErr w:type="spellEnd"/>
            <w:r w:rsidRPr="005A6A01">
              <w:rPr>
                <w:rFonts w:cs="Arial"/>
              </w:rPr>
              <w:t xml:space="preserve"> mechanism</w:t>
            </w:r>
          </w:p>
        </w:tc>
      </w:tr>
      <w:tr w:rsidR="00A33A25" w:rsidRPr="005A6A01" w:rsidTr="001250CC">
        <w:tc>
          <w:tcPr>
            <w:tcW w:w="1655" w:type="dxa"/>
          </w:tcPr>
          <w:p w:rsidR="00A33A25" w:rsidRPr="005A6A01" w:rsidRDefault="00A33A25" w:rsidP="001250CC">
            <w:pPr>
              <w:rPr>
                <w:rFonts w:cs="Arial"/>
              </w:rPr>
            </w:pPr>
            <w:r w:rsidRPr="005A6A01">
              <w:rPr>
                <w:rFonts w:cs="Arial"/>
              </w:rPr>
              <w:t>Phenomenon</w:t>
            </w:r>
          </w:p>
        </w:tc>
        <w:tc>
          <w:tcPr>
            <w:tcW w:w="3888" w:type="dxa"/>
          </w:tcPr>
          <w:p w:rsidR="00A33A25" w:rsidRPr="005A6A01" w:rsidRDefault="00A33A25" w:rsidP="001250CC">
            <w:pPr>
              <w:rPr>
                <w:rFonts w:cs="Arial"/>
              </w:rPr>
            </w:pPr>
            <w:r w:rsidRPr="005A6A01">
              <w:rPr>
                <w:rFonts w:cs="Arial"/>
              </w:rPr>
              <w:t xml:space="preserve">Adoption, post-adoption use, </w:t>
            </w:r>
            <w:proofErr w:type="spellStart"/>
            <w:r w:rsidRPr="005A6A01">
              <w:rPr>
                <w:rFonts w:cs="Arial"/>
              </w:rPr>
              <w:t>organisational</w:t>
            </w:r>
            <w:proofErr w:type="spellEnd"/>
            <w:r w:rsidRPr="005A6A01">
              <w:rPr>
                <w:rFonts w:cs="Arial"/>
              </w:rPr>
              <w:t xml:space="preserve"> capability, value </w:t>
            </w:r>
            <w:proofErr w:type="spellStart"/>
            <w:r w:rsidRPr="005A6A01">
              <w:rPr>
                <w:rFonts w:cs="Arial"/>
              </w:rPr>
              <w:t>realisation</w:t>
            </w:r>
            <w:proofErr w:type="spellEnd"/>
            <w:r w:rsidRPr="005A6A01">
              <w:rPr>
                <w:rFonts w:cs="Arial"/>
              </w:rPr>
              <w:t xml:space="preserve"> and business performance</w:t>
            </w:r>
          </w:p>
        </w:tc>
        <w:tc>
          <w:tcPr>
            <w:tcW w:w="3816" w:type="dxa"/>
          </w:tcPr>
          <w:p w:rsidR="00A33A25" w:rsidRPr="005A6A01" w:rsidRDefault="00A33A25" w:rsidP="001250CC">
            <w:pPr>
              <w:rPr>
                <w:rFonts w:cs="Arial"/>
              </w:rPr>
            </w:pPr>
            <w:r w:rsidRPr="005A6A01">
              <w:rPr>
                <w:rFonts w:cs="Arial"/>
              </w:rPr>
              <w:t>Purely technical system design or algorithmic studies</w:t>
            </w:r>
          </w:p>
        </w:tc>
      </w:tr>
      <w:tr w:rsidR="00A33A25" w:rsidRPr="005A6A01" w:rsidTr="001250CC">
        <w:tc>
          <w:tcPr>
            <w:tcW w:w="1655" w:type="dxa"/>
          </w:tcPr>
          <w:p w:rsidR="00A33A25" w:rsidRPr="005A6A01" w:rsidRDefault="00A33A25" w:rsidP="001250CC">
            <w:pPr>
              <w:rPr>
                <w:rFonts w:cs="Arial"/>
              </w:rPr>
            </w:pPr>
            <w:r w:rsidRPr="005A6A01">
              <w:rPr>
                <w:rFonts w:cs="Arial"/>
              </w:rPr>
              <w:t>Outcomes</w:t>
            </w:r>
          </w:p>
        </w:tc>
        <w:tc>
          <w:tcPr>
            <w:tcW w:w="3888" w:type="dxa"/>
          </w:tcPr>
          <w:p w:rsidR="00A33A25" w:rsidRPr="005A6A01" w:rsidRDefault="00A33A25" w:rsidP="001250CC">
            <w:pPr>
              <w:rPr>
                <w:rFonts w:cs="Arial"/>
              </w:rPr>
            </w:pPr>
            <w:r w:rsidRPr="005A6A01">
              <w:rPr>
                <w:rFonts w:cs="Arial"/>
              </w:rPr>
              <w:t>Financial, operational, customer or strategic value; capability mechanisms</w:t>
            </w:r>
          </w:p>
        </w:tc>
        <w:tc>
          <w:tcPr>
            <w:tcW w:w="3816" w:type="dxa"/>
          </w:tcPr>
          <w:p w:rsidR="00A33A25" w:rsidRPr="005A6A01" w:rsidRDefault="00A33A25" w:rsidP="001250CC">
            <w:pPr>
              <w:rPr>
                <w:rFonts w:cs="Arial"/>
              </w:rPr>
            </w:pPr>
            <w:r w:rsidRPr="005A6A01">
              <w:rPr>
                <w:rFonts w:cs="Arial"/>
              </w:rPr>
              <w:t xml:space="preserve">Outcomes unrelated to </w:t>
            </w:r>
            <w:proofErr w:type="spellStart"/>
            <w:r w:rsidRPr="005A6A01">
              <w:rPr>
                <w:rFonts w:cs="Arial"/>
              </w:rPr>
              <w:t>organisational</w:t>
            </w:r>
            <w:proofErr w:type="spellEnd"/>
            <w:r w:rsidRPr="005A6A01">
              <w:rPr>
                <w:rFonts w:cs="Arial"/>
              </w:rPr>
              <w:t xml:space="preserve"> value</w:t>
            </w:r>
          </w:p>
        </w:tc>
      </w:tr>
      <w:tr w:rsidR="00A33A25" w:rsidRPr="005A6A01" w:rsidTr="001250CC">
        <w:tc>
          <w:tcPr>
            <w:tcW w:w="1655" w:type="dxa"/>
          </w:tcPr>
          <w:p w:rsidR="00A33A25" w:rsidRPr="005A6A01" w:rsidRDefault="00A33A25" w:rsidP="001250CC">
            <w:pPr>
              <w:rPr>
                <w:rFonts w:cs="Arial"/>
              </w:rPr>
            </w:pPr>
            <w:r w:rsidRPr="005A6A01">
              <w:rPr>
                <w:rFonts w:cs="Arial"/>
              </w:rPr>
              <w:t>Source quality</w:t>
            </w:r>
          </w:p>
        </w:tc>
        <w:tc>
          <w:tcPr>
            <w:tcW w:w="3888" w:type="dxa"/>
          </w:tcPr>
          <w:p w:rsidR="00A33A25" w:rsidRPr="005A6A01" w:rsidRDefault="00A33A25" w:rsidP="001250CC">
            <w:pPr>
              <w:rPr>
                <w:rFonts w:cs="Arial"/>
              </w:rPr>
            </w:pPr>
            <w:r w:rsidRPr="005A6A01">
              <w:rPr>
                <w:rFonts w:cs="Arial"/>
              </w:rPr>
              <w:t>Peer-reviewed research and established scholarly theory/method texts</w:t>
            </w:r>
          </w:p>
        </w:tc>
        <w:tc>
          <w:tcPr>
            <w:tcW w:w="3816" w:type="dxa"/>
          </w:tcPr>
          <w:p w:rsidR="00A33A25" w:rsidRPr="005A6A01" w:rsidRDefault="00A33A25" w:rsidP="001250CC">
            <w:pPr>
              <w:rPr>
                <w:rFonts w:cs="Arial"/>
              </w:rPr>
            </w:pPr>
            <w:r w:rsidRPr="005A6A01">
              <w:rPr>
                <w:rFonts w:cs="Arial"/>
              </w:rPr>
              <w:t>Unclear publication status or weakly evidenced commentary</w:t>
            </w:r>
          </w:p>
        </w:tc>
      </w:tr>
      <w:tr w:rsidR="00A33A25" w:rsidRPr="005A6A01" w:rsidTr="001250CC">
        <w:tc>
          <w:tcPr>
            <w:tcW w:w="1655" w:type="dxa"/>
          </w:tcPr>
          <w:p w:rsidR="00A33A25" w:rsidRPr="005A6A01" w:rsidRDefault="00A33A25" w:rsidP="001250CC">
            <w:pPr>
              <w:rPr>
                <w:rFonts w:cs="Arial"/>
              </w:rPr>
            </w:pPr>
            <w:r w:rsidRPr="005A6A01">
              <w:rPr>
                <w:rFonts w:cs="Arial"/>
              </w:rPr>
              <w:t>Transferability</w:t>
            </w:r>
          </w:p>
        </w:tc>
        <w:tc>
          <w:tcPr>
            <w:tcW w:w="3888" w:type="dxa"/>
          </w:tcPr>
          <w:p w:rsidR="00A33A25" w:rsidRPr="005A6A01" w:rsidRDefault="00A33A25" w:rsidP="001250CC">
            <w:pPr>
              <w:rPr>
                <w:rFonts w:cs="Arial"/>
              </w:rPr>
            </w:pPr>
            <w:r w:rsidRPr="005A6A01">
              <w:rPr>
                <w:rFonts w:cs="Arial"/>
              </w:rPr>
              <w:t>Sufficient contextual information to judge applicability</w:t>
            </w:r>
          </w:p>
        </w:tc>
        <w:tc>
          <w:tcPr>
            <w:tcW w:w="3816" w:type="dxa"/>
          </w:tcPr>
          <w:p w:rsidR="00A33A25" w:rsidRPr="005A6A01" w:rsidRDefault="00A33A25" w:rsidP="001250CC">
            <w:pPr>
              <w:rPr>
                <w:rFonts w:cs="Arial"/>
              </w:rPr>
            </w:pPr>
            <w:r w:rsidRPr="005A6A01">
              <w:rPr>
                <w:rFonts w:cs="Arial"/>
              </w:rPr>
              <w:t>Context or method insufficient for the intended inference</w:t>
            </w:r>
          </w:p>
        </w:tc>
      </w:tr>
    </w:tbl>
    <w:p w:rsidR="00A33A25" w:rsidRPr="005A6A01" w:rsidRDefault="00A33A25" w:rsidP="00A33A25">
      <w:pPr>
        <w:rPr>
          <w:rFonts w:cs="Arial"/>
        </w:rPr>
      </w:pPr>
    </w:p>
    <w:p w:rsidR="00A33A25" w:rsidRPr="005A6A01" w:rsidRDefault="00A33A25" w:rsidP="00A33A25">
      <w:pPr>
        <w:rPr>
          <w:rFonts w:cs="Arial"/>
        </w:rPr>
      </w:pPr>
      <w:r w:rsidRPr="005A6A01">
        <w:rPr>
          <w:rFonts w:cs="Arial"/>
        </w:rPr>
        <w:t xml:space="preserve">Quality appraisal was qualitative rather than reduced to a single numerical score. The weighted evidence was based on theory–method alignment, construct clarity, design and inference, transparency, context and transferability, and ethical reporting. This is important because methodological strengths depend on the question: cross-sectional surveys can be used to estimate associations between firms, but case studies are better to determine processes and mechanisms; neither design by itself can determine all the dimensions of value </w:t>
      </w:r>
      <w:proofErr w:type="spellStart"/>
      <w:r w:rsidRPr="005A6A01">
        <w:rPr>
          <w:rFonts w:cs="Arial"/>
        </w:rPr>
        <w:t>realisation</w:t>
      </w:r>
      <w:proofErr w:type="spellEnd"/>
      <w:r w:rsidRPr="005A6A01">
        <w:rPr>
          <w:rFonts w:cs="Arial"/>
        </w:rPr>
        <w:t>.</w:t>
      </w:r>
    </w:p>
    <w:p w:rsidR="00A33A25" w:rsidRPr="005A6A01" w:rsidRDefault="00A33A25" w:rsidP="00A33A25">
      <w:pPr>
        <w:spacing w:before="120" w:after="80"/>
        <w:jc w:val="center"/>
        <w:rPr>
          <w:rFonts w:cs="Arial"/>
        </w:rPr>
      </w:pPr>
      <w:r w:rsidRPr="005A6A01">
        <w:rPr>
          <w:rFonts w:cs="Arial"/>
        </w:rPr>
        <w:t>Table 3. Quality appraisal framework</w:t>
      </w:r>
    </w:p>
    <w:tbl>
      <w:tblPr>
        <w:tblStyle w:val="TableGrid"/>
        <w:tblW w:w="0" w:type="auto"/>
        <w:tblLayout w:type="fixed"/>
        <w:tblLook w:val="04A0" w:firstRow="1" w:lastRow="0" w:firstColumn="1" w:lastColumn="0" w:noHBand="0" w:noVBand="1"/>
      </w:tblPr>
      <w:tblGrid>
        <w:gridCol w:w="1728"/>
        <w:gridCol w:w="3816"/>
        <w:gridCol w:w="3816"/>
      </w:tblGrid>
      <w:tr w:rsidR="00A33A25" w:rsidRPr="005A6A01" w:rsidTr="001250CC">
        <w:tc>
          <w:tcPr>
            <w:tcW w:w="1728" w:type="dxa"/>
            <w:shd w:val="clear" w:color="auto" w:fill="A6A6A6" w:themeFill="background1" w:themeFillShade="A6"/>
          </w:tcPr>
          <w:p w:rsidR="00A33A25" w:rsidRPr="005A6A01" w:rsidRDefault="00A33A25" w:rsidP="001250CC">
            <w:pPr>
              <w:rPr>
                <w:rFonts w:cs="Arial"/>
              </w:rPr>
            </w:pPr>
            <w:r w:rsidRPr="005A6A01">
              <w:rPr>
                <w:rFonts w:cs="Arial"/>
              </w:rPr>
              <w:t>Dimension</w:t>
            </w:r>
          </w:p>
        </w:tc>
        <w:tc>
          <w:tcPr>
            <w:tcW w:w="3816" w:type="dxa"/>
            <w:shd w:val="clear" w:color="auto" w:fill="A6A6A6" w:themeFill="background1" w:themeFillShade="A6"/>
          </w:tcPr>
          <w:p w:rsidR="00A33A25" w:rsidRPr="005A6A01" w:rsidRDefault="00A33A25" w:rsidP="001250CC">
            <w:pPr>
              <w:rPr>
                <w:rFonts w:cs="Arial"/>
              </w:rPr>
            </w:pPr>
            <w:r w:rsidRPr="005A6A01">
              <w:rPr>
                <w:rFonts w:cs="Arial"/>
              </w:rPr>
              <w:t>Question applied to each source</w:t>
            </w:r>
          </w:p>
        </w:tc>
        <w:tc>
          <w:tcPr>
            <w:tcW w:w="3816" w:type="dxa"/>
            <w:shd w:val="clear" w:color="auto" w:fill="A6A6A6" w:themeFill="background1" w:themeFillShade="A6"/>
          </w:tcPr>
          <w:p w:rsidR="00A33A25" w:rsidRPr="005A6A01" w:rsidRDefault="00A33A25" w:rsidP="001250CC">
            <w:pPr>
              <w:rPr>
                <w:rFonts w:cs="Arial"/>
              </w:rPr>
            </w:pPr>
            <w:r w:rsidRPr="005A6A01">
              <w:rPr>
                <w:rFonts w:cs="Arial"/>
              </w:rPr>
              <w:t>Interpretive consequence</w:t>
            </w:r>
          </w:p>
        </w:tc>
      </w:tr>
      <w:tr w:rsidR="00A33A25" w:rsidRPr="005A6A01" w:rsidTr="001250CC">
        <w:tc>
          <w:tcPr>
            <w:tcW w:w="1728" w:type="dxa"/>
          </w:tcPr>
          <w:p w:rsidR="00A33A25" w:rsidRPr="005A6A01" w:rsidRDefault="00A33A25" w:rsidP="001250CC">
            <w:pPr>
              <w:rPr>
                <w:rFonts w:cs="Arial"/>
              </w:rPr>
            </w:pPr>
            <w:r w:rsidRPr="005A6A01">
              <w:rPr>
                <w:rFonts w:cs="Arial"/>
              </w:rPr>
              <w:lastRenderedPageBreak/>
              <w:t>Theory–method fit</w:t>
            </w:r>
          </w:p>
        </w:tc>
        <w:tc>
          <w:tcPr>
            <w:tcW w:w="3816" w:type="dxa"/>
          </w:tcPr>
          <w:p w:rsidR="00A33A25" w:rsidRPr="005A6A01" w:rsidRDefault="00A33A25" w:rsidP="001250CC">
            <w:pPr>
              <w:rPr>
                <w:rFonts w:cs="Arial"/>
              </w:rPr>
            </w:pPr>
            <w:r w:rsidRPr="005A6A01">
              <w:rPr>
                <w:rFonts w:cs="Arial"/>
              </w:rPr>
              <w:t>Does the design fit the theoretical claim and research question?</w:t>
            </w:r>
          </w:p>
        </w:tc>
        <w:tc>
          <w:tcPr>
            <w:tcW w:w="3816" w:type="dxa"/>
          </w:tcPr>
          <w:p w:rsidR="00A33A25" w:rsidRPr="005A6A01" w:rsidRDefault="00A33A25" w:rsidP="001250CC">
            <w:pPr>
              <w:rPr>
                <w:rFonts w:cs="Arial"/>
              </w:rPr>
            </w:pPr>
            <w:r w:rsidRPr="005A6A01">
              <w:rPr>
                <w:rFonts w:cs="Arial"/>
              </w:rPr>
              <w:t>Greater weight where theory, measures and inference are coherent</w:t>
            </w:r>
          </w:p>
        </w:tc>
      </w:tr>
      <w:tr w:rsidR="00A33A25" w:rsidRPr="005A6A01" w:rsidTr="001250CC">
        <w:tc>
          <w:tcPr>
            <w:tcW w:w="1728" w:type="dxa"/>
          </w:tcPr>
          <w:p w:rsidR="00A33A25" w:rsidRPr="005A6A01" w:rsidRDefault="00A33A25" w:rsidP="001250CC">
            <w:pPr>
              <w:rPr>
                <w:rFonts w:cs="Arial"/>
              </w:rPr>
            </w:pPr>
            <w:r w:rsidRPr="005A6A01">
              <w:rPr>
                <w:rFonts w:cs="Arial"/>
              </w:rPr>
              <w:t>Construct clarity</w:t>
            </w:r>
          </w:p>
        </w:tc>
        <w:tc>
          <w:tcPr>
            <w:tcW w:w="3816" w:type="dxa"/>
          </w:tcPr>
          <w:p w:rsidR="00A33A25" w:rsidRPr="005A6A01" w:rsidRDefault="00A33A25" w:rsidP="001250CC">
            <w:pPr>
              <w:rPr>
                <w:rFonts w:cs="Arial"/>
              </w:rPr>
            </w:pPr>
            <w:r w:rsidRPr="005A6A01">
              <w:rPr>
                <w:rFonts w:cs="Arial"/>
              </w:rPr>
              <w:t>Are adoption, capability and value distinguished clearly?</w:t>
            </w:r>
          </w:p>
        </w:tc>
        <w:tc>
          <w:tcPr>
            <w:tcW w:w="3816" w:type="dxa"/>
          </w:tcPr>
          <w:p w:rsidR="00A33A25" w:rsidRPr="005A6A01" w:rsidRDefault="00A33A25" w:rsidP="001250CC">
            <w:pPr>
              <w:rPr>
                <w:rFonts w:cs="Arial"/>
              </w:rPr>
            </w:pPr>
            <w:r w:rsidRPr="005A6A01">
              <w:rPr>
                <w:rFonts w:cs="Arial"/>
              </w:rPr>
              <w:t>Broad or conflated constructs interpreted cautiously</w:t>
            </w:r>
          </w:p>
        </w:tc>
      </w:tr>
      <w:tr w:rsidR="00A33A25" w:rsidRPr="005A6A01" w:rsidTr="001250CC">
        <w:tc>
          <w:tcPr>
            <w:tcW w:w="1728" w:type="dxa"/>
          </w:tcPr>
          <w:p w:rsidR="00A33A25" w:rsidRPr="005A6A01" w:rsidRDefault="00A33A25" w:rsidP="001250CC">
            <w:pPr>
              <w:rPr>
                <w:rFonts w:cs="Arial"/>
              </w:rPr>
            </w:pPr>
            <w:r w:rsidRPr="005A6A01">
              <w:rPr>
                <w:rFonts w:cs="Arial"/>
              </w:rPr>
              <w:t>Design/inference</w:t>
            </w:r>
          </w:p>
        </w:tc>
        <w:tc>
          <w:tcPr>
            <w:tcW w:w="3816" w:type="dxa"/>
          </w:tcPr>
          <w:p w:rsidR="00A33A25" w:rsidRPr="005A6A01" w:rsidRDefault="00A33A25" w:rsidP="001250CC">
            <w:pPr>
              <w:rPr>
                <w:rFonts w:cs="Arial"/>
              </w:rPr>
            </w:pPr>
            <w:r w:rsidRPr="005A6A01">
              <w:rPr>
                <w:rFonts w:cs="Arial"/>
              </w:rPr>
              <w:t>Can the design support association, process explanation or causal claims?</w:t>
            </w:r>
          </w:p>
        </w:tc>
        <w:tc>
          <w:tcPr>
            <w:tcW w:w="3816" w:type="dxa"/>
          </w:tcPr>
          <w:p w:rsidR="00A33A25" w:rsidRPr="005A6A01" w:rsidRDefault="00A33A25" w:rsidP="001250CC">
            <w:pPr>
              <w:rPr>
                <w:rFonts w:cs="Arial"/>
              </w:rPr>
            </w:pPr>
            <w:r w:rsidRPr="005A6A01">
              <w:rPr>
                <w:rFonts w:cs="Arial"/>
              </w:rPr>
              <w:t>Cross-sectional causal language treated cautiously</w:t>
            </w:r>
          </w:p>
        </w:tc>
      </w:tr>
      <w:tr w:rsidR="00A33A25" w:rsidRPr="005A6A01" w:rsidTr="001250CC">
        <w:tc>
          <w:tcPr>
            <w:tcW w:w="1728" w:type="dxa"/>
          </w:tcPr>
          <w:p w:rsidR="00A33A25" w:rsidRPr="005A6A01" w:rsidRDefault="00A33A25" w:rsidP="001250CC">
            <w:pPr>
              <w:rPr>
                <w:rFonts w:cs="Arial"/>
              </w:rPr>
            </w:pPr>
            <w:r w:rsidRPr="005A6A01">
              <w:rPr>
                <w:rFonts w:cs="Arial"/>
              </w:rPr>
              <w:t>Transparency</w:t>
            </w:r>
          </w:p>
        </w:tc>
        <w:tc>
          <w:tcPr>
            <w:tcW w:w="3816" w:type="dxa"/>
          </w:tcPr>
          <w:p w:rsidR="00A33A25" w:rsidRPr="005A6A01" w:rsidRDefault="00A33A25" w:rsidP="001250CC">
            <w:pPr>
              <w:rPr>
                <w:rFonts w:cs="Arial"/>
              </w:rPr>
            </w:pPr>
            <w:r w:rsidRPr="005A6A01">
              <w:rPr>
                <w:rFonts w:cs="Arial"/>
              </w:rPr>
              <w:t>Are sampling, measures/coding and analysis described sufficiently?</w:t>
            </w:r>
          </w:p>
        </w:tc>
        <w:tc>
          <w:tcPr>
            <w:tcW w:w="3816" w:type="dxa"/>
          </w:tcPr>
          <w:p w:rsidR="00A33A25" w:rsidRPr="005A6A01" w:rsidRDefault="00A33A25" w:rsidP="001250CC">
            <w:pPr>
              <w:rPr>
                <w:rFonts w:cs="Arial"/>
              </w:rPr>
            </w:pPr>
            <w:r w:rsidRPr="005A6A01">
              <w:rPr>
                <w:rFonts w:cs="Arial"/>
              </w:rPr>
              <w:t>Limited reporting reduces confidence</w:t>
            </w:r>
          </w:p>
        </w:tc>
      </w:tr>
      <w:tr w:rsidR="00A33A25" w:rsidRPr="005A6A01" w:rsidTr="001250CC">
        <w:tc>
          <w:tcPr>
            <w:tcW w:w="1728" w:type="dxa"/>
          </w:tcPr>
          <w:p w:rsidR="00A33A25" w:rsidRPr="005A6A01" w:rsidRDefault="00A33A25" w:rsidP="001250CC">
            <w:pPr>
              <w:rPr>
                <w:rFonts w:cs="Arial"/>
              </w:rPr>
            </w:pPr>
            <w:r w:rsidRPr="005A6A01">
              <w:rPr>
                <w:rFonts w:cs="Arial"/>
              </w:rPr>
              <w:t>Context</w:t>
            </w:r>
          </w:p>
        </w:tc>
        <w:tc>
          <w:tcPr>
            <w:tcW w:w="3816" w:type="dxa"/>
          </w:tcPr>
          <w:p w:rsidR="00A33A25" w:rsidRPr="005A6A01" w:rsidRDefault="00A33A25" w:rsidP="001250CC">
            <w:pPr>
              <w:rPr>
                <w:rFonts w:cs="Arial"/>
              </w:rPr>
            </w:pPr>
            <w:r w:rsidRPr="005A6A01">
              <w:rPr>
                <w:rFonts w:cs="Arial"/>
              </w:rPr>
              <w:t>Are sector, country and institutional conditions explicit?</w:t>
            </w:r>
          </w:p>
        </w:tc>
        <w:tc>
          <w:tcPr>
            <w:tcW w:w="3816" w:type="dxa"/>
          </w:tcPr>
          <w:p w:rsidR="00A33A25" w:rsidRPr="005A6A01" w:rsidRDefault="00A33A25" w:rsidP="001250CC">
            <w:pPr>
              <w:rPr>
                <w:rFonts w:cs="Arial"/>
              </w:rPr>
            </w:pPr>
            <w:r w:rsidRPr="005A6A01">
              <w:rPr>
                <w:rFonts w:cs="Arial"/>
              </w:rPr>
              <w:t>Transference to Bangladesh at mechanism level.</w:t>
            </w:r>
          </w:p>
        </w:tc>
      </w:tr>
      <w:tr w:rsidR="00A33A25" w:rsidRPr="005A6A01" w:rsidTr="001250CC">
        <w:tc>
          <w:tcPr>
            <w:tcW w:w="1728" w:type="dxa"/>
          </w:tcPr>
          <w:p w:rsidR="00A33A25" w:rsidRPr="005A6A01" w:rsidRDefault="00A33A25" w:rsidP="001250CC">
            <w:pPr>
              <w:rPr>
                <w:rFonts w:cs="Arial"/>
              </w:rPr>
            </w:pPr>
            <w:r w:rsidRPr="005A6A01">
              <w:rPr>
                <w:rFonts w:cs="Arial"/>
              </w:rPr>
              <w:t>Ethics/bias</w:t>
            </w:r>
          </w:p>
        </w:tc>
        <w:tc>
          <w:tcPr>
            <w:tcW w:w="3816" w:type="dxa"/>
          </w:tcPr>
          <w:p w:rsidR="00A33A25" w:rsidRPr="005A6A01" w:rsidRDefault="00A33A25" w:rsidP="001250CC">
            <w:pPr>
              <w:rPr>
                <w:rFonts w:cs="Arial"/>
              </w:rPr>
            </w:pPr>
            <w:r w:rsidRPr="005A6A01">
              <w:rPr>
                <w:rFonts w:cs="Arial"/>
              </w:rPr>
              <w:t>Are consent, confidentiality, common-method or researcher effects addressed?</w:t>
            </w:r>
          </w:p>
        </w:tc>
        <w:tc>
          <w:tcPr>
            <w:tcW w:w="3816" w:type="dxa"/>
          </w:tcPr>
          <w:p w:rsidR="00A33A25" w:rsidRPr="005A6A01" w:rsidRDefault="00A33A25" w:rsidP="001250CC">
            <w:pPr>
              <w:rPr>
                <w:rFonts w:cs="Arial"/>
              </w:rPr>
            </w:pPr>
            <w:r w:rsidRPr="005A6A01">
              <w:rPr>
                <w:rFonts w:cs="Arial"/>
              </w:rPr>
              <w:t>Unaddressed bias limits evidential weight</w:t>
            </w:r>
          </w:p>
        </w:tc>
      </w:tr>
    </w:tbl>
    <w:p w:rsidR="00A33A25" w:rsidRPr="005A6A01" w:rsidRDefault="00A33A25" w:rsidP="00A33A25">
      <w:pPr>
        <w:pStyle w:val="Heading2"/>
        <w:rPr>
          <w:rFonts w:cs="Arial"/>
        </w:rPr>
      </w:pPr>
      <w:bookmarkStart w:id="8" w:name="_Toc238011409"/>
      <w:r w:rsidRPr="005A6A01">
        <w:rPr>
          <w:rFonts w:cs="Arial"/>
        </w:rPr>
        <w:t>2.4 Screening, coding and thematic synthesis</w:t>
      </w:r>
      <w:bookmarkEnd w:id="8"/>
    </w:p>
    <w:p w:rsidR="00A33A25" w:rsidRPr="005A6A01" w:rsidRDefault="00A33A25" w:rsidP="00A33A25">
      <w:pPr>
        <w:rPr>
          <w:rFonts w:cs="Arial"/>
        </w:rPr>
      </w:pPr>
      <w:r w:rsidRPr="005A6A01">
        <w:rPr>
          <w:rFonts w:cs="Arial"/>
        </w:rPr>
        <w:t xml:space="preserve">Figure 1 </w:t>
      </w:r>
      <w:proofErr w:type="spellStart"/>
      <w:r w:rsidRPr="005A6A01">
        <w:rPr>
          <w:rFonts w:cs="Arial"/>
        </w:rPr>
        <w:t>summarises</w:t>
      </w:r>
      <w:proofErr w:type="spellEnd"/>
      <w:r w:rsidRPr="005A6A01">
        <w:rPr>
          <w:rFonts w:cs="Arial"/>
        </w:rPr>
        <w:t xml:space="preserve"> the identification, screening, eligibility and inclusion stages using the PRISMA 2020 flow structure (Page et al., 2021). A total of 230 records were identified in the database search and 18 studies were found to meet the topic-specific eligibility and quality criteria of thematic synthesis.</w:t>
      </w:r>
    </w:p>
    <w:p w:rsidR="00A33A25" w:rsidRPr="005A6A01" w:rsidRDefault="00A33A25" w:rsidP="00A33A25">
      <w:pPr>
        <w:jc w:val="center"/>
        <w:rPr>
          <w:rFonts w:cs="Arial"/>
        </w:rPr>
      </w:pPr>
      <w:r w:rsidRPr="005A6A01">
        <w:rPr>
          <w:rFonts w:cs="Arial"/>
          <w:noProof/>
          <w:lang w:val="en-GB" w:eastAsia="en-GB"/>
        </w:rPr>
        <w:lastRenderedPageBreak/>
        <w:drawing>
          <wp:inline distT="0" distB="0" distL="0" distR="0" wp14:anchorId="420864BB" wp14:editId="570D357F">
            <wp:extent cx="5715000" cy="432890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1_prisma_style.png"/>
                    <pic:cNvPicPr/>
                  </pic:nvPicPr>
                  <pic:blipFill>
                    <a:blip r:embed="rId6"/>
                    <a:stretch>
                      <a:fillRect/>
                    </a:stretch>
                  </pic:blipFill>
                  <pic:spPr>
                    <a:xfrm>
                      <a:off x="0" y="0"/>
                      <a:ext cx="5715000" cy="4328909"/>
                    </a:xfrm>
                    <a:prstGeom prst="rect">
                      <a:avLst/>
                    </a:prstGeom>
                  </pic:spPr>
                </pic:pic>
              </a:graphicData>
            </a:graphic>
          </wp:inline>
        </w:drawing>
      </w:r>
    </w:p>
    <w:p w:rsidR="00A33A25" w:rsidRPr="005A6A01" w:rsidRDefault="00A33A25" w:rsidP="00A33A25">
      <w:pPr>
        <w:pStyle w:val="FigureCaption"/>
        <w:rPr>
          <w:rFonts w:cs="Arial"/>
        </w:rPr>
      </w:pPr>
      <w:r w:rsidRPr="005A6A01">
        <w:rPr>
          <w:rFonts w:cs="Arial"/>
          <w:b w:val="0"/>
        </w:rPr>
        <w:t>Figure 1. PRISMA-style flow of literature identification and selection</w:t>
      </w:r>
    </w:p>
    <w:p w:rsidR="00A33A25" w:rsidRPr="005A6A01" w:rsidRDefault="00A33A25" w:rsidP="00A33A25">
      <w:pPr>
        <w:pStyle w:val="FigureSource"/>
        <w:rPr>
          <w:rFonts w:cs="Arial"/>
          <w:color w:val="000000" w:themeColor="text1"/>
          <w:sz w:val="18"/>
        </w:rPr>
      </w:pPr>
      <w:r w:rsidRPr="005A6A01">
        <w:rPr>
          <w:rFonts w:cs="Arial"/>
          <w:color w:val="000000" w:themeColor="text1"/>
          <w:sz w:val="18"/>
        </w:rPr>
        <w:t>Source: Adapted from Page et al. (2021).</w:t>
      </w:r>
    </w:p>
    <w:p w:rsidR="00A33A25" w:rsidRPr="005A6A01" w:rsidRDefault="00A33A25" w:rsidP="00A33A25">
      <w:pPr>
        <w:rPr>
          <w:rFonts w:cs="Arial"/>
        </w:rPr>
      </w:pPr>
      <w:r w:rsidRPr="005A6A01">
        <w:rPr>
          <w:rFonts w:cs="Arial"/>
        </w:rPr>
        <w:t xml:space="preserve">After the screening, the studies included were catalogued in a coding matrix. The synthesis shifted towards initial ideas into descriptive groupings and then toward higher-order analytical themes, which is in line with thematic synthesis logic (Thomas and Harden, 2008). The initial codes included the adoption conditions, </w:t>
      </w:r>
      <w:proofErr w:type="spellStart"/>
      <w:r w:rsidRPr="005A6A01">
        <w:rPr>
          <w:rFonts w:cs="Arial"/>
        </w:rPr>
        <w:t>organisational</w:t>
      </w:r>
      <w:proofErr w:type="spellEnd"/>
      <w:r w:rsidRPr="005A6A01">
        <w:rPr>
          <w:rFonts w:cs="Arial"/>
        </w:rPr>
        <w:t xml:space="preserve"> resources and routines, technology-enabled actions, contextual influences, value outcomes, and methodological or philosophical assumptions. Codes were compared across studies and grouped when they described the same </w:t>
      </w:r>
      <w:proofErr w:type="spellStart"/>
      <w:r w:rsidRPr="005A6A01">
        <w:rPr>
          <w:rFonts w:cs="Arial"/>
        </w:rPr>
        <w:t>organisational</w:t>
      </w:r>
      <w:proofErr w:type="spellEnd"/>
      <w:r w:rsidRPr="005A6A01">
        <w:rPr>
          <w:rFonts w:cs="Arial"/>
        </w:rPr>
        <w:t xml:space="preserve"> mechanism. Higher-order themes were retained where grouped codes were conceptually distinct, supported across the evidence base and directly relevant to explaining value </w:t>
      </w:r>
      <w:proofErr w:type="spellStart"/>
      <w:r w:rsidRPr="005A6A01">
        <w:rPr>
          <w:rFonts w:cs="Arial"/>
        </w:rPr>
        <w:t>realisation</w:t>
      </w:r>
      <w:proofErr w:type="spellEnd"/>
      <w:r w:rsidRPr="005A6A01">
        <w:rPr>
          <w:rFonts w:cs="Arial"/>
        </w:rPr>
        <w:t>. Contradictory and non-significant findings were retained to clarify the boundaries of each theme. Table 4 shows the progression from source-level concepts to the six capability themes.</w:t>
      </w:r>
    </w:p>
    <w:p w:rsidR="00A33A25" w:rsidRPr="005A6A01" w:rsidRDefault="00A33A25" w:rsidP="00A33A25">
      <w:pPr>
        <w:spacing w:before="120" w:after="80"/>
        <w:jc w:val="center"/>
        <w:rPr>
          <w:rFonts w:cs="Arial"/>
        </w:rPr>
      </w:pPr>
      <w:r w:rsidRPr="005A6A01">
        <w:rPr>
          <w:rFonts w:cs="Arial"/>
        </w:rPr>
        <w:t>Table 4. Development of analytical themes during synthesis</w:t>
      </w:r>
    </w:p>
    <w:tbl>
      <w:tblPr>
        <w:tblStyle w:val="TableGrid"/>
        <w:tblW w:w="0" w:type="auto"/>
        <w:jc w:val="center"/>
        <w:tblLayout w:type="fixed"/>
        <w:tblLook w:val="04A0" w:firstRow="1" w:lastRow="0" w:firstColumn="1" w:lastColumn="0" w:noHBand="0" w:noVBand="1"/>
      </w:tblPr>
      <w:tblGrid>
        <w:gridCol w:w="3816"/>
        <w:gridCol w:w="3744"/>
        <w:gridCol w:w="3096"/>
      </w:tblGrid>
      <w:tr w:rsidR="00A33A25" w:rsidRPr="005A6A01" w:rsidTr="001250CC">
        <w:trPr>
          <w:cantSplit/>
          <w:tblHeader/>
          <w:jc w:val="center"/>
        </w:trPr>
        <w:tc>
          <w:tcPr>
            <w:tcW w:w="3816" w:type="dxa"/>
            <w:shd w:val="clear" w:color="auto" w:fill="A6A6A6" w:themeFill="background1" w:themeFillShade="A6"/>
            <w:vAlign w:val="center"/>
          </w:tcPr>
          <w:p w:rsidR="00A33A25" w:rsidRPr="005A6A01" w:rsidRDefault="00A33A25" w:rsidP="001250CC">
            <w:pPr>
              <w:rPr>
                <w:rFonts w:cs="Arial"/>
              </w:rPr>
            </w:pPr>
            <w:r w:rsidRPr="005A6A01">
              <w:rPr>
                <w:rFonts w:cs="Arial"/>
              </w:rPr>
              <w:lastRenderedPageBreak/>
              <w:t>Source-level codes</w:t>
            </w:r>
          </w:p>
        </w:tc>
        <w:tc>
          <w:tcPr>
            <w:tcW w:w="3744" w:type="dxa"/>
            <w:shd w:val="clear" w:color="auto" w:fill="A6A6A6" w:themeFill="background1" w:themeFillShade="A6"/>
            <w:vAlign w:val="center"/>
          </w:tcPr>
          <w:p w:rsidR="00A33A25" w:rsidRPr="005A6A01" w:rsidRDefault="00A33A25" w:rsidP="001250CC">
            <w:pPr>
              <w:rPr>
                <w:rFonts w:cs="Arial"/>
              </w:rPr>
            </w:pPr>
            <w:r w:rsidRPr="005A6A01">
              <w:rPr>
                <w:rFonts w:cs="Arial"/>
              </w:rPr>
              <w:t>Cross-study consolidation</w:t>
            </w:r>
          </w:p>
        </w:tc>
        <w:tc>
          <w:tcPr>
            <w:tcW w:w="3096" w:type="dxa"/>
            <w:shd w:val="clear" w:color="auto" w:fill="A6A6A6" w:themeFill="background1" w:themeFillShade="A6"/>
            <w:vAlign w:val="center"/>
          </w:tcPr>
          <w:p w:rsidR="00A33A25" w:rsidRPr="005A6A01" w:rsidRDefault="00A33A25" w:rsidP="001250CC">
            <w:pPr>
              <w:rPr>
                <w:rFonts w:cs="Arial"/>
              </w:rPr>
            </w:pPr>
            <w:r w:rsidRPr="005A6A01">
              <w:rPr>
                <w:rFonts w:cs="Arial"/>
              </w:rPr>
              <w:t>Analytical theme</w:t>
            </w:r>
          </w:p>
        </w:tc>
      </w:tr>
      <w:tr w:rsidR="00A33A25" w:rsidRPr="005A6A01" w:rsidTr="001250CC">
        <w:trPr>
          <w:cantSplit/>
          <w:jc w:val="center"/>
        </w:trPr>
        <w:tc>
          <w:tcPr>
            <w:tcW w:w="3816" w:type="dxa"/>
            <w:vAlign w:val="center"/>
          </w:tcPr>
          <w:p w:rsidR="00A33A25" w:rsidRPr="005A6A01" w:rsidRDefault="00A33A25" w:rsidP="001250CC">
            <w:pPr>
              <w:rPr>
                <w:rFonts w:cs="Arial"/>
              </w:rPr>
            </w:pPr>
            <w:r w:rsidRPr="005A6A01">
              <w:rPr>
                <w:rFonts w:cs="Arial"/>
              </w:rPr>
              <w:t>Management commitment; digital knowledge; strategic orientation; resource allocation</w:t>
            </w:r>
          </w:p>
        </w:tc>
        <w:tc>
          <w:tcPr>
            <w:tcW w:w="3744" w:type="dxa"/>
            <w:vAlign w:val="center"/>
          </w:tcPr>
          <w:p w:rsidR="00A33A25" w:rsidRPr="005A6A01" w:rsidRDefault="00A33A25" w:rsidP="001250CC">
            <w:pPr>
              <w:rPr>
                <w:rFonts w:cs="Arial"/>
              </w:rPr>
            </w:pPr>
            <w:r w:rsidRPr="005A6A01">
              <w:rPr>
                <w:rFonts w:cs="Arial"/>
              </w:rPr>
              <w:t xml:space="preserve">Direction, governance and </w:t>
            </w:r>
            <w:proofErr w:type="spellStart"/>
            <w:r w:rsidRPr="005A6A01">
              <w:rPr>
                <w:rFonts w:cs="Arial"/>
              </w:rPr>
              <w:t>prioritisation</w:t>
            </w:r>
            <w:proofErr w:type="spellEnd"/>
            <w:r w:rsidRPr="005A6A01">
              <w:rPr>
                <w:rFonts w:cs="Arial"/>
              </w:rPr>
              <w:t xml:space="preserve"> of e-commerce activity</w:t>
            </w:r>
          </w:p>
        </w:tc>
        <w:tc>
          <w:tcPr>
            <w:tcW w:w="3096" w:type="dxa"/>
            <w:vAlign w:val="center"/>
          </w:tcPr>
          <w:p w:rsidR="00A33A25" w:rsidRPr="005A6A01" w:rsidRDefault="00A33A25" w:rsidP="001250CC">
            <w:pPr>
              <w:rPr>
                <w:rFonts w:cs="Arial"/>
              </w:rPr>
            </w:pPr>
            <w:r w:rsidRPr="005A6A01">
              <w:rPr>
                <w:rFonts w:cs="Arial"/>
              </w:rPr>
              <w:t>Strategic digital leadership</w:t>
            </w:r>
          </w:p>
        </w:tc>
      </w:tr>
      <w:tr w:rsidR="00A33A25" w:rsidRPr="005A6A01" w:rsidTr="001250CC">
        <w:trPr>
          <w:cantSplit/>
          <w:jc w:val="center"/>
        </w:trPr>
        <w:tc>
          <w:tcPr>
            <w:tcW w:w="3816" w:type="dxa"/>
            <w:vAlign w:val="center"/>
          </w:tcPr>
          <w:p w:rsidR="00A33A25" w:rsidRPr="005A6A01" w:rsidRDefault="00A33A25" w:rsidP="001250CC">
            <w:pPr>
              <w:rPr>
                <w:rFonts w:cs="Arial"/>
              </w:rPr>
            </w:pPr>
            <w:r w:rsidRPr="005A6A01">
              <w:rPr>
                <w:rFonts w:cs="Arial"/>
              </w:rPr>
              <w:t>Connectivity; systems integration; business-data management; security</w:t>
            </w:r>
          </w:p>
        </w:tc>
        <w:tc>
          <w:tcPr>
            <w:tcW w:w="3744" w:type="dxa"/>
            <w:vAlign w:val="center"/>
          </w:tcPr>
          <w:p w:rsidR="00A33A25" w:rsidRPr="005A6A01" w:rsidRDefault="00A33A25" w:rsidP="001250CC">
            <w:pPr>
              <w:rPr>
                <w:rFonts w:cs="Arial"/>
              </w:rPr>
            </w:pPr>
            <w:r w:rsidRPr="005A6A01">
              <w:rPr>
                <w:rFonts w:cs="Arial"/>
              </w:rPr>
              <w:t xml:space="preserve">Reliable control of digital transactions and </w:t>
            </w:r>
            <w:proofErr w:type="spellStart"/>
            <w:r w:rsidRPr="005A6A01">
              <w:rPr>
                <w:rFonts w:cs="Arial"/>
              </w:rPr>
              <w:t>organisational</w:t>
            </w:r>
            <w:proofErr w:type="spellEnd"/>
            <w:r w:rsidRPr="005A6A01">
              <w:rPr>
                <w:rFonts w:cs="Arial"/>
              </w:rPr>
              <w:t xml:space="preserve"> information</w:t>
            </w:r>
          </w:p>
        </w:tc>
        <w:tc>
          <w:tcPr>
            <w:tcW w:w="3096" w:type="dxa"/>
            <w:vAlign w:val="center"/>
          </w:tcPr>
          <w:p w:rsidR="00A33A25" w:rsidRPr="005A6A01" w:rsidRDefault="00A33A25" w:rsidP="001250CC">
            <w:pPr>
              <w:rPr>
                <w:rFonts w:cs="Arial"/>
              </w:rPr>
            </w:pPr>
            <w:r w:rsidRPr="005A6A01">
              <w:rPr>
                <w:rFonts w:cs="Arial"/>
              </w:rPr>
              <w:t>Systems-integration capability</w:t>
            </w:r>
          </w:p>
        </w:tc>
      </w:tr>
      <w:tr w:rsidR="00A33A25" w:rsidRPr="005A6A01" w:rsidTr="001250CC">
        <w:trPr>
          <w:cantSplit/>
          <w:jc w:val="center"/>
        </w:trPr>
        <w:tc>
          <w:tcPr>
            <w:tcW w:w="3816" w:type="dxa"/>
            <w:vAlign w:val="center"/>
          </w:tcPr>
          <w:p w:rsidR="00A33A25" w:rsidRPr="005A6A01" w:rsidRDefault="00A33A25" w:rsidP="001250CC">
            <w:pPr>
              <w:rPr>
                <w:rFonts w:cs="Arial"/>
              </w:rPr>
            </w:pPr>
            <w:r w:rsidRPr="005A6A01">
              <w:rPr>
                <w:rFonts w:cs="Arial"/>
              </w:rPr>
              <w:t>Customer knowledge; market signals; analytics; responsiveness</w:t>
            </w:r>
          </w:p>
        </w:tc>
        <w:tc>
          <w:tcPr>
            <w:tcW w:w="3744" w:type="dxa"/>
            <w:vAlign w:val="center"/>
          </w:tcPr>
          <w:p w:rsidR="00A33A25" w:rsidRPr="005A6A01" w:rsidRDefault="00A33A25" w:rsidP="001250CC">
            <w:pPr>
              <w:rPr>
                <w:rFonts w:cs="Arial"/>
              </w:rPr>
            </w:pPr>
            <w:r w:rsidRPr="005A6A01">
              <w:rPr>
                <w:rFonts w:cs="Arial"/>
              </w:rPr>
              <w:t>Conversion of digital interaction into market and service decisions</w:t>
            </w:r>
          </w:p>
        </w:tc>
        <w:tc>
          <w:tcPr>
            <w:tcW w:w="3096" w:type="dxa"/>
            <w:vAlign w:val="center"/>
          </w:tcPr>
          <w:p w:rsidR="00A33A25" w:rsidRPr="005A6A01" w:rsidRDefault="00A33A25" w:rsidP="001250CC">
            <w:pPr>
              <w:rPr>
                <w:rFonts w:cs="Arial"/>
              </w:rPr>
            </w:pPr>
            <w:r w:rsidRPr="005A6A01">
              <w:rPr>
                <w:rFonts w:cs="Arial"/>
              </w:rPr>
              <w:t>Market-sensing, customer-engagement and analytics capability</w:t>
            </w:r>
          </w:p>
        </w:tc>
      </w:tr>
      <w:tr w:rsidR="00A33A25" w:rsidRPr="005A6A01" w:rsidTr="001250CC">
        <w:trPr>
          <w:cantSplit/>
          <w:jc w:val="center"/>
        </w:trPr>
        <w:tc>
          <w:tcPr>
            <w:tcW w:w="3816" w:type="dxa"/>
            <w:vAlign w:val="center"/>
          </w:tcPr>
          <w:p w:rsidR="00A33A25" w:rsidRPr="005A6A01" w:rsidRDefault="00A33A25" w:rsidP="001250CC">
            <w:pPr>
              <w:rPr>
                <w:rFonts w:cs="Arial"/>
              </w:rPr>
            </w:pPr>
            <w:r w:rsidRPr="005A6A01">
              <w:rPr>
                <w:rFonts w:cs="Arial"/>
              </w:rPr>
              <w:t>Inventory control; order processing; delivery; returns; reconciliation</w:t>
            </w:r>
          </w:p>
        </w:tc>
        <w:tc>
          <w:tcPr>
            <w:tcW w:w="3744" w:type="dxa"/>
            <w:vAlign w:val="center"/>
          </w:tcPr>
          <w:p w:rsidR="00A33A25" w:rsidRPr="005A6A01" w:rsidRDefault="00A33A25" w:rsidP="001250CC">
            <w:pPr>
              <w:rPr>
                <w:rFonts w:cs="Arial"/>
              </w:rPr>
            </w:pPr>
            <w:r w:rsidRPr="005A6A01">
              <w:rPr>
                <w:rFonts w:cs="Arial"/>
              </w:rPr>
              <w:t>Coordination of routines required to fulfil the online promise</w:t>
            </w:r>
          </w:p>
        </w:tc>
        <w:tc>
          <w:tcPr>
            <w:tcW w:w="3096" w:type="dxa"/>
            <w:vAlign w:val="center"/>
          </w:tcPr>
          <w:p w:rsidR="00A33A25" w:rsidRPr="005A6A01" w:rsidRDefault="00A33A25" w:rsidP="001250CC">
            <w:pPr>
              <w:rPr>
                <w:rFonts w:cs="Arial"/>
              </w:rPr>
            </w:pPr>
            <w:r w:rsidRPr="005A6A01">
              <w:rPr>
                <w:rFonts w:cs="Arial"/>
              </w:rPr>
              <w:t>Process-orchestration and fulfilment capability</w:t>
            </w:r>
          </w:p>
        </w:tc>
      </w:tr>
      <w:tr w:rsidR="00A33A25" w:rsidRPr="005A6A01" w:rsidTr="001250CC">
        <w:trPr>
          <w:cantSplit/>
          <w:jc w:val="center"/>
        </w:trPr>
        <w:tc>
          <w:tcPr>
            <w:tcW w:w="3816" w:type="dxa"/>
            <w:vAlign w:val="center"/>
          </w:tcPr>
          <w:p w:rsidR="00A33A25" w:rsidRPr="005A6A01" w:rsidRDefault="00A33A25" w:rsidP="001250CC">
            <w:pPr>
              <w:rPr>
                <w:rFonts w:cs="Arial"/>
              </w:rPr>
            </w:pPr>
            <w:r w:rsidRPr="005A6A01">
              <w:rPr>
                <w:rFonts w:cs="Arial"/>
              </w:rPr>
              <w:t>Learning; experimentation; knowledge sharing; business-model change</w:t>
            </w:r>
          </w:p>
        </w:tc>
        <w:tc>
          <w:tcPr>
            <w:tcW w:w="3744" w:type="dxa"/>
            <w:vAlign w:val="center"/>
          </w:tcPr>
          <w:p w:rsidR="00A33A25" w:rsidRPr="005A6A01" w:rsidRDefault="00A33A25" w:rsidP="001250CC">
            <w:pPr>
              <w:rPr>
                <w:rFonts w:cs="Arial"/>
              </w:rPr>
            </w:pPr>
            <w:r w:rsidRPr="005A6A01">
              <w:rPr>
                <w:rFonts w:cs="Arial"/>
              </w:rPr>
              <w:t>Evaluation and reconfiguration of routines and resources</w:t>
            </w:r>
          </w:p>
        </w:tc>
        <w:tc>
          <w:tcPr>
            <w:tcW w:w="3096" w:type="dxa"/>
            <w:vAlign w:val="center"/>
          </w:tcPr>
          <w:p w:rsidR="00A33A25" w:rsidRPr="005A6A01" w:rsidRDefault="00A33A25" w:rsidP="001250CC">
            <w:pPr>
              <w:rPr>
                <w:rFonts w:cs="Arial"/>
              </w:rPr>
            </w:pPr>
            <w:r w:rsidRPr="005A6A01">
              <w:rPr>
                <w:rFonts w:cs="Arial"/>
              </w:rPr>
              <w:t>Learning and reconfiguration capability</w:t>
            </w:r>
          </w:p>
        </w:tc>
      </w:tr>
      <w:tr w:rsidR="00A33A25" w:rsidRPr="005A6A01" w:rsidTr="001250CC">
        <w:trPr>
          <w:cantSplit/>
          <w:jc w:val="center"/>
        </w:trPr>
        <w:tc>
          <w:tcPr>
            <w:tcW w:w="3816" w:type="dxa"/>
            <w:vAlign w:val="center"/>
          </w:tcPr>
          <w:p w:rsidR="00A33A25" w:rsidRPr="005A6A01" w:rsidRDefault="00A33A25" w:rsidP="001250CC">
            <w:pPr>
              <w:rPr>
                <w:rFonts w:cs="Arial"/>
              </w:rPr>
            </w:pPr>
            <w:r w:rsidRPr="005A6A01">
              <w:rPr>
                <w:rFonts w:cs="Arial"/>
              </w:rPr>
              <w:t>Platforms; logistics; payment providers; regulation; external support</w:t>
            </w:r>
          </w:p>
        </w:tc>
        <w:tc>
          <w:tcPr>
            <w:tcW w:w="3744" w:type="dxa"/>
            <w:vAlign w:val="center"/>
          </w:tcPr>
          <w:p w:rsidR="00A33A25" w:rsidRPr="005A6A01" w:rsidRDefault="00A33A25" w:rsidP="001250CC">
            <w:pPr>
              <w:rPr>
                <w:rFonts w:cs="Arial"/>
              </w:rPr>
            </w:pPr>
            <w:r w:rsidRPr="005A6A01">
              <w:rPr>
                <w:rFonts w:cs="Arial"/>
              </w:rPr>
              <w:t>Management of external dependence and institutional conditions</w:t>
            </w:r>
          </w:p>
        </w:tc>
        <w:tc>
          <w:tcPr>
            <w:tcW w:w="3096" w:type="dxa"/>
            <w:vAlign w:val="center"/>
          </w:tcPr>
          <w:p w:rsidR="00A33A25" w:rsidRPr="005A6A01" w:rsidRDefault="00A33A25" w:rsidP="001250CC">
            <w:pPr>
              <w:rPr>
                <w:rFonts w:cs="Arial"/>
              </w:rPr>
            </w:pPr>
            <w:r w:rsidRPr="005A6A01">
              <w:rPr>
                <w:rFonts w:cs="Arial"/>
              </w:rPr>
              <w:t>Ecosystem and institutional-navigation capability</w:t>
            </w:r>
          </w:p>
        </w:tc>
      </w:tr>
    </w:tbl>
    <w:p w:rsidR="00A33A25" w:rsidRPr="005A6A01" w:rsidRDefault="00A33A25" w:rsidP="00A33A25">
      <w:pPr>
        <w:spacing w:before="120"/>
        <w:rPr>
          <w:rFonts w:cs="Arial"/>
        </w:rPr>
      </w:pPr>
      <w:r w:rsidRPr="005A6A01">
        <w:rPr>
          <w:rFonts w:cs="Arial"/>
        </w:rPr>
        <w:t xml:space="preserve">Outcome codes were consolidated separately into financial, operational, customer and strategic value. The capability themes were then interpreted through TOE, RBV, dynamic capabilities and affordance theory: TOE located contextual conditions; RBV clarified resource complementarity; dynamic capabilities explained renewal; and affordance theory connected technology-enabled possibilities with </w:t>
      </w:r>
      <w:proofErr w:type="spellStart"/>
      <w:r w:rsidRPr="005A6A01">
        <w:rPr>
          <w:rFonts w:cs="Arial"/>
        </w:rPr>
        <w:t>organisational</w:t>
      </w:r>
      <w:proofErr w:type="spellEnd"/>
      <w:r w:rsidRPr="005A6A01">
        <w:rPr>
          <w:rFonts w:cs="Arial"/>
        </w:rPr>
        <w:t xml:space="preserve"> action. Heterogeneous SME definitions, cross-sectional self-report designs, pandemic-period effects and limited Bangladesh-specific retail evidence were carried forward as boundaries on inference.</w:t>
      </w:r>
    </w:p>
    <w:p w:rsidR="00A33A25" w:rsidRPr="005A6A01" w:rsidRDefault="00A33A25" w:rsidP="00A33A25">
      <w:pPr>
        <w:pStyle w:val="Heading1"/>
        <w:rPr>
          <w:rFonts w:cs="Arial"/>
        </w:rPr>
      </w:pPr>
      <w:bookmarkStart w:id="9" w:name="_Toc238011410"/>
      <w:r w:rsidRPr="005A6A01">
        <w:rPr>
          <w:rFonts w:cs="Arial"/>
        </w:rPr>
        <w:lastRenderedPageBreak/>
        <w:t>3. Critical Literature Review</w:t>
      </w:r>
      <w:bookmarkEnd w:id="9"/>
    </w:p>
    <w:p w:rsidR="00A33A25" w:rsidRPr="005A6A01" w:rsidRDefault="00A33A25" w:rsidP="00A33A25">
      <w:pPr>
        <w:pStyle w:val="Heading2"/>
        <w:rPr>
          <w:rFonts w:cs="Arial"/>
        </w:rPr>
      </w:pPr>
      <w:bookmarkStart w:id="10" w:name="_Toc238011411"/>
      <w:r w:rsidRPr="005A6A01">
        <w:rPr>
          <w:rFonts w:cs="Arial"/>
        </w:rPr>
        <w:t xml:space="preserve">3.1 E-commerce adoption versus value </w:t>
      </w:r>
      <w:proofErr w:type="spellStart"/>
      <w:r w:rsidRPr="005A6A01">
        <w:rPr>
          <w:rFonts w:cs="Arial"/>
        </w:rPr>
        <w:t>realisation</w:t>
      </w:r>
      <w:bookmarkEnd w:id="10"/>
      <w:proofErr w:type="spellEnd"/>
    </w:p>
    <w:p w:rsidR="00A33A25" w:rsidRPr="005A6A01" w:rsidRDefault="00A33A25" w:rsidP="00A33A25">
      <w:pPr>
        <w:rPr>
          <w:rFonts w:cs="Arial"/>
        </w:rPr>
      </w:pPr>
      <w:r w:rsidRPr="005A6A01">
        <w:rPr>
          <w:rFonts w:cs="Arial"/>
        </w:rPr>
        <w:t xml:space="preserve">Adoption has dominated SME e-commerce research because it is more readily </w:t>
      </w:r>
      <w:proofErr w:type="spellStart"/>
      <w:r w:rsidRPr="005A6A01">
        <w:rPr>
          <w:rFonts w:cs="Arial"/>
        </w:rPr>
        <w:t>operationalised</w:t>
      </w:r>
      <w:proofErr w:type="spellEnd"/>
      <w:r w:rsidRPr="005A6A01">
        <w:rPr>
          <w:rFonts w:cs="Arial"/>
        </w:rPr>
        <w:t xml:space="preserve"> and measured. TOE-based studies show the value of this approach: Nguyen et al. (2022) identify technological, </w:t>
      </w:r>
      <w:proofErr w:type="spellStart"/>
      <w:r w:rsidRPr="005A6A01">
        <w:rPr>
          <w:rFonts w:cs="Arial"/>
        </w:rPr>
        <w:t>organisational</w:t>
      </w:r>
      <w:proofErr w:type="spellEnd"/>
      <w:r w:rsidRPr="005A6A01">
        <w:rPr>
          <w:rFonts w:cs="Arial"/>
        </w:rPr>
        <w:t xml:space="preserve"> and environmental influences on online-retailing </w:t>
      </w:r>
      <w:proofErr w:type="spellStart"/>
      <w:r w:rsidRPr="005A6A01">
        <w:rPr>
          <w:rFonts w:cs="Arial"/>
        </w:rPr>
        <w:t>utilisation</w:t>
      </w:r>
      <w:proofErr w:type="spellEnd"/>
      <w:r w:rsidRPr="005A6A01">
        <w:rPr>
          <w:rFonts w:cs="Arial"/>
        </w:rPr>
        <w:t xml:space="preserve">, while </w:t>
      </w:r>
      <w:proofErr w:type="spellStart"/>
      <w:r w:rsidRPr="005A6A01">
        <w:rPr>
          <w:rFonts w:cs="Arial"/>
        </w:rPr>
        <w:t>Bening</w:t>
      </w:r>
      <w:proofErr w:type="spellEnd"/>
      <w:r w:rsidRPr="005A6A01">
        <w:rPr>
          <w:rFonts w:cs="Arial"/>
        </w:rPr>
        <w:t xml:space="preserve"> et al. (2023) and </w:t>
      </w:r>
      <w:proofErr w:type="spellStart"/>
      <w:r w:rsidRPr="005A6A01">
        <w:rPr>
          <w:rFonts w:cs="Arial"/>
        </w:rPr>
        <w:t>Indiani</w:t>
      </w:r>
      <w:proofErr w:type="spellEnd"/>
      <w:r w:rsidRPr="005A6A01">
        <w:rPr>
          <w:rFonts w:cs="Arial"/>
        </w:rPr>
        <w:t xml:space="preserve"> et al. (2025) </w:t>
      </w:r>
      <w:proofErr w:type="spellStart"/>
      <w:r w:rsidRPr="005A6A01">
        <w:rPr>
          <w:rFonts w:cs="Arial"/>
        </w:rPr>
        <w:t>emphasise</w:t>
      </w:r>
      <w:proofErr w:type="spellEnd"/>
      <w:r w:rsidRPr="005A6A01">
        <w:rPr>
          <w:rFonts w:cs="Arial"/>
        </w:rPr>
        <w:t xml:space="preserve"> </w:t>
      </w:r>
      <w:proofErr w:type="spellStart"/>
      <w:r w:rsidRPr="005A6A01">
        <w:rPr>
          <w:rFonts w:cs="Arial"/>
        </w:rPr>
        <w:t>organisational</w:t>
      </w:r>
      <w:proofErr w:type="spellEnd"/>
      <w:r w:rsidRPr="005A6A01">
        <w:rPr>
          <w:rFonts w:cs="Arial"/>
        </w:rPr>
        <w:t xml:space="preserve"> readiness, decision-maker characteristics and facilitating conditions. This post-positivist variance logic is well suited to explaining entry into digital commerce because adoption can be represented as a measurable state. Its weakness is ontological compression: treating adoption as a stable variable can obscure the routines through which technology becomes embedded and creates value.</w:t>
      </w:r>
    </w:p>
    <w:p w:rsidR="00A33A25" w:rsidRPr="005A6A01" w:rsidRDefault="00A33A25" w:rsidP="00A33A25">
      <w:pPr>
        <w:rPr>
          <w:rFonts w:cs="Arial"/>
        </w:rPr>
      </w:pPr>
      <w:r w:rsidRPr="005A6A01">
        <w:rPr>
          <w:rFonts w:cs="Arial"/>
        </w:rPr>
        <w:t xml:space="preserve">Post-adoption value requires a process explanation. Zhu and Kraemer (2005) show that e-business usage and value vary after adoption. More recently, </w:t>
      </w:r>
      <w:proofErr w:type="spellStart"/>
      <w:r w:rsidRPr="005A6A01">
        <w:rPr>
          <w:rFonts w:cs="Arial"/>
        </w:rPr>
        <w:t>Merín-Rodrigáñez</w:t>
      </w:r>
      <w:proofErr w:type="spellEnd"/>
      <w:r w:rsidRPr="005A6A01">
        <w:rPr>
          <w:rFonts w:cs="Arial"/>
        </w:rPr>
        <w:t xml:space="preserve"> et al. (2024) identify business-model innovation as a partial mechanism, while </w:t>
      </w:r>
      <w:proofErr w:type="spellStart"/>
      <w:r w:rsidRPr="005A6A01">
        <w:rPr>
          <w:rFonts w:cs="Arial"/>
        </w:rPr>
        <w:t>Ballerini</w:t>
      </w:r>
      <w:proofErr w:type="spellEnd"/>
      <w:r w:rsidRPr="005A6A01">
        <w:rPr>
          <w:rFonts w:cs="Arial"/>
        </w:rPr>
        <w:t xml:space="preserve"> et al. (2023) show that platform access matters only when firms </w:t>
      </w:r>
      <w:proofErr w:type="spellStart"/>
      <w:r w:rsidRPr="005A6A01">
        <w:rPr>
          <w:rFonts w:cs="Arial"/>
        </w:rPr>
        <w:t>actualise</w:t>
      </w:r>
      <w:proofErr w:type="spellEnd"/>
      <w:r w:rsidRPr="005A6A01">
        <w:rPr>
          <w:rFonts w:cs="Arial"/>
        </w:rPr>
        <w:t xml:space="preserve"> relevant affordances. The epistemic requirement therefore changes because association alone is insufficient unless research can also explain how routines and capabilities convert technological possibilities into outcomes.</w:t>
      </w:r>
    </w:p>
    <w:p w:rsidR="00A33A25" w:rsidRPr="005A6A01" w:rsidRDefault="00A33A25" w:rsidP="00A33A25">
      <w:pPr>
        <w:rPr>
          <w:rFonts w:cs="Arial"/>
        </w:rPr>
      </w:pPr>
      <w:r w:rsidRPr="005A6A01">
        <w:rPr>
          <w:rFonts w:cs="Arial"/>
        </w:rPr>
        <w:t xml:space="preserve">The distinction also exposes a causal problem. Cross-sectional correlations are unable to prove whether </w:t>
      </w:r>
      <w:proofErr w:type="spellStart"/>
      <w:r w:rsidRPr="005A6A01">
        <w:rPr>
          <w:rFonts w:cs="Arial"/>
        </w:rPr>
        <w:t>digitalisation</w:t>
      </w:r>
      <w:proofErr w:type="spellEnd"/>
      <w:r w:rsidRPr="005A6A01">
        <w:rPr>
          <w:rFonts w:cs="Arial"/>
        </w:rPr>
        <w:t xml:space="preserve"> enhanced performance or even whether more competent firms were in a better place to adopt. Self-reports by managers also have the risk of common-method variance where the digital maturity and performance are reported by the same respondent (</w:t>
      </w:r>
      <w:proofErr w:type="spellStart"/>
      <w:r w:rsidRPr="005A6A01">
        <w:rPr>
          <w:rFonts w:cs="Arial"/>
        </w:rPr>
        <w:t>Podsakoff</w:t>
      </w:r>
      <w:proofErr w:type="spellEnd"/>
      <w:r w:rsidRPr="005A6A01">
        <w:rPr>
          <w:rFonts w:cs="Arial"/>
        </w:rPr>
        <w:t xml:space="preserve"> et al., 2003). Sales can also be boosted by short term demand shocks or platform incentive, which do not establish long-lasting routines. The value-</w:t>
      </w:r>
      <w:proofErr w:type="spellStart"/>
      <w:r w:rsidRPr="005A6A01">
        <w:rPr>
          <w:rFonts w:cs="Arial"/>
        </w:rPr>
        <w:t>realisation</w:t>
      </w:r>
      <w:proofErr w:type="spellEnd"/>
      <w:r w:rsidRPr="005A6A01">
        <w:rPr>
          <w:rFonts w:cs="Arial"/>
        </w:rPr>
        <w:t xml:space="preserve"> research thus needs evidence of mechanisms, sequencing and persistence.</w:t>
      </w:r>
    </w:p>
    <w:p w:rsidR="00A33A25" w:rsidRPr="005A6A01" w:rsidRDefault="00A33A25" w:rsidP="00A33A25">
      <w:pPr>
        <w:rPr>
          <w:rFonts w:cs="Arial"/>
        </w:rPr>
      </w:pPr>
      <w:r w:rsidRPr="005A6A01">
        <w:rPr>
          <w:rFonts w:cs="Arial"/>
        </w:rPr>
        <w:t>Dynamic capabilities provide a better explanation of post-adoption change compared to TOE alone due to their sensing, seizing and transforming focus (</w:t>
      </w:r>
      <w:proofErr w:type="spellStart"/>
      <w:r w:rsidRPr="005A6A01">
        <w:rPr>
          <w:rFonts w:cs="Arial"/>
        </w:rPr>
        <w:t>Teece</w:t>
      </w:r>
      <w:proofErr w:type="spellEnd"/>
      <w:r w:rsidRPr="005A6A01">
        <w:rPr>
          <w:rFonts w:cs="Arial"/>
        </w:rPr>
        <w:t xml:space="preserve">, 2007). They cannot substitute TOE, which is still useful in specifying contextual constraints and enablers. The more plausible explanation lies in the layer: context informs possibilities, operational and dynamic capabilities define how they are exploited, and value is </w:t>
      </w:r>
      <w:proofErr w:type="spellStart"/>
      <w:r w:rsidRPr="005A6A01">
        <w:rPr>
          <w:rFonts w:cs="Arial"/>
        </w:rPr>
        <w:lastRenderedPageBreak/>
        <w:t>realised</w:t>
      </w:r>
      <w:proofErr w:type="spellEnd"/>
      <w:r w:rsidRPr="005A6A01">
        <w:rPr>
          <w:rFonts w:cs="Arial"/>
        </w:rPr>
        <w:t xml:space="preserve"> when the results of digital activity warrant the outlays and risks of digital activity.</w:t>
      </w:r>
    </w:p>
    <w:p w:rsidR="00A33A25" w:rsidRPr="005A6A01" w:rsidRDefault="00A33A25" w:rsidP="00A33A25">
      <w:pPr>
        <w:pStyle w:val="Heading2"/>
        <w:rPr>
          <w:rFonts w:cs="Arial"/>
        </w:rPr>
      </w:pPr>
      <w:bookmarkStart w:id="11" w:name="_Toc238011412"/>
      <w:r w:rsidRPr="005A6A01">
        <w:rPr>
          <w:rFonts w:cs="Arial"/>
        </w:rPr>
        <w:t>3.2 Meaning and dimensions of e-commerce value</w:t>
      </w:r>
      <w:bookmarkEnd w:id="11"/>
    </w:p>
    <w:p w:rsidR="00A33A25" w:rsidRPr="005A6A01" w:rsidRDefault="00A33A25" w:rsidP="00A33A25">
      <w:pPr>
        <w:rPr>
          <w:rFonts w:cs="Arial"/>
        </w:rPr>
      </w:pPr>
      <w:r w:rsidRPr="005A6A01">
        <w:rPr>
          <w:rFonts w:cs="Arial"/>
        </w:rPr>
        <w:t xml:space="preserve">The value of e-commerce is multidimensional and cannot be decreased to revenues growth. Financial value encompasses contribution margin, cash-flow impacts, acquisition costs, transaction costs together with return on digital investment. Gross online sales can increase and the net value decrease when commissions, advertising, returns or failed deliveries rise at a higher rate. Technology is thus a component of a broader </w:t>
      </w:r>
      <w:proofErr w:type="spellStart"/>
      <w:r w:rsidRPr="005A6A01">
        <w:rPr>
          <w:rFonts w:cs="Arial"/>
        </w:rPr>
        <w:t>organisational</w:t>
      </w:r>
      <w:proofErr w:type="spellEnd"/>
      <w:r w:rsidRPr="005A6A01">
        <w:rPr>
          <w:rFonts w:cs="Arial"/>
        </w:rPr>
        <w:t xml:space="preserve"> system as opposed to an independent productivity input (Melville et al., 2004).</w:t>
      </w:r>
    </w:p>
    <w:p w:rsidR="00A33A25" w:rsidRPr="005A6A01" w:rsidRDefault="00A33A25" w:rsidP="00A33A25">
      <w:pPr>
        <w:rPr>
          <w:rFonts w:cs="Arial"/>
        </w:rPr>
      </w:pPr>
      <w:r w:rsidRPr="005A6A01">
        <w:rPr>
          <w:rFonts w:cs="Arial"/>
        </w:rPr>
        <w:t>Operational value deals with the reliability and efficiency with which digital demand brings about the completion of transactions. Some of the relevant indicators are inventory accuracy, order-processing time, fulfilment cost, cancellation, returns and payment reconciliation. Yu et al. (2022) associate digital-transformation capability with operational performance, but aggregate measures can conceal where value is lost. Operational indicators can be more diagnostic as they can pinpoint routines that can be modified by managers.</w:t>
      </w:r>
    </w:p>
    <w:p w:rsidR="00A33A25" w:rsidRPr="005A6A01" w:rsidRDefault="00A33A25" w:rsidP="00A33A25">
      <w:pPr>
        <w:rPr>
          <w:rFonts w:cs="Arial"/>
        </w:rPr>
      </w:pPr>
      <w:r w:rsidRPr="005A6A01">
        <w:rPr>
          <w:rFonts w:cs="Arial"/>
        </w:rPr>
        <w:t xml:space="preserve">The customer value encompasses convenience, responsiveness, trust, service recovery and retention. According to </w:t>
      </w:r>
      <w:proofErr w:type="spellStart"/>
      <w:r w:rsidRPr="005A6A01">
        <w:rPr>
          <w:rFonts w:cs="Arial"/>
        </w:rPr>
        <w:t>Matarazzo</w:t>
      </w:r>
      <w:proofErr w:type="spellEnd"/>
      <w:r w:rsidRPr="005A6A01">
        <w:rPr>
          <w:rFonts w:cs="Arial"/>
        </w:rPr>
        <w:t xml:space="preserve"> et al. (2021), digital transformation is associated with creating customer value, which is based on sensing and learning. Strategic value comprises of market learning, channel flexibility, resilience and innovation. </w:t>
      </w:r>
      <w:proofErr w:type="spellStart"/>
      <w:r w:rsidRPr="005A6A01">
        <w:rPr>
          <w:rFonts w:cs="Arial"/>
        </w:rPr>
        <w:t>Ballerini</w:t>
      </w:r>
      <w:proofErr w:type="spellEnd"/>
      <w:r w:rsidRPr="005A6A01">
        <w:rPr>
          <w:rFonts w:cs="Arial"/>
        </w:rPr>
        <w:t xml:space="preserve"> et al. (2023) demonstrate that not all digital affordances result in performance, as this is important since value dimensions may be in conflict: increasing the reach may complicate the logistics, whereas marketplace visibility may raise sales and platform dependence at the same time.</w:t>
      </w:r>
    </w:p>
    <w:p w:rsidR="00A33A25" w:rsidRPr="005A6A01" w:rsidRDefault="00A33A25" w:rsidP="00A33A25">
      <w:pPr>
        <w:rPr>
          <w:rFonts w:cs="Arial"/>
        </w:rPr>
      </w:pPr>
      <w:r w:rsidRPr="005A6A01">
        <w:rPr>
          <w:rFonts w:cs="Arial"/>
        </w:rPr>
        <w:t>Among resource-constrained SMEs, financial and operational value can be the most short-term since liquidity and failure to execute pose a threat to survival. They are also relatively responsive to objective measures like contribution margin, stock accuracy or failed-delivery rate. Customer and strategic value is more difficult to isolate due to the fact that trust, learning, resilience and flexibility are partially perceptual, lagged and context dependent. Variations in the measurement of value in studies thus indicate both access to data and epistemological choice. The framework considers value as a balanced result set and enquires who is creating value, how and at what cost.</w:t>
      </w:r>
    </w:p>
    <w:p w:rsidR="00A33A25" w:rsidRPr="005A6A01" w:rsidRDefault="00A33A25" w:rsidP="00A33A25">
      <w:pPr>
        <w:pStyle w:val="Heading2"/>
        <w:rPr>
          <w:rFonts w:cs="Arial"/>
        </w:rPr>
      </w:pPr>
      <w:bookmarkStart w:id="12" w:name="_Toc238011413"/>
      <w:r w:rsidRPr="005A6A01">
        <w:rPr>
          <w:rFonts w:cs="Arial"/>
        </w:rPr>
        <w:lastRenderedPageBreak/>
        <w:t>3.3 TOE and competing explanations of digital use</w:t>
      </w:r>
      <w:bookmarkEnd w:id="12"/>
    </w:p>
    <w:p w:rsidR="00A33A25" w:rsidRPr="005A6A01" w:rsidRDefault="00A33A25" w:rsidP="00A33A25">
      <w:pPr>
        <w:rPr>
          <w:rFonts w:cs="Arial"/>
        </w:rPr>
      </w:pPr>
      <w:r w:rsidRPr="005A6A01">
        <w:rPr>
          <w:rFonts w:cs="Arial"/>
        </w:rPr>
        <w:t>The technology-</w:t>
      </w:r>
      <w:proofErr w:type="spellStart"/>
      <w:r w:rsidRPr="005A6A01">
        <w:rPr>
          <w:rFonts w:cs="Arial"/>
        </w:rPr>
        <w:t>organisation</w:t>
      </w:r>
      <w:proofErr w:type="spellEnd"/>
      <w:r w:rsidRPr="005A6A01">
        <w:rPr>
          <w:rFonts w:cs="Arial"/>
        </w:rPr>
        <w:t xml:space="preserve">-environment (TOE) model positions </w:t>
      </w:r>
      <w:proofErr w:type="spellStart"/>
      <w:r w:rsidRPr="005A6A01">
        <w:rPr>
          <w:rFonts w:cs="Arial"/>
        </w:rPr>
        <w:t>organisational</w:t>
      </w:r>
      <w:proofErr w:type="spellEnd"/>
      <w:r w:rsidRPr="005A6A01">
        <w:rPr>
          <w:rFonts w:cs="Arial"/>
        </w:rPr>
        <w:t xml:space="preserve"> innovation in the context of technology, </w:t>
      </w:r>
      <w:proofErr w:type="spellStart"/>
      <w:r w:rsidRPr="005A6A01">
        <w:rPr>
          <w:rFonts w:cs="Arial"/>
        </w:rPr>
        <w:t>organisation</w:t>
      </w:r>
      <w:proofErr w:type="spellEnd"/>
      <w:r w:rsidRPr="005A6A01">
        <w:rPr>
          <w:rFonts w:cs="Arial"/>
        </w:rPr>
        <w:t xml:space="preserve"> and environment (</w:t>
      </w:r>
      <w:proofErr w:type="spellStart"/>
      <w:r w:rsidRPr="005A6A01">
        <w:rPr>
          <w:rFonts w:cs="Arial"/>
        </w:rPr>
        <w:t>Tornatzky</w:t>
      </w:r>
      <w:proofErr w:type="spellEnd"/>
      <w:r w:rsidRPr="005A6A01">
        <w:rPr>
          <w:rFonts w:cs="Arial"/>
        </w:rPr>
        <w:t xml:space="preserve"> and Fleischer, 1990). In e-commerce these include infrastructure and compatibility, </w:t>
      </w:r>
      <w:proofErr w:type="spellStart"/>
      <w:r w:rsidRPr="005A6A01">
        <w:rPr>
          <w:rFonts w:cs="Arial"/>
        </w:rPr>
        <w:t>organisational</w:t>
      </w:r>
      <w:proofErr w:type="spellEnd"/>
      <w:r w:rsidRPr="005A6A01">
        <w:rPr>
          <w:rFonts w:cs="Arial"/>
        </w:rPr>
        <w:t xml:space="preserve"> resources and leadership, and external conditions such as competition, regulation, logistics and platforms. The breadth is practical in the emerging economies and it is not subject to technological determinism. Nevertheless, TOE better determines the conditions linked with adoption, rather than the processes that lead to the creation of value (Nguyen et al., 2022; Hossain et al., 2024).</w:t>
      </w:r>
    </w:p>
    <w:p w:rsidR="00A33A25" w:rsidRPr="005A6A01" w:rsidRDefault="00A33A25" w:rsidP="00A33A25">
      <w:pPr>
        <w:rPr>
          <w:rFonts w:cs="Arial"/>
        </w:rPr>
      </w:pPr>
      <w:r w:rsidRPr="005A6A01">
        <w:rPr>
          <w:rFonts w:cs="Arial"/>
        </w:rPr>
        <w:t xml:space="preserve">The strong point of TOE is as well its limitation. Broad constructs like </w:t>
      </w:r>
      <w:proofErr w:type="spellStart"/>
      <w:r w:rsidRPr="005A6A01">
        <w:rPr>
          <w:rFonts w:cs="Arial"/>
        </w:rPr>
        <w:t>organisational</w:t>
      </w:r>
      <w:proofErr w:type="spellEnd"/>
      <w:r w:rsidRPr="005A6A01">
        <w:rPr>
          <w:rFonts w:cs="Arial"/>
        </w:rPr>
        <w:t xml:space="preserve"> readiness or top-management support can be used to determine where associations are present without indicating what routines managers need to change (Nguyen et al., 2022; Hossain et al., 2024). A large coefficient of environmental support fails to provide explanations of whether a firm is able to identify a support </w:t>
      </w:r>
      <w:proofErr w:type="spellStart"/>
      <w:r w:rsidRPr="005A6A01">
        <w:rPr>
          <w:rFonts w:cs="Arial"/>
        </w:rPr>
        <w:t>programme</w:t>
      </w:r>
      <w:proofErr w:type="spellEnd"/>
      <w:r w:rsidRPr="005A6A01">
        <w:rPr>
          <w:rFonts w:cs="Arial"/>
        </w:rPr>
        <w:t xml:space="preserve">, </w:t>
      </w:r>
      <w:proofErr w:type="spellStart"/>
      <w:r w:rsidRPr="005A6A01">
        <w:rPr>
          <w:rFonts w:cs="Arial"/>
        </w:rPr>
        <w:t>internalise</w:t>
      </w:r>
      <w:proofErr w:type="spellEnd"/>
      <w:r w:rsidRPr="005A6A01">
        <w:rPr>
          <w:rFonts w:cs="Arial"/>
        </w:rPr>
        <w:t xml:space="preserve"> the knowledge offered or transform it into an operating change. The framework can thus be taxonomic: it informs researchers of where to look but not necessarily how value is created.</w:t>
      </w:r>
    </w:p>
    <w:p w:rsidR="00A33A25" w:rsidRPr="005A6A01" w:rsidRDefault="00A33A25" w:rsidP="00A33A25">
      <w:pPr>
        <w:rPr>
          <w:rFonts w:cs="Arial"/>
        </w:rPr>
      </w:pPr>
      <w:r w:rsidRPr="005A6A01">
        <w:rPr>
          <w:rFonts w:cs="Arial"/>
        </w:rPr>
        <w:t>Technology Acceptance Model (TAM) provides an even more limited explanation. Davis (1989) hypothesizes that perceived usefulness and perceived ease of use are the most important determinants of individual technology acceptance. TAM is useful when the problem of interest is employee or consumer acceptance of a given system, however, it cannot be used in the current research question as retail SME may accept the system in question and still be unable to combine inventory, deal with returns or to derive lucrative custo</w:t>
      </w:r>
      <w:bookmarkStart w:id="13" w:name="_GoBack"/>
      <w:bookmarkEnd w:id="13"/>
      <w:r w:rsidRPr="005A6A01">
        <w:rPr>
          <w:rFonts w:cs="Arial"/>
        </w:rPr>
        <w:t xml:space="preserve">mer insight. The unit of analysis is also different: the individual beliefs do not necessarily combine into </w:t>
      </w:r>
      <w:proofErr w:type="spellStart"/>
      <w:r w:rsidRPr="005A6A01">
        <w:rPr>
          <w:rFonts w:cs="Arial"/>
        </w:rPr>
        <w:t>organisational</w:t>
      </w:r>
      <w:proofErr w:type="spellEnd"/>
      <w:r w:rsidRPr="005A6A01">
        <w:rPr>
          <w:rFonts w:cs="Arial"/>
        </w:rPr>
        <w:t xml:space="preserve"> capabilities.</w:t>
      </w:r>
    </w:p>
    <w:p w:rsidR="00A33A25" w:rsidRPr="005A6A01" w:rsidRDefault="00A33A25" w:rsidP="00A33A25">
      <w:pPr>
        <w:rPr>
          <w:rFonts w:cs="Arial"/>
        </w:rPr>
      </w:pPr>
      <w:r w:rsidRPr="005A6A01">
        <w:rPr>
          <w:rFonts w:cs="Arial"/>
        </w:rPr>
        <w:t xml:space="preserve">RBV and dynamic capabilities close this gap in a strategic way: RBV discusses the heterogeneous resource bundles, whereas dynamic capabilities discuss their renewal (Barney, 1991; </w:t>
      </w:r>
      <w:proofErr w:type="spellStart"/>
      <w:r w:rsidRPr="005A6A01">
        <w:rPr>
          <w:rFonts w:cs="Arial"/>
        </w:rPr>
        <w:t>Teece</w:t>
      </w:r>
      <w:proofErr w:type="spellEnd"/>
      <w:r w:rsidRPr="005A6A01">
        <w:rPr>
          <w:rFonts w:cs="Arial"/>
        </w:rPr>
        <w:t xml:space="preserve">, 2007). </w:t>
      </w:r>
      <w:r w:rsidRPr="002E110E">
        <w:rPr>
          <w:rFonts w:cs="Arial"/>
        </w:rPr>
        <w:t>Affordance theory</w:t>
      </w:r>
      <w:r w:rsidRPr="005A6A01">
        <w:rPr>
          <w:rFonts w:cs="Arial"/>
        </w:rPr>
        <w:t xml:space="preserve"> is used to understand why the same technology can open up different possibilities to different actors and why they need to be </w:t>
      </w:r>
      <w:proofErr w:type="spellStart"/>
      <w:r w:rsidRPr="005A6A01">
        <w:rPr>
          <w:rFonts w:cs="Arial"/>
        </w:rPr>
        <w:t>actualised</w:t>
      </w:r>
      <w:proofErr w:type="spellEnd"/>
      <w:r w:rsidRPr="005A6A01">
        <w:rPr>
          <w:rFonts w:cs="Arial"/>
        </w:rPr>
        <w:t xml:space="preserve">. The theories are therefore assigned distinct roles rather than combined indiscriminately: TOE supplies context, RBV resource logic, dynamic capabilities process, and affordance </w:t>
      </w:r>
      <w:proofErr w:type="spellStart"/>
      <w:r w:rsidRPr="005A6A01">
        <w:rPr>
          <w:rFonts w:cs="Arial"/>
        </w:rPr>
        <w:t>actualisation</w:t>
      </w:r>
      <w:proofErr w:type="spellEnd"/>
      <w:r w:rsidRPr="005A6A01">
        <w:rPr>
          <w:rFonts w:cs="Arial"/>
        </w:rPr>
        <w:t xml:space="preserve"> the bridge between technological possibility and </w:t>
      </w:r>
      <w:proofErr w:type="spellStart"/>
      <w:r w:rsidRPr="005A6A01">
        <w:rPr>
          <w:rFonts w:cs="Arial"/>
        </w:rPr>
        <w:t>organisational</w:t>
      </w:r>
      <w:proofErr w:type="spellEnd"/>
      <w:r w:rsidRPr="005A6A01">
        <w:rPr>
          <w:rFonts w:cs="Arial"/>
        </w:rPr>
        <w:t xml:space="preserve"> action.</w:t>
      </w:r>
    </w:p>
    <w:p w:rsidR="00A33A25" w:rsidRPr="005A6A01" w:rsidRDefault="00A33A25" w:rsidP="00A33A25">
      <w:pPr>
        <w:pStyle w:val="Heading2"/>
        <w:rPr>
          <w:rFonts w:cs="Arial"/>
        </w:rPr>
      </w:pPr>
      <w:bookmarkStart w:id="14" w:name="_Toc238011414"/>
      <w:r w:rsidRPr="005A6A01">
        <w:rPr>
          <w:rFonts w:cs="Arial"/>
        </w:rPr>
        <w:lastRenderedPageBreak/>
        <w:t>3.4 Resource-based view and dynamic capabilities</w:t>
      </w:r>
      <w:bookmarkEnd w:id="14"/>
    </w:p>
    <w:p w:rsidR="00A33A25" w:rsidRPr="005A6A01" w:rsidRDefault="00A33A25" w:rsidP="00A33A25">
      <w:pPr>
        <w:rPr>
          <w:rFonts w:cs="Arial"/>
        </w:rPr>
      </w:pPr>
      <w:r w:rsidRPr="005A6A01">
        <w:rPr>
          <w:rFonts w:cs="Arial"/>
        </w:rPr>
        <w:t xml:space="preserve">The RBV characterizes performance heterogeneity by resources and capabilities that are both valuable and hard to imitate by rivals (Barney, 1991). In retail e-commerce, relevant resources include digital infrastructure, customer information, brand reputation, employee skills, managerial knowledge and supplier or logistics relationships. The framework is useful because access to marketplaces and software is increasingly </w:t>
      </w:r>
      <w:proofErr w:type="spellStart"/>
      <w:r w:rsidRPr="005A6A01">
        <w:rPr>
          <w:rFonts w:cs="Arial"/>
        </w:rPr>
        <w:t>commoditised</w:t>
      </w:r>
      <w:proofErr w:type="spellEnd"/>
      <w:r w:rsidRPr="005A6A01">
        <w:rPr>
          <w:rFonts w:cs="Arial"/>
        </w:rPr>
        <w:t xml:space="preserve">. If competing retailers can subscribe to the same platform, technology ownership cannot by itself explain persistent performance differences. Value depends on complementary resources and the routines through which they are </w:t>
      </w:r>
      <w:proofErr w:type="spellStart"/>
      <w:r w:rsidRPr="005A6A01">
        <w:rPr>
          <w:rFonts w:cs="Arial"/>
        </w:rPr>
        <w:t>organised</w:t>
      </w:r>
      <w:proofErr w:type="spellEnd"/>
      <w:r w:rsidRPr="005A6A01">
        <w:rPr>
          <w:rFonts w:cs="Arial"/>
        </w:rPr>
        <w:t>.</w:t>
      </w:r>
    </w:p>
    <w:p w:rsidR="00A33A25" w:rsidRPr="005A6A01" w:rsidRDefault="00A33A25" w:rsidP="00A33A25">
      <w:pPr>
        <w:rPr>
          <w:rFonts w:cs="Arial"/>
        </w:rPr>
      </w:pPr>
      <w:r w:rsidRPr="005A6A01">
        <w:rPr>
          <w:rFonts w:cs="Arial"/>
        </w:rPr>
        <w:t>However, a static resource inventory is poorly matched to digital commerce. Platform rules, customer expectations, payment practices and delivery standards change rapidly. Dynamic-capabilities theory addresses this by focusing on a firm's capacity to sense opportunities and threats, seize them through commitments and investments, and transform or reconfigure its resource base (</w:t>
      </w:r>
      <w:proofErr w:type="spellStart"/>
      <w:r w:rsidRPr="005A6A01">
        <w:rPr>
          <w:rFonts w:cs="Arial"/>
        </w:rPr>
        <w:t>Teece</w:t>
      </w:r>
      <w:proofErr w:type="spellEnd"/>
      <w:r w:rsidRPr="005A6A01">
        <w:rPr>
          <w:rFonts w:cs="Arial"/>
        </w:rPr>
        <w:t xml:space="preserve">, 2007). </w:t>
      </w:r>
      <w:proofErr w:type="spellStart"/>
      <w:r w:rsidRPr="005A6A01">
        <w:rPr>
          <w:rFonts w:cs="Arial"/>
        </w:rPr>
        <w:t>Matarazzo</w:t>
      </w:r>
      <w:proofErr w:type="spellEnd"/>
      <w:r w:rsidRPr="005A6A01">
        <w:rPr>
          <w:rFonts w:cs="Arial"/>
        </w:rPr>
        <w:t xml:space="preserve"> et al. (2021) identify sensing and learning as important in SME digital transformation and customer value creation. </w:t>
      </w:r>
      <w:proofErr w:type="spellStart"/>
      <w:r w:rsidRPr="005A6A01">
        <w:rPr>
          <w:rFonts w:cs="Arial"/>
        </w:rPr>
        <w:t>Mele</w:t>
      </w:r>
      <w:proofErr w:type="spellEnd"/>
      <w:r w:rsidRPr="005A6A01">
        <w:rPr>
          <w:rFonts w:cs="Arial"/>
        </w:rPr>
        <w:t xml:space="preserve"> et al. (2024) similarly </w:t>
      </w:r>
      <w:proofErr w:type="spellStart"/>
      <w:r w:rsidRPr="005A6A01">
        <w:rPr>
          <w:rFonts w:cs="Arial"/>
        </w:rPr>
        <w:t>emphasise</w:t>
      </w:r>
      <w:proofErr w:type="spellEnd"/>
      <w:r w:rsidRPr="005A6A01">
        <w:rPr>
          <w:rFonts w:cs="Arial"/>
        </w:rPr>
        <w:t xml:space="preserve"> knowledge-based dynamic capabilities, while Fang et al. (2024) show that digital capability is related to dimensions of digital business-model innovation and competitiveness.</w:t>
      </w:r>
    </w:p>
    <w:p w:rsidR="00A33A25" w:rsidRPr="005A6A01" w:rsidRDefault="00A33A25" w:rsidP="00A33A25">
      <w:pPr>
        <w:rPr>
          <w:rFonts w:cs="Arial"/>
        </w:rPr>
      </w:pPr>
      <w:r w:rsidRPr="005A6A01">
        <w:rPr>
          <w:rFonts w:cs="Arial"/>
        </w:rPr>
        <w:t xml:space="preserve">Dynamic capabilities nevertheless attract legitimate criticism. The concept becomes tautological if successful adaptation is treated as both evidence of capability and the outcome it explains. </w:t>
      </w:r>
      <w:proofErr w:type="spellStart"/>
      <w:r w:rsidRPr="005A6A01">
        <w:rPr>
          <w:rFonts w:cs="Arial"/>
        </w:rPr>
        <w:t>Peteraf</w:t>
      </w:r>
      <w:proofErr w:type="spellEnd"/>
      <w:r w:rsidRPr="005A6A01">
        <w:rPr>
          <w:rFonts w:cs="Arial"/>
        </w:rPr>
        <w:t xml:space="preserve"> et al. (2013) identify diverging conceptions of the construct, while survey measures of sensing or reconfiguration may capture managerial confidence rather than an observable routine. Cross-sectional designs are especially inadequate in a theory of change since temporal sequencing is not demonstrated but assumed. A critical-realist reading is therefore preferable: capability should be evidenced through mechanisms and repeated </w:t>
      </w:r>
      <w:proofErr w:type="spellStart"/>
      <w:r w:rsidRPr="005A6A01">
        <w:rPr>
          <w:rFonts w:cs="Arial"/>
        </w:rPr>
        <w:t>organisational</w:t>
      </w:r>
      <w:proofErr w:type="spellEnd"/>
      <w:r w:rsidRPr="005A6A01">
        <w:rPr>
          <w:rFonts w:cs="Arial"/>
        </w:rPr>
        <w:t xml:space="preserve"> practices, not inferred retrospectively from success.</w:t>
      </w:r>
    </w:p>
    <w:p w:rsidR="00A33A25" w:rsidRPr="005A6A01" w:rsidRDefault="00A33A25" w:rsidP="00A33A25">
      <w:pPr>
        <w:rPr>
          <w:rFonts w:cs="Arial"/>
        </w:rPr>
      </w:pPr>
      <w:r w:rsidRPr="005A6A01">
        <w:rPr>
          <w:rFonts w:cs="Arial"/>
        </w:rPr>
        <w:t xml:space="preserve">Another difference is required between the ordinary and higher-order capabilities. Ordinary operating capabilities are inventory control, order processing, complaint handling and payment reconciliation: they execute the existing business model. Sensing new customer patterns, reallocating resources across channels or redesigning the fulfilment model is dynamic since it alters the configuration of ordinary </w:t>
      </w:r>
      <w:r w:rsidRPr="005A6A01">
        <w:rPr>
          <w:rFonts w:cs="Arial"/>
        </w:rPr>
        <w:lastRenderedPageBreak/>
        <w:t xml:space="preserve">capabilities. Both types of ability are consequential to value </w:t>
      </w:r>
      <w:proofErr w:type="spellStart"/>
      <w:r w:rsidRPr="005A6A01">
        <w:rPr>
          <w:rFonts w:cs="Arial"/>
        </w:rPr>
        <w:t>realisation</w:t>
      </w:r>
      <w:proofErr w:type="spellEnd"/>
      <w:r w:rsidRPr="005A6A01">
        <w:rPr>
          <w:rFonts w:cs="Arial"/>
        </w:rPr>
        <w:t>. A retailer that feels an increase in online demand but is unable to meet orders predictably will not experience value; and a retailer with well-developed routines but no capacity to react to platform or market change may come to be irrelevant. That is why the proposed framework considers dynamic capabilities as a renewal cycle which works on a portfolio of ordinary capabilities instead of being an alternative to them.</w:t>
      </w:r>
    </w:p>
    <w:p w:rsidR="00A33A25" w:rsidRPr="005A6A01" w:rsidRDefault="00A33A25" w:rsidP="00A33A25">
      <w:pPr>
        <w:rPr>
          <w:rFonts w:cs="Arial"/>
        </w:rPr>
      </w:pPr>
      <w:r w:rsidRPr="005A6A01">
        <w:rPr>
          <w:rFonts w:cs="Arial"/>
        </w:rPr>
        <w:t xml:space="preserve">The practical implication is sequencing. Advanced analytics or business-model innovation often presuppose basic data discipline, reliable order handling and managerial attention. Similarly, Warren and Wagner (2019) consider digital transformation as a continuous process of strategic renewal instead of a one-time technology project. This is important to the Bangladeshi retail SMEs, since the process of capability development is path-dependent and constrained by resources. Managers cannot just duplicate the digital layout of a bigger company; they need to develop on the basis of current routines, relationships and knowledge. Dynamic capabilities are thus most helpful when they are based on particular, observable </w:t>
      </w:r>
      <w:proofErr w:type="spellStart"/>
      <w:r w:rsidRPr="005A6A01">
        <w:rPr>
          <w:rFonts w:cs="Arial"/>
        </w:rPr>
        <w:t>organisational</w:t>
      </w:r>
      <w:proofErr w:type="spellEnd"/>
      <w:r w:rsidRPr="005A6A01">
        <w:rPr>
          <w:rFonts w:cs="Arial"/>
        </w:rPr>
        <w:t xml:space="preserve"> practices and not considered as a broad synonym of agility.</w:t>
      </w:r>
    </w:p>
    <w:p w:rsidR="00A33A25" w:rsidRPr="005A6A01" w:rsidRDefault="00A33A25" w:rsidP="00A33A25">
      <w:pPr>
        <w:pStyle w:val="Heading2"/>
        <w:rPr>
          <w:rFonts w:cs="Arial"/>
        </w:rPr>
      </w:pPr>
      <w:bookmarkStart w:id="15" w:name="_Toc238011415"/>
      <w:r w:rsidRPr="005A6A01">
        <w:rPr>
          <w:rFonts w:cs="Arial"/>
        </w:rPr>
        <w:t xml:space="preserve">3.5 Affordance </w:t>
      </w:r>
      <w:proofErr w:type="spellStart"/>
      <w:r w:rsidRPr="005A6A01">
        <w:rPr>
          <w:rFonts w:cs="Arial"/>
        </w:rPr>
        <w:t>actualisation</w:t>
      </w:r>
      <w:proofErr w:type="spellEnd"/>
      <w:r w:rsidRPr="005A6A01">
        <w:rPr>
          <w:rFonts w:cs="Arial"/>
        </w:rPr>
        <w:t>, platform governance and dependence</w:t>
      </w:r>
      <w:bookmarkEnd w:id="15"/>
    </w:p>
    <w:p w:rsidR="00A33A25" w:rsidRPr="005A6A01" w:rsidRDefault="00A33A25" w:rsidP="00A33A25">
      <w:pPr>
        <w:rPr>
          <w:rFonts w:cs="Arial"/>
        </w:rPr>
      </w:pPr>
      <w:r w:rsidRPr="005A6A01">
        <w:rPr>
          <w:rFonts w:cs="Arial"/>
        </w:rPr>
        <w:t xml:space="preserve">The affordance theory is the reason why the same technologies may yield varying results in </w:t>
      </w:r>
      <w:proofErr w:type="spellStart"/>
      <w:r w:rsidRPr="005A6A01">
        <w:rPr>
          <w:rFonts w:cs="Arial"/>
        </w:rPr>
        <w:t>organisations</w:t>
      </w:r>
      <w:proofErr w:type="spellEnd"/>
      <w:r w:rsidRPr="005A6A01">
        <w:rPr>
          <w:rFonts w:cs="Arial"/>
        </w:rPr>
        <w:t xml:space="preserve">. An affordance is a goal-directed action opportunity that arises as a result of the relationship between the actor and technology but not as a technical characteristic. This relational ontology questions deterministic assumptions according to which a platform has value outside of </w:t>
      </w:r>
      <w:proofErr w:type="spellStart"/>
      <w:r w:rsidRPr="005A6A01">
        <w:rPr>
          <w:rFonts w:cs="Arial"/>
        </w:rPr>
        <w:t>organisational</w:t>
      </w:r>
      <w:proofErr w:type="spellEnd"/>
      <w:r w:rsidRPr="005A6A01">
        <w:rPr>
          <w:rFonts w:cs="Arial"/>
        </w:rPr>
        <w:t xml:space="preserve"> use. A market place can provide access, transaction processing or customer information, but these opportunities can only be </w:t>
      </w:r>
      <w:proofErr w:type="spellStart"/>
      <w:r w:rsidRPr="005A6A01">
        <w:rPr>
          <w:rFonts w:cs="Arial"/>
        </w:rPr>
        <w:t>realised</w:t>
      </w:r>
      <w:proofErr w:type="spellEnd"/>
      <w:r w:rsidRPr="005A6A01">
        <w:rPr>
          <w:rFonts w:cs="Arial"/>
        </w:rPr>
        <w:t xml:space="preserve"> when </w:t>
      </w:r>
      <w:proofErr w:type="spellStart"/>
      <w:r w:rsidRPr="005A6A01">
        <w:rPr>
          <w:rFonts w:cs="Arial"/>
        </w:rPr>
        <w:t>realised</w:t>
      </w:r>
      <w:proofErr w:type="spellEnd"/>
      <w:r w:rsidRPr="005A6A01">
        <w:rPr>
          <w:rFonts w:cs="Arial"/>
        </w:rPr>
        <w:t xml:space="preserve"> and </w:t>
      </w:r>
      <w:proofErr w:type="spellStart"/>
      <w:r w:rsidRPr="005A6A01">
        <w:rPr>
          <w:rFonts w:cs="Arial"/>
        </w:rPr>
        <w:t>realised</w:t>
      </w:r>
      <w:proofErr w:type="spellEnd"/>
      <w:r w:rsidRPr="005A6A01">
        <w:rPr>
          <w:rFonts w:cs="Arial"/>
        </w:rPr>
        <w:t xml:space="preserve">. </w:t>
      </w:r>
      <w:proofErr w:type="spellStart"/>
      <w:r w:rsidRPr="005A6A01">
        <w:rPr>
          <w:rFonts w:cs="Arial"/>
        </w:rPr>
        <w:t>Ballerini</w:t>
      </w:r>
      <w:proofErr w:type="spellEnd"/>
      <w:r w:rsidRPr="005A6A01">
        <w:rPr>
          <w:rFonts w:cs="Arial"/>
        </w:rPr>
        <w:t xml:space="preserve"> et al. (2023) reinforce this difference by demonstrating that e-commerce commitment and platform choice facilitates various affordances and that not all affordances can be converted into performance.</w:t>
      </w:r>
    </w:p>
    <w:p w:rsidR="00A33A25" w:rsidRPr="005A6A01" w:rsidRDefault="00A33A25" w:rsidP="00A33A25">
      <w:pPr>
        <w:rPr>
          <w:rFonts w:cs="Arial"/>
        </w:rPr>
      </w:pPr>
      <w:r w:rsidRPr="005A6A01">
        <w:rPr>
          <w:rFonts w:cs="Arial"/>
        </w:rPr>
        <w:t xml:space="preserve">This view supplements dynamic capabilities since the theories provide responses to various questions. The theory of affordance describes what a given digital arrangement enables; dynamic capabilities describes how a firm repeats in identifying, selecting and reconfiguring resources to such possibilities. The distinction also disciplines the proposed framework. 'Using analytics', for example, should not be treated as value in itself. The affordance is improved market knowledge; </w:t>
      </w:r>
      <w:proofErr w:type="spellStart"/>
      <w:r w:rsidRPr="005A6A01">
        <w:rPr>
          <w:rFonts w:cs="Arial"/>
        </w:rPr>
        <w:t>actualisation</w:t>
      </w:r>
      <w:proofErr w:type="spellEnd"/>
      <w:r w:rsidRPr="005A6A01">
        <w:rPr>
          <w:rFonts w:cs="Arial"/>
        </w:rPr>
        <w:t xml:space="preserve"> requires data </w:t>
      </w:r>
      <w:r w:rsidRPr="005A6A01">
        <w:rPr>
          <w:rFonts w:cs="Arial"/>
        </w:rPr>
        <w:lastRenderedPageBreak/>
        <w:t xml:space="preserve">quality, interpretive skills and decision routines; value is </w:t>
      </w:r>
      <w:proofErr w:type="spellStart"/>
      <w:r w:rsidRPr="005A6A01">
        <w:rPr>
          <w:rFonts w:cs="Arial"/>
        </w:rPr>
        <w:t>realised</w:t>
      </w:r>
      <w:proofErr w:type="spellEnd"/>
      <w:r w:rsidRPr="005A6A01">
        <w:rPr>
          <w:rFonts w:cs="Arial"/>
        </w:rPr>
        <w:t xml:space="preserve"> only if assortment, pricing or service improves.</w:t>
      </w:r>
    </w:p>
    <w:p w:rsidR="00A33A25" w:rsidRPr="005A6A01" w:rsidRDefault="00A33A25" w:rsidP="00A33A25">
      <w:pPr>
        <w:rPr>
          <w:rFonts w:cs="Arial"/>
        </w:rPr>
      </w:pPr>
      <w:r w:rsidRPr="005A6A01">
        <w:rPr>
          <w:rFonts w:cs="Arial"/>
        </w:rPr>
        <w:t>A firm-</w:t>
      </w:r>
      <w:proofErr w:type="spellStart"/>
      <w:r w:rsidRPr="005A6A01">
        <w:rPr>
          <w:rFonts w:cs="Arial"/>
        </w:rPr>
        <w:t>centred</w:t>
      </w:r>
      <w:proofErr w:type="spellEnd"/>
      <w:r w:rsidRPr="005A6A01">
        <w:rPr>
          <w:rFonts w:cs="Arial"/>
        </w:rPr>
        <w:t xml:space="preserve"> affordance account can understate power. Platforms control fees, search visibility, data access and dispute procedures; policy changes can therefore weaken an affordance without any internal change by the SME. Dependence on payment and logistics providers creates the same problem because partner failure becomes part of the retailer's customer experience. The ecosystem capability, then, involves checking on partner performance, knowing platform rules, having alternatives and not being dependent on one partner. This is especially relevant to Bangladesh, in which SMEs frequently utilize external partners instead of internal ownership to access capabilities.</w:t>
      </w:r>
    </w:p>
    <w:p w:rsidR="00A33A25" w:rsidRPr="005A6A01" w:rsidRDefault="00A33A25" w:rsidP="00A33A25">
      <w:pPr>
        <w:pStyle w:val="Heading2"/>
        <w:rPr>
          <w:rFonts w:cs="Arial"/>
        </w:rPr>
      </w:pPr>
      <w:bookmarkStart w:id="16" w:name="_Toc238011416"/>
      <w:r w:rsidRPr="005A6A01">
        <w:rPr>
          <w:rFonts w:cs="Arial"/>
        </w:rPr>
        <w:t xml:space="preserve">3.6 </w:t>
      </w:r>
      <w:proofErr w:type="spellStart"/>
      <w:r w:rsidRPr="005A6A01">
        <w:rPr>
          <w:rFonts w:cs="Arial"/>
        </w:rPr>
        <w:t>Organisational</w:t>
      </w:r>
      <w:proofErr w:type="spellEnd"/>
      <w:r w:rsidRPr="005A6A01">
        <w:rPr>
          <w:rFonts w:cs="Arial"/>
        </w:rPr>
        <w:t xml:space="preserve"> capability domains for e-commerce value </w:t>
      </w:r>
      <w:proofErr w:type="spellStart"/>
      <w:r w:rsidRPr="005A6A01">
        <w:rPr>
          <w:rFonts w:cs="Arial"/>
        </w:rPr>
        <w:t>realisation</w:t>
      </w:r>
      <w:bookmarkEnd w:id="16"/>
      <w:proofErr w:type="spellEnd"/>
    </w:p>
    <w:p w:rsidR="00A33A25" w:rsidRPr="005A6A01" w:rsidRDefault="00A33A25" w:rsidP="00A33A25">
      <w:pPr>
        <w:rPr>
          <w:rFonts w:cs="Arial"/>
        </w:rPr>
      </w:pPr>
      <w:r w:rsidRPr="005A6A01">
        <w:rPr>
          <w:rFonts w:cs="Arial"/>
        </w:rPr>
        <w:t>The literature supports a configuration of capabilities more convincingly than a single generic 'digital capability'. Six domains are analytically distinct, operationally interdependent and sufficiently observable to be studied through routines, records and managerial practices.</w:t>
      </w:r>
    </w:p>
    <w:p w:rsidR="00A33A25" w:rsidRPr="005A6A01" w:rsidRDefault="00A33A25" w:rsidP="00A33A25">
      <w:pPr>
        <w:rPr>
          <w:rFonts w:cs="Arial"/>
        </w:rPr>
      </w:pPr>
      <w:r w:rsidRPr="005A6A01">
        <w:rPr>
          <w:rFonts w:cs="Arial"/>
        </w:rPr>
        <w:t xml:space="preserve">First, strategic digital leadership aligns e-commerce with target customers, the value proposition, financial priorities and </w:t>
      </w:r>
      <w:proofErr w:type="spellStart"/>
      <w:r w:rsidRPr="005A6A01">
        <w:rPr>
          <w:rFonts w:cs="Arial"/>
        </w:rPr>
        <w:t>organisational</w:t>
      </w:r>
      <w:proofErr w:type="spellEnd"/>
      <w:r w:rsidRPr="005A6A01">
        <w:rPr>
          <w:rFonts w:cs="Arial"/>
        </w:rPr>
        <w:t xml:space="preserve"> constraints. Adoption studies identify top-management support, technological orientation and innovativeness as relevant (Nguyen et al., 2022; </w:t>
      </w:r>
      <w:proofErr w:type="spellStart"/>
      <w:r w:rsidRPr="005A6A01">
        <w:rPr>
          <w:rFonts w:cs="Arial"/>
        </w:rPr>
        <w:t>Bening</w:t>
      </w:r>
      <w:proofErr w:type="spellEnd"/>
      <w:r w:rsidRPr="005A6A01">
        <w:rPr>
          <w:rFonts w:cs="Arial"/>
        </w:rPr>
        <w:t xml:space="preserve"> et al., 2023), but support becomes a capability only when expressed in decisions: channel selection, margin and service objectives, resource allocation, accountability and performance review. Enthusiasm without such discipline can increase digital activity while reducing profitability.</w:t>
      </w:r>
    </w:p>
    <w:p w:rsidR="00A33A25" w:rsidRPr="005A6A01" w:rsidRDefault="00A33A25" w:rsidP="00A33A25">
      <w:pPr>
        <w:rPr>
          <w:rFonts w:cs="Arial"/>
        </w:rPr>
      </w:pPr>
      <w:r w:rsidRPr="005A6A01">
        <w:rPr>
          <w:rFonts w:cs="Arial"/>
        </w:rPr>
        <w:t xml:space="preserve">Second, digital infrastructure and systems-integration capability relates to quality connections between orders, inventory, payments, accounting and customer records. Hossain et al. (2025) </w:t>
      </w:r>
      <w:proofErr w:type="spellStart"/>
      <w:r w:rsidRPr="005A6A01">
        <w:rPr>
          <w:rFonts w:cs="Arial"/>
        </w:rPr>
        <w:t>emphasise</w:t>
      </w:r>
      <w:proofErr w:type="spellEnd"/>
      <w:r w:rsidRPr="005A6A01">
        <w:rPr>
          <w:rFonts w:cs="Arial"/>
        </w:rPr>
        <w:t xml:space="preserve"> technological factors and business-data management. To small retailers, integration does not have to imply the use of costly enterprise software, </w:t>
      </w:r>
      <w:proofErr w:type="spellStart"/>
      <w:r w:rsidRPr="005A6A01">
        <w:rPr>
          <w:rFonts w:cs="Arial"/>
        </w:rPr>
        <w:t>standardised</w:t>
      </w:r>
      <w:proofErr w:type="spellEnd"/>
      <w:r w:rsidRPr="005A6A01">
        <w:rPr>
          <w:rFonts w:cs="Arial"/>
        </w:rPr>
        <w:t xml:space="preserve"> product codes, disciplined data entry, reconciled spreadsheets and clear exception procedures can be more useful than fancy tools that are not used regularly. Cybersecurity falls under this category since hacked accounts or information can destroy continuity and trust.</w:t>
      </w:r>
    </w:p>
    <w:p w:rsidR="00A33A25" w:rsidRPr="005A6A01" w:rsidRDefault="00A33A25" w:rsidP="00A33A25">
      <w:pPr>
        <w:rPr>
          <w:rFonts w:cs="Arial"/>
        </w:rPr>
      </w:pPr>
      <w:r w:rsidRPr="005A6A01">
        <w:rPr>
          <w:rFonts w:cs="Arial"/>
        </w:rPr>
        <w:lastRenderedPageBreak/>
        <w:t>Third, customer-engagement and analytics capability converts digital traces into decisions, market-sensing. The information is generated by searches, reviews, returns and transaction histories but data volume is not analytical ability. Sensing and learning are associated with customer value creation (</w:t>
      </w:r>
      <w:proofErr w:type="spellStart"/>
      <w:r w:rsidRPr="005A6A01">
        <w:rPr>
          <w:rFonts w:cs="Arial"/>
        </w:rPr>
        <w:t>Matarazzo</w:t>
      </w:r>
      <w:proofErr w:type="spellEnd"/>
      <w:r w:rsidRPr="005A6A01">
        <w:rPr>
          <w:rFonts w:cs="Arial"/>
        </w:rPr>
        <w:t xml:space="preserve"> et al., 2021), and consumer-knowledge generation was demonstrated to be able to mediate performance (</w:t>
      </w:r>
      <w:proofErr w:type="spellStart"/>
      <w:r w:rsidRPr="005A6A01">
        <w:rPr>
          <w:rFonts w:cs="Arial"/>
        </w:rPr>
        <w:t>Ballerini</w:t>
      </w:r>
      <w:proofErr w:type="spellEnd"/>
      <w:r w:rsidRPr="005A6A01">
        <w:rPr>
          <w:rFonts w:cs="Arial"/>
        </w:rPr>
        <w:t xml:space="preserve"> et al., 2023). The practical ability is thus to choose significant actions, discern trends and relate platform measurements to cost, assortment, service, and fulfilment choices.</w:t>
      </w:r>
    </w:p>
    <w:p w:rsidR="00A33A25" w:rsidRPr="005A6A01" w:rsidRDefault="00A33A25" w:rsidP="00A33A25">
      <w:pPr>
        <w:rPr>
          <w:rFonts w:cs="Arial"/>
        </w:rPr>
      </w:pPr>
      <w:r w:rsidRPr="005A6A01">
        <w:rPr>
          <w:rFonts w:cs="Arial"/>
        </w:rPr>
        <w:t>Fourth, process orchestration and fulfilment capability comprises of inventory visibility, order verification, picking and packing, payment reconciliation, courier coordination, returns and complaint resolution. Yu and colleagues (2022) relate digital-transformation ability to operational performance, although front-end sales can value-destroying in the case of uncontrolled cancellations, delivery failures or returns. This capability should overcome internal control and dependence on partners where external couriers and cash-on-delivery are crucial.</w:t>
      </w:r>
    </w:p>
    <w:p w:rsidR="00A33A25" w:rsidRPr="005A6A01" w:rsidRDefault="00A33A25" w:rsidP="00A33A25">
      <w:pPr>
        <w:rPr>
          <w:rFonts w:cs="Arial"/>
        </w:rPr>
      </w:pPr>
      <w:r w:rsidRPr="005A6A01">
        <w:rPr>
          <w:rFonts w:cs="Arial"/>
        </w:rPr>
        <w:t xml:space="preserve">Fifth, capability of </w:t>
      </w:r>
      <w:proofErr w:type="spellStart"/>
      <w:r w:rsidRPr="005A6A01">
        <w:rPr>
          <w:rFonts w:cs="Arial"/>
        </w:rPr>
        <w:t>organisational</w:t>
      </w:r>
      <w:proofErr w:type="spellEnd"/>
      <w:r w:rsidRPr="005A6A01">
        <w:rPr>
          <w:rFonts w:cs="Arial"/>
        </w:rPr>
        <w:t xml:space="preserve"> learning and reconfiguration helps the firm to test, evaluate and </w:t>
      </w:r>
      <w:proofErr w:type="spellStart"/>
      <w:r w:rsidRPr="005A6A01">
        <w:rPr>
          <w:rFonts w:cs="Arial"/>
        </w:rPr>
        <w:t>institutionalise</w:t>
      </w:r>
      <w:proofErr w:type="spellEnd"/>
      <w:r w:rsidRPr="005A6A01">
        <w:rPr>
          <w:rFonts w:cs="Arial"/>
        </w:rPr>
        <w:t xml:space="preserve"> change. </w:t>
      </w:r>
      <w:proofErr w:type="spellStart"/>
      <w:r w:rsidRPr="005A6A01">
        <w:rPr>
          <w:rFonts w:cs="Arial"/>
        </w:rPr>
        <w:t>Mele</w:t>
      </w:r>
      <w:proofErr w:type="spellEnd"/>
      <w:r w:rsidRPr="005A6A01">
        <w:rPr>
          <w:rFonts w:cs="Arial"/>
        </w:rPr>
        <w:t xml:space="preserve"> et al. (2024) focus more on knowledge creation and sharing, whereas </w:t>
      </w:r>
      <w:proofErr w:type="spellStart"/>
      <w:r w:rsidRPr="005A6A01">
        <w:rPr>
          <w:rFonts w:cs="Arial"/>
        </w:rPr>
        <w:t>Merin-Rodriganiz</w:t>
      </w:r>
      <w:proofErr w:type="spellEnd"/>
      <w:r w:rsidRPr="005A6A01">
        <w:rPr>
          <w:rFonts w:cs="Arial"/>
        </w:rPr>
        <w:t xml:space="preserve"> et al. (2024) demonstrate that business-model innovation intermediates the performance impact of digital transformation in part. Learning thus involves halting unproductive initiatives, recording good practices, training not just a single employee and redistribution of resources otherwise experimentation is the acquisition of tools and not building capacity.</w:t>
      </w:r>
    </w:p>
    <w:p w:rsidR="00A33A25" w:rsidRPr="005A6A01" w:rsidRDefault="00A33A25" w:rsidP="00A33A25">
      <w:pPr>
        <w:rPr>
          <w:rFonts w:cs="Arial"/>
        </w:rPr>
      </w:pPr>
      <w:r w:rsidRPr="005A6A01">
        <w:rPr>
          <w:rFonts w:cs="Arial"/>
        </w:rPr>
        <w:t xml:space="preserve">Sixth, ecosystem and institutional-navigation capability concerns platforms, payment providers, couriers, suppliers, regulators and support </w:t>
      </w:r>
      <w:proofErr w:type="spellStart"/>
      <w:r w:rsidRPr="005A6A01">
        <w:rPr>
          <w:rFonts w:cs="Arial"/>
        </w:rPr>
        <w:t>organisations</w:t>
      </w:r>
      <w:proofErr w:type="spellEnd"/>
      <w:r w:rsidRPr="005A6A01">
        <w:rPr>
          <w:rFonts w:cs="Arial"/>
        </w:rPr>
        <w:t xml:space="preserve">. TOE recognizes the environment, yet companies vary in the capacity to read and act on the same. </w:t>
      </w:r>
      <w:proofErr w:type="spellStart"/>
      <w:r w:rsidRPr="005A6A01">
        <w:rPr>
          <w:rFonts w:cs="Arial"/>
        </w:rPr>
        <w:t>Organisational</w:t>
      </w:r>
      <w:proofErr w:type="spellEnd"/>
      <w:r w:rsidRPr="005A6A01">
        <w:rPr>
          <w:rFonts w:cs="Arial"/>
        </w:rPr>
        <w:t xml:space="preserve"> capabilities are thus partner selection, service monitoring, </w:t>
      </w:r>
      <w:proofErr w:type="gramStart"/>
      <w:r w:rsidRPr="005A6A01">
        <w:rPr>
          <w:rFonts w:cs="Arial"/>
        </w:rPr>
        <w:t>acquisition</w:t>
      </w:r>
      <w:proofErr w:type="gramEnd"/>
      <w:r w:rsidRPr="005A6A01">
        <w:rPr>
          <w:rFonts w:cs="Arial"/>
        </w:rPr>
        <w:t xml:space="preserve"> of external knowledge, regulatory awareness and contingency planning. They are especially valuable to resource-limited SMEs that need external access to </w:t>
      </w:r>
      <w:proofErr w:type="spellStart"/>
      <w:r w:rsidRPr="005A6A01">
        <w:rPr>
          <w:rFonts w:cs="Arial"/>
        </w:rPr>
        <w:t>specialised</w:t>
      </w:r>
      <w:proofErr w:type="spellEnd"/>
      <w:r w:rsidRPr="005A6A01">
        <w:rPr>
          <w:rFonts w:cs="Arial"/>
        </w:rPr>
        <w:t xml:space="preserve"> capabilities instead of possessing them.</w:t>
      </w:r>
    </w:p>
    <w:p w:rsidR="00A33A25" w:rsidRPr="005A6A01" w:rsidRDefault="00A33A25" w:rsidP="00A33A25">
      <w:pPr>
        <w:rPr>
          <w:rFonts w:cs="Arial"/>
        </w:rPr>
      </w:pPr>
      <w:r w:rsidRPr="005A6A01">
        <w:rPr>
          <w:rFonts w:cs="Arial"/>
        </w:rPr>
        <w:t xml:space="preserve">The six domains are not additive, but complementary. Unreliable fulfilment cannot be fully offset by marketing, analytics is not very effective when the quality of transaction data is poor. This configurational argument also implies sequencing: systems integration and fulfilment discipline may precede advanced analytics, while learning becomes more important as channels multiply. The management question is </w:t>
      </w:r>
      <w:proofErr w:type="gramStart"/>
      <w:r w:rsidRPr="005A6A01">
        <w:rPr>
          <w:rFonts w:cs="Arial"/>
        </w:rPr>
        <w:t xml:space="preserve">what is </w:t>
      </w:r>
      <w:r w:rsidRPr="005A6A01">
        <w:rPr>
          <w:rFonts w:cs="Arial"/>
        </w:rPr>
        <w:lastRenderedPageBreak/>
        <w:t>the current management capability that limits value and what is the adjacent capability that needs to be developed</w:t>
      </w:r>
      <w:proofErr w:type="gramEnd"/>
      <w:r w:rsidRPr="005A6A01">
        <w:rPr>
          <w:rFonts w:cs="Arial"/>
        </w:rPr>
        <w:t xml:space="preserve">. </w:t>
      </w:r>
    </w:p>
    <w:p w:rsidR="00A33A25" w:rsidRPr="005A6A01" w:rsidRDefault="00A33A25" w:rsidP="00A33A25">
      <w:pPr>
        <w:pStyle w:val="Heading2"/>
        <w:rPr>
          <w:rFonts w:cs="Arial"/>
        </w:rPr>
      </w:pPr>
      <w:bookmarkStart w:id="17" w:name="_Toc238011417"/>
      <w:r w:rsidRPr="005A6A01">
        <w:rPr>
          <w:rFonts w:cs="Arial"/>
        </w:rPr>
        <w:t xml:space="preserve">3.7 Bangladesh-specific evidence and the </w:t>
      </w:r>
      <w:proofErr w:type="spellStart"/>
      <w:r w:rsidRPr="005A6A01">
        <w:rPr>
          <w:rFonts w:cs="Arial"/>
        </w:rPr>
        <w:t>prioritised</w:t>
      </w:r>
      <w:proofErr w:type="spellEnd"/>
      <w:r w:rsidRPr="005A6A01">
        <w:rPr>
          <w:rFonts w:cs="Arial"/>
        </w:rPr>
        <w:t xml:space="preserve"> research gap</w:t>
      </w:r>
      <w:bookmarkEnd w:id="17"/>
    </w:p>
    <w:p w:rsidR="00A33A25" w:rsidRPr="005A6A01" w:rsidRDefault="00A33A25" w:rsidP="00A33A25">
      <w:pPr>
        <w:rPr>
          <w:rFonts w:cs="Arial"/>
        </w:rPr>
      </w:pPr>
      <w:r w:rsidRPr="005A6A01">
        <w:rPr>
          <w:rFonts w:cs="Arial"/>
        </w:rPr>
        <w:t xml:space="preserve">Bangladesh-specific evidence confirms the relevance of digital commerce but remains fragmented. Gao et al. (2023) report positive associations between e-commerce and digital-marketing adoption and MSME financial and sustainability performance. Hossain et al. (2024) </w:t>
      </w:r>
      <w:proofErr w:type="spellStart"/>
      <w:r w:rsidRPr="005A6A01">
        <w:rPr>
          <w:rFonts w:cs="Arial"/>
        </w:rPr>
        <w:t>emphasise</w:t>
      </w:r>
      <w:proofErr w:type="spellEnd"/>
      <w:r w:rsidRPr="005A6A01">
        <w:rPr>
          <w:rFonts w:cs="Arial"/>
        </w:rPr>
        <w:t xml:space="preserve"> critical success factors and entrepreneurial competence, while Hossain et al. (2025) focus on technological factors supporting e-commerce adoption. Collectively, these studies contest a technical explanation by demonstrating that </w:t>
      </w:r>
      <w:proofErr w:type="spellStart"/>
      <w:r w:rsidRPr="005A6A01">
        <w:rPr>
          <w:rFonts w:cs="Arial"/>
        </w:rPr>
        <w:t>organisational</w:t>
      </w:r>
      <w:proofErr w:type="spellEnd"/>
      <w:r w:rsidRPr="005A6A01">
        <w:rPr>
          <w:rFonts w:cs="Arial"/>
        </w:rPr>
        <w:t xml:space="preserve"> and managerial circumstances count. To a large extent, however, the evidence is based on cross-sectional questionnaires, general performance constructs and samples that lump sectors or firm types together.</w:t>
      </w:r>
    </w:p>
    <w:p w:rsidR="00A33A25" w:rsidRPr="005A6A01" w:rsidRDefault="00A33A25" w:rsidP="00A33A25">
      <w:pPr>
        <w:rPr>
          <w:rFonts w:cs="Arial"/>
        </w:rPr>
      </w:pPr>
      <w:r w:rsidRPr="005A6A01">
        <w:rPr>
          <w:rFonts w:cs="Arial"/>
        </w:rPr>
        <w:t>The biggest gap is not a further adoption model but a combined explanation of how Bangladeshi retail SMEs build and integrate capabilities to maintain value following adoption. Mechanisms like inventory accuracy, the return management and contribution margin are not properly studied, platform, payment and logistics dependencies are not yet a relationship that firms can direct actively and longitudinal evidence is scarce. These gaps are interrelated, as cross-sectional models have the ability to find associations without showing the ways routine develop, interact and continue to exist in an open institutional environment.</w:t>
      </w:r>
    </w:p>
    <w:p w:rsidR="00A33A25" w:rsidRPr="005A6A01" w:rsidRDefault="00A33A25" w:rsidP="00A33A25">
      <w:pPr>
        <w:rPr>
          <w:rFonts w:cs="Arial"/>
        </w:rPr>
      </w:pPr>
      <w:r w:rsidRPr="005A6A01">
        <w:rPr>
          <w:rFonts w:cs="Arial"/>
        </w:rPr>
        <w:t xml:space="preserve">To fill the gap, the proposed framework connects TOE conditions with the six-domain capability portfolio, affordance </w:t>
      </w:r>
      <w:proofErr w:type="spellStart"/>
      <w:r w:rsidRPr="005A6A01">
        <w:rPr>
          <w:rFonts w:cs="Arial"/>
        </w:rPr>
        <w:t>actualisation</w:t>
      </w:r>
      <w:proofErr w:type="spellEnd"/>
      <w:r w:rsidRPr="005A6A01">
        <w:rPr>
          <w:rFonts w:cs="Arial"/>
        </w:rPr>
        <w:t xml:space="preserve"> and four value outcomes, and learning and reconfiguration offers a feedback mechanism. It is tentative as opposed to empirically verifiable. Its contribution is thus conceptual and diagnostic: it defines mechanisms and quantifiable practices which can be tested in future through longitudinal, mixed-method or comparative designs by Bangladesh-based research.</w:t>
      </w:r>
    </w:p>
    <w:p w:rsidR="00A33A25" w:rsidRPr="005A6A01" w:rsidRDefault="00A33A25" w:rsidP="00A33A25">
      <w:pPr>
        <w:pStyle w:val="Heading2"/>
        <w:rPr>
          <w:rFonts w:cs="Arial"/>
        </w:rPr>
      </w:pPr>
      <w:bookmarkStart w:id="18" w:name="_Toc238011418"/>
      <w:r w:rsidRPr="005A6A01">
        <w:rPr>
          <w:rFonts w:cs="Arial"/>
        </w:rPr>
        <w:t>3.8 Philosophical, methodological and ethical patterns in the literature</w:t>
      </w:r>
      <w:bookmarkEnd w:id="18"/>
    </w:p>
    <w:p w:rsidR="00A33A25" w:rsidRPr="005A6A01" w:rsidRDefault="00A33A25" w:rsidP="00A33A25">
      <w:pPr>
        <w:rPr>
          <w:rFonts w:cs="Arial"/>
        </w:rPr>
      </w:pPr>
      <w:r w:rsidRPr="005A6A01">
        <w:rPr>
          <w:rFonts w:cs="Arial"/>
        </w:rPr>
        <w:t xml:space="preserve">A recent study on SME e-commerce shows opposing philosophical tendencies. In survey-based studies, the concepts of adoption, </w:t>
      </w:r>
      <w:proofErr w:type="spellStart"/>
      <w:r w:rsidRPr="005A6A01">
        <w:rPr>
          <w:rFonts w:cs="Arial"/>
        </w:rPr>
        <w:t>organisational</w:t>
      </w:r>
      <w:proofErr w:type="spellEnd"/>
      <w:r w:rsidRPr="005A6A01">
        <w:rPr>
          <w:rFonts w:cs="Arial"/>
        </w:rPr>
        <w:t xml:space="preserve"> readiness, digital capability and digital performance are often translated into measurable constructs, which are based on the premise of post-positivist assumptions that observable relationships exist between these constructs (Nguyen et al., 2022; Gao et al., 2023). </w:t>
      </w:r>
      <w:r w:rsidRPr="005A6A01">
        <w:rPr>
          <w:rFonts w:cs="Arial"/>
        </w:rPr>
        <w:lastRenderedPageBreak/>
        <w:t>This method is advantageous for comparison across larger numbers, but it has more limited explanatory power when predictors and outcomes are obtained from the same informant at the same time, since the temporal order is unspecified and association between predictors and outcomes might be inflated due to common-method variance (</w:t>
      </w:r>
      <w:proofErr w:type="spellStart"/>
      <w:r w:rsidRPr="005A6A01">
        <w:rPr>
          <w:rFonts w:cs="Arial"/>
        </w:rPr>
        <w:t>Podsakoff</w:t>
      </w:r>
      <w:proofErr w:type="spellEnd"/>
      <w:r w:rsidRPr="005A6A01">
        <w:rPr>
          <w:rFonts w:cs="Arial"/>
        </w:rPr>
        <w:t xml:space="preserve"> et al., 2003). </w:t>
      </w:r>
      <w:proofErr w:type="spellStart"/>
      <w:r w:rsidRPr="005A6A01">
        <w:rPr>
          <w:rFonts w:cs="Arial"/>
        </w:rPr>
        <w:t>Matarazzo</w:t>
      </w:r>
      <w:proofErr w:type="spellEnd"/>
      <w:r w:rsidRPr="005A6A01">
        <w:rPr>
          <w:rFonts w:cs="Arial"/>
        </w:rPr>
        <w:t xml:space="preserve"> et al. (2021) on the other hand, analyze digital transformation and customer value creation as organizational processes using multiple cases. This contrast is significant—survey designs are more robust when it comes to estimating patterned relationships while case evidence can give you a great look into how capabilities are interpreted, enacted and reconfigured in context.</w:t>
      </w:r>
    </w:p>
    <w:p w:rsidR="00A33A25" w:rsidRPr="005A6A01" w:rsidRDefault="00A33A25" w:rsidP="00A33A25">
      <w:pPr>
        <w:rPr>
          <w:rFonts w:cs="Arial"/>
        </w:rPr>
      </w:pPr>
      <w:r w:rsidRPr="005A6A01">
        <w:rPr>
          <w:rFonts w:cs="Arial"/>
        </w:rPr>
        <w:t xml:space="preserve">Critical realism is a helpful synthesis of these positions. It acknowledges that </w:t>
      </w:r>
      <w:proofErr w:type="spellStart"/>
      <w:r w:rsidRPr="005A6A01">
        <w:rPr>
          <w:rFonts w:cs="Arial"/>
        </w:rPr>
        <w:t>organisational</w:t>
      </w:r>
      <w:proofErr w:type="spellEnd"/>
      <w:r w:rsidRPr="005A6A01">
        <w:rPr>
          <w:rFonts w:cs="Arial"/>
        </w:rPr>
        <w:t xml:space="preserve"> structures and mechanisms need not be a specific participant's account, and knowledge of the structures and mechanisms is fallibly observed and interpreted (Fletcher, 2017). This is relevant to e-commerce value </w:t>
      </w:r>
      <w:proofErr w:type="spellStart"/>
      <w:r w:rsidRPr="005A6A01">
        <w:rPr>
          <w:rFonts w:cs="Arial"/>
        </w:rPr>
        <w:t>realisation</w:t>
      </w:r>
      <w:proofErr w:type="spellEnd"/>
      <w:r w:rsidRPr="005A6A01">
        <w:rPr>
          <w:rFonts w:cs="Arial"/>
        </w:rPr>
        <w:t xml:space="preserve"> as the same phenomenon, such as weak online sales, can be caused by different things alone and/or in combination, such as poor fulfilment, weak customer sensing or platform dependence. The pragmatism offers an alternative methodological approach that chooses methods based upon the research problem, as opposed to being philosophically loyal to one method (Morgan, 2014). In this topic operational evidence can provide evidence of changes in value, and interviews and process evidence can provide explanation for how and why the value changes.</w:t>
      </w:r>
    </w:p>
    <w:p w:rsidR="00A33A25" w:rsidRPr="005A6A01" w:rsidRDefault="00A33A25" w:rsidP="00A33A25">
      <w:pPr>
        <w:rPr>
          <w:rFonts w:cs="Arial"/>
        </w:rPr>
      </w:pPr>
      <w:r w:rsidRPr="005A6A01">
        <w:rPr>
          <w:rFonts w:cs="Arial"/>
        </w:rPr>
        <w:t>Axiology is also relevant because of the decisions made by the researcher about what is to be valued as significant outcomes, the participants and the interpretations (Pretorius, 2024). In the field of qualitative management studies, the relationship between researcher and participant can influence what is revealed and how the information is understood (</w:t>
      </w:r>
      <w:proofErr w:type="spellStart"/>
      <w:r w:rsidRPr="005A6A01">
        <w:rPr>
          <w:rFonts w:cs="Arial"/>
        </w:rPr>
        <w:t>Cassell</w:t>
      </w:r>
      <w:proofErr w:type="spellEnd"/>
      <w:r w:rsidRPr="005A6A01">
        <w:rPr>
          <w:rFonts w:cs="Arial"/>
        </w:rPr>
        <w:t xml:space="preserve">, 2005). Such matters are especially pertinent to SME ecommerce research as owners and employees can talk about business-sensitive data, failed ventures, customer information and platform conflicts. Thus, good data practice is necessary for informed consent, confidentiality, proportionate </w:t>
      </w:r>
      <w:proofErr w:type="spellStart"/>
      <w:r w:rsidRPr="005A6A01">
        <w:rPr>
          <w:rFonts w:cs="Arial"/>
        </w:rPr>
        <w:t>anonymisation</w:t>
      </w:r>
      <w:proofErr w:type="spellEnd"/>
      <w:r w:rsidRPr="005A6A01">
        <w:rPr>
          <w:rFonts w:cs="Arial"/>
        </w:rPr>
        <w:t xml:space="preserve"> and responsible data management (Saunders et al., 2019). There is also an interplay between ethical quality and evidential quality – if participants are aware that there may be commercial or work consequences they may be reluctant to share, and thus the interpretation may be less credible.</w:t>
      </w:r>
    </w:p>
    <w:p w:rsidR="00A33A25" w:rsidRPr="005A6A01" w:rsidRDefault="00A33A25" w:rsidP="00A33A25">
      <w:pPr>
        <w:rPr>
          <w:rFonts w:cs="Arial"/>
        </w:rPr>
      </w:pPr>
      <w:r w:rsidRPr="005A6A01">
        <w:rPr>
          <w:rFonts w:cs="Arial"/>
        </w:rPr>
        <w:lastRenderedPageBreak/>
        <w:t xml:space="preserve">Overall, the literature indicates a methodological imbalance between dynamic theoretical claims and mainly cross sectional evidence. The capability development would be better captured by longitudinal and multi-source designs, as persistence and causal sequencing would be more likely to be captured, especially if dynamic capabilities are </w:t>
      </w:r>
      <w:proofErr w:type="spellStart"/>
      <w:r w:rsidRPr="005A6A01">
        <w:rPr>
          <w:rFonts w:cs="Arial"/>
        </w:rPr>
        <w:t>theorised</w:t>
      </w:r>
      <w:proofErr w:type="spellEnd"/>
      <w:r w:rsidRPr="005A6A01">
        <w:rPr>
          <w:rFonts w:cs="Arial"/>
        </w:rPr>
        <w:t xml:space="preserve"> as processes of sensing, seizing, and transformation over time (</w:t>
      </w:r>
      <w:proofErr w:type="spellStart"/>
      <w:r w:rsidRPr="005A6A01">
        <w:rPr>
          <w:rFonts w:cs="Arial"/>
        </w:rPr>
        <w:t>Teece</w:t>
      </w:r>
      <w:proofErr w:type="spellEnd"/>
      <w:r w:rsidRPr="005A6A01">
        <w:rPr>
          <w:rFonts w:cs="Arial"/>
        </w:rPr>
        <w:t>, 2007). A critical-realist mixed-method approach is thus suitable for exploring the proposed Bangladesh framework as it can integrate measurable outcomes and evidence concerning the mechanisms and contextual conditions that produce them. This stance does not assume that one method is necessarily better than another; it is a view in which method, evidence and inference work together in the context of the question asked.</w:t>
      </w:r>
    </w:p>
    <w:p w:rsidR="00A33A25" w:rsidRPr="005A6A01" w:rsidRDefault="00A33A25" w:rsidP="00A33A25">
      <w:pPr>
        <w:pStyle w:val="Heading1"/>
        <w:rPr>
          <w:rFonts w:cs="Arial"/>
        </w:rPr>
      </w:pPr>
      <w:bookmarkStart w:id="19" w:name="_Toc238011419"/>
      <w:r w:rsidRPr="005A6A01">
        <w:rPr>
          <w:rFonts w:cs="Arial"/>
        </w:rPr>
        <w:t xml:space="preserve">4. Philosophical and Methodological Analysis of </w:t>
      </w:r>
      <w:proofErr w:type="spellStart"/>
      <w:r w:rsidRPr="005A6A01">
        <w:rPr>
          <w:rFonts w:cs="Arial"/>
        </w:rPr>
        <w:t>Matarazzo</w:t>
      </w:r>
      <w:proofErr w:type="spellEnd"/>
      <w:r w:rsidRPr="005A6A01">
        <w:rPr>
          <w:rFonts w:cs="Arial"/>
        </w:rPr>
        <w:t xml:space="preserve"> et al. (2021)</w:t>
      </w:r>
      <w:bookmarkEnd w:id="19"/>
    </w:p>
    <w:p w:rsidR="00A33A25" w:rsidRPr="005A6A01" w:rsidRDefault="00A33A25" w:rsidP="00A33A25">
      <w:pPr>
        <w:rPr>
          <w:rFonts w:cs="Arial"/>
        </w:rPr>
      </w:pPr>
      <w:proofErr w:type="spellStart"/>
      <w:r w:rsidRPr="005A6A01">
        <w:rPr>
          <w:rFonts w:cs="Arial"/>
        </w:rPr>
        <w:t>Matarazzo</w:t>
      </w:r>
      <w:proofErr w:type="spellEnd"/>
      <w:r w:rsidRPr="005A6A01">
        <w:rPr>
          <w:rFonts w:cs="Arial"/>
        </w:rPr>
        <w:t xml:space="preserve"> et al. (2021) Digital transformation and customer value creation in Made in Italy SMEs: A dynamic capabilities perspective is chosen because it is a study closer to the mechanism that is the focus of this report than a typical adoption study. It is a multiple case design based on six Italian SMEs, which connects the concepts of digital transformation, </w:t>
      </w:r>
      <w:proofErr w:type="spellStart"/>
      <w:r w:rsidRPr="005A6A01">
        <w:rPr>
          <w:rFonts w:cs="Arial"/>
        </w:rPr>
        <w:t>organisational</w:t>
      </w:r>
      <w:proofErr w:type="spellEnd"/>
      <w:r w:rsidRPr="005A6A01">
        <w:rPr>
          <w:rFonts w:cs="Arial"/>
        </w:rPr>
        <w:t xml:space="preserve"> change and customer value creation and is appropriate for assessing the interplay of philosophy, methodology and inference.</w:t>
      </w:r>
    </w:p>
    <w:p w:rsidR="00A33A25" w:rsidRPr="005A6A01" w:rsidRDefault="00A33A25" w:rsidP="00A33A25">
      <w:pPr>
        <w:rPr>
          <w:rFonts w:cs="Arial"/>
        </w:rPr>
      </w:pPr>
      <w:r w:rsidRPr="005A6A01">
        <w:rPr>
          <w:rFonts w:cs="Arial"/>
        </w:rPr>
        <w:t xml:space="preserve">The study is ontologically consistent with the perspective that the effects of </w:t>
      </w:r>
      <w:proofErr w:type="spellStart"/>
      <w:r w:rsidRPr="005A6A01">
        <w:rPr>
          <w:rFonts w:cs="Arial"/>
        </w:rPr>
        <w:t>organisational</w:t>
      </w:r>
      <w:proofErr w:type="spellEnd"/>
      <w:r w:rsidRPr="005A6A01">
        <w:rPr>
          <w:rFonts w:cs="Arial"/>
        </w:rPr>
        <w:t xml:space="preserve"> mechanisms, including sensing and learning, go beyond what a single participant may describe and epistemologically, those mechanisms are apprehended through evidence and interpretation in and of situational </w:t>
      </w:r>
      <w:proofErr w:type="spellStart"/>
      <w:r w:rsidRPr="005A6A01">
        <w:rPr>
          <w:rFonts w:cs="Arial"/>
        </w:rPr>
        <w:t>organisings</w:t>
      </w:r>
      <w:proofErr w:type="spellEnd"/>
      <w:r w:rsidRPr="005A6A01">
        <w:rPr>
          <w:rFonts w:cs="Arial"/>
        </w:rPr>
        <w:t xml:space="preserve">. </w:t>
      </w:r>
      <w:proofErr w:type="spellStart"/>
      <w:r w:rsidRPr="005A6A01">
        <w:rPr>
          <w:rFonts w:cs="Arial"/>
        </w:rPr>
        <w:t>Matarazzo</w:t>
      </w:r>
      <w:proofErr w:type="spellEnd"/>
      <w:r w:rsidRPr="005A6A01">
        <w:rPr>
          <w:rFonts w:cs="Arial"/>
        </w:rPr>
        <w:t xml:space="preserve"> et al. (2021) need not be given a "heavier" philosophical make-up than what their design offers. It makes sense, however, to read this as a critical realist as critical realism allows for explanations to be developed from observed events and participant accounts without having to assume that the mechanisms employed are universal (Fletcher, 2017).</w:t>
      </w:r>
    </w:p>
    <w:p w:rsidR="00A33A25" w:rsidRPr="005A6A01" w:rsidRDefault="00A33A25" w:rsidP="00A33A25">
      <w:pPr>
        <w:rPr>
          <w:rFonts w:cs="Arial"/>
        </w:rPr>
      </w:pPr>
      <w:r w:rsidRPr="005A6A01">
        <w:rPr>
          <w:rFonts w:cs="Arial"/>
        </w:rPr>
        <w:t xml:space="preserve">This fit is a strength because a purely positivist survey could test whether a score on a digital-capability measure is related to customer value, but it would not provide as much information on the formation of routines or on how similar technologies are used differently. On the other hand, a strong constructionist approach would highlight the </w:t>
      </w:r>
      <w:r w:rsidRPr="005A6A01">
        <w:rPr>
          <w:rFonts w:cs="Arial"/>
        </w:rPr>
        <w:lastRenderedPageBreak/>
        <w:t xml:space="preserve">process by which managers build up the meaning of ‘digital transformation'. An analytically useful midway is attained by </w:t>
      </w:r>
      <w:proofErr w:type="spellStart"/>
      <w:r w:rsidRPr="005A6A01">
        <w:rPr>
          <w:rFonts w:cs="Arial"/>
        </w:rPr>
        <w:t>Matarazzo</w:t>
      </w:r>
      <w:proofErr w:type="spellEnd"/>
      <w:r w:rsidRPr="005A6A01">
        <w:rPr>
          <w:rFonts w:cs="Arial"/>
        </w:rPr>
        <w:t xml:space="preserve"> et al. (2021) who view </w:t>
      </w:r>
      <w:proofErr w:type="spellStart"/>
      <w:r w:rsidRPr="005A6A01">
        <w:rPr>
          <w:rFonts w:cs="Arial"/>
        </w:rPr>
        <w:t>organisational</w:t>
      </w:r>
      <w:proofErr w:type="spellEnd"/>
      <w:r w:rsidRPr="005A6A01">
        <w:rPr>
          <w:rFonts w:cs="Arial"/>
        </w:rPr>
        <w:t xml:space="preserve"> accounts as evidence but create a theoretically informed explanation. This is an example of the role ontological and epistemological assumptions play in the generation of legitimate evidence and interpretation (Pretorius, 2024).</w:t>
      </w:r>
    </w:p>
    <w:p w:rsidR="00A33A25" w:rsidRPr="005A6A01" w:rsidRDefault="00A33A25" w:rsidP="00A33A25">
      <w:pPr>
        <w:rPr>
          <w:rFonts w:cs="Arial"/>
        </w:rPr>
      </w:pPr>
      <w:r w:rsidRPr="005A6A01">
        <w:rPr>
          <w:rFonts w:cs="Arial"/>
        </w:rPr>
        <w:t xml:space="preserve">Methodologically, the six case design allows cross case comparison of the occurrence of similar processes under different </w:t>
      </w:r>
      <w:proofErr w:type="spellStart"/>
      <w:r w:rsidRPr="005A6A01">
        <w:rPr>
          <w:rFonts w:cs="Arial"/>
        </w:rPr>
        <w:t>organisational</w:t>
      </w:r>
      <w:proofErr w:type="spellEnd"/>
      <w:r w:rsidRPr="005A6A01">
        <w:rPr>
          <w:rFonts w:cs="Arial"/>
        </w:rPr>
        <w:t xml:space="preserve"> conditions. Thus, </w:t>
      </w:r>
      <w:proofErr w:type="spellStart"/>
      <w:r w:rsidRPr="005A6A01">
        <w:rPr>
          <w:rFonts w:cs="Arial"/>
        </w:rPr>
        <w:t>Matarazzo</w:t>
      </w:r>
      <w:proofErr w:type="spellEnd"/>
      <w:r w:rsidRPr="005A6A01">
        <w:rPr>
          <w:rFonts w:cs="Arial"/>
        </w:rPr>
        <w:t xml:space="preserve"> et al. (2021) can offer more evidence of the mechanism of a single case design, but it is not able to determine prevalence. Case research is not aimed at statistical </w:t>
      </w:r>
      <w:proofErr w:type="spellStart"/>
      <w:r w:rsidRPr="005A6A01">
        <w:rPr>
          <w:rFonts w:cs="Arial"/>
        </w:rPr>
        <w:t>generalisation</w:t>
      </w:r>
      <w:proofErr w:type="spellEnd"/>
      <w:r w:rsidRPr="005A6A01">
        <w:rPr>
          <w:rFonts w:cs="Arial"/>
        </w:rPr>
        <w:t xml:space="preserve">, but rather analytical </w:t>
      </w:r>
      <w:proofErr w:type="spellStart"/>
      <w:r w:rsidRPr="005A6A01">
        <w:rPr>
          <w:rFonts w:cs="Arial"/>
        </w:rPr>
        <w:t>generalisation</w:t>
      </w:r>
      <w:proofErr w:type="spellEnd"/>
      <w:r w:rsidRPr="005A6A01">
        <w:rPr>
          <w:rFonts w:cs="Arial"/>
        </w:rPr>
        <w:t>, and the extent of transfer is dependent on the coherence of the theoretical reasoning and the transparency of evidence-to-claim chain (Yin, 2018).</w:t>
      </w:r>
    </w:p>
    <w:p w:rsidR="00A33A25" w:rsidRPr="005A6A01" w:rsidRDefault="00A33A25" w:rsidP="00A33A25">
      <w:pPr>
        <w:rPr>
          <w:rFonts w:cs="Arial"/>
        </w:rPr>
      </w:pPr>
      <w:r w:rsidRPr="005A6A01">
        <w:rPr>
          <w:rFonts w:cs="Arial"/>
        </w:rPr>
        <w:t xml:space="preserve">Transferability is a key constraint, as a result. The ‘Made in Italy’ context may include aspects such as brand reputation, export orientation or customer relationship that are different from many Bangladeshi retail SMEs. </w:t>
      </w:r>
      <w:proofErr w:type="spellStart"/>
      <w:r w:rsidRPr="005A6A01">
        <w:rPr>
          <w:rFonts w:cs="Arial"/>
        </w:rPr>
        <w:t>Matarazzo</w:t>
      </w:r>
      <w:proofErr w:type="spellEnd"/>
      <w:r w:rsidRPr="005A6A01">
        <w:rPr>
          <w:rFonts w:cs="Arial"/>
        </w:rPr>
        <w:t xml:space="preserve"> et al. (2021) should therefore be transferred at the level of mechanism rather than copied as a template. Sensing and learning remain plausible capabilities, but platform dependence, logistics variability, payment practices and resource scarcity may alter how those mechanisms operate in Bangladesh (Hossain et al., 2025).</w:t>
      </w:r>
    </w:p>
    <w:p w:rsidR="00A33A25" w:rsidRPr="005A6A01" w:rsidRDefault="00A33A25" w:rsidP="00A33A25">
      <w:pPr>
        <w:rPr>
          <w:rFonts w:cs="Arial"/>
        </w:rPr>
      </w:pPr>
      <w:r w:rsidRPr="005A6A01">
        <w:rPr>
          <w:rFonts w:cs="Arial"/>
        </w:rPr>
        <w:t xml:space="preserve">Reliability is better interpreted as dependability and transparency than literal repeatability in qualitative case research (Lincoln and </w:t>
      </w:r>
      <w:proofErr w:type="spellStart"/>
      <w:r w:rsidRPr="005A6A01">
        <w:rPr>
          <w:rFonts w:cs="Arial"/>
        </w:rPr>
        <w:t>Guba</w:t>
      </w:r>
      <w:proofErr w:type="spellEnd"/>
      <w:r w:rsidRPr="005A6A01">
        <w:rPr>
          <w:rFonts w:cs="Arial"/>
        </w:rPr>
        <w:t xml:space="preserve">, 1985). Confidence in </w:t>
      </w:r>
      <w:proofErr w:type="spellStart"/>
      <w:r w:rsidRPr="005A6A01">
        <w:rPr>
          <w:rFonts w:cs="Arial"/>
        </w:rPr>
        <w:t>Matarazzo</w:t>
      </w:r>
      <w:proofErr w:type="spellEnd"/>
      <w:r w:rsidRPr="005A6A01">
        <w:rPr>
          <w:rFonts w:cs="Arial"/>
        </w:rPr>
        <w:t xml:space="preserve"> et al. (2021) therefore depends on a clear and auditable connection between case evidence and theoretical interpretation. Yin (2018) similarly </w:t>
      </w:r>
      <w:proofErr w:type="spellStart"/>
      <w:r w:rsidRPr="005A6A01">
        <w:rPr>
          <w:rFonts w:cs="Arial"/>
        </w:rPr>
        <w:t>emphasises</w:t>
      </w:r>
      <w:proofErr w:type="spellEnd"/>
      <w:r w:rsidRPr="005A6A01">
        <w:rPr>
          <w:rFonts w:cs="Arial"/>
        </w:rPr>
        <w:t xml:space="preserve"> case protocols and traceable evidence. Reporting convergent and contradictory evidence would further minimize the risk that the language of dynamic capabilities was understood predominantly in successful cases only.</w:t>
      </w:r>
    </w:p>
    <w:p w:rsidR="00A33A25" w:rsidRPr="005A6A01" w:rsidRDefault="00A33A25" w:rsidP="00A33A25">
      <w:pPr>
        <w:rPr>
          <w:rFonts w:cs="Arial"/>
        </w:rPr>
      </w:pPr>
      <w:r w:rsidRPr="005A6A01">
        <w:rPr>
          <w:rFonts w:cs="Arial"/>
        </w:rPr>
        <w:t xml:space="preserve">Validity also must include the breaking up into components. Construct validity relies on evidence of digital transformation, dynamic capability, and customer value are consistent with their theoretical definitions, while explanatory validity must consider alternative causes, the direction of causal flow, and negative cases (Yin, 2018). As in </w:t>
      </w:r>
      <w:proofErr w:type="spellStart"/>
      <w:r w:rsidRPr="005A6A01">
        <w:rPr>
          <w:rFonts w:cs="Arial"/>
        </w:rPr>
        <w:t>Matarazzo</w:t>
      </w:r>
      <w:proofErr w:type="spellEnd"/>
      <w:r w:rsidRPr="005A6A01">
        <w:rPr>
          <w:rFonts w:cs="Arial"/>
        </w:rPr>
        <w:t xml:space="preserve"> et al. (2021), the importance of case comparison is thus not so much the quantity of the firms as the fact that evidence substantiates the proposed mechanism </w:t>
      </w:r>
      <w:r w:rsidRPr="005A6A01">
        <w:rPr>
          <w:rFonts w:cs="Arial"/>
        </w:rPr>
        <w:lastRenderedPageBreak/>
        <w:t>more than it does plausible alternative ones. Triangulation reinforces inference if it neither reinforces nor simply reiterates the same interpretation.</w:t>
      </w:r>
    </w:p>
    <w:p w:rsidR="00A33A25" w:rsidRPr="005A6A01" w:rsidRDefault="00A33A25" w:rsidP="00A33A25">
      <w:pPr>
        <w:rPr>
          <w:rFonts w:cs="Arial"/>
        </w:rPr>
      </w:pPr>
      <w:r w:rsidRPr="005A6A01">
        <w:rPr>
          <w:rFonts w:cs="Arial"/>
        </w:rPr>
        <w:t>Temporal evidence is especially critical as dynamic capabilities are about sensing, seizing, and transforming over time (</w:t>
      </w:r>
      <w:proofErr w:type="spellStart"/>
      <w:r w:rsidRPr="005A6A01">
        <w:rPr>
          <w:rFonts w:cs="Arial"/>
        </w:rPr>
        <w:t>Teece</w:t>
      </w:r>
      <w:proofErr w:type="spellEnd"/>
      <w:r w:rsidRPr="005A6A01">
        <w:rPr>
          <w:rFonts w:cs="Arial"/>
        </w:rPr>
        <w:t xml:space="preserve">, 2007). The interpretation of </w:t>
      </w:r>
      <w:proofErr w:type="spellStart"/>
      <w:r w:rsidRPr="005A6A01">
        <w:rPr>
          <w:rFonts w:cs="Arial"/>
        </w:rPr>
        <w:t>Matarazzo</w:t>
      </w:r>
      <w:proofErr w:type="spellEnd"/>
      <w:r w:rsidRPr="005A6A01">
        <w:rPr>
          <w:rFonts w:cs="Arial"/>
        </w:rPr>
        <w:t xml:space="preserve"> et al. (2021) is best applied when it is possible to see that customer value has changed as a result of changes in their routine and deployment of resources, and not just in the ex-post view of successful results. Case inference can be enhanced by multiple sources of information and time-stamped evidence (Yin, 2018). Future research would benefit from repeating the interviews, </w:t>
      </w:r>
      <w:proofErr w:type="spellStart"/>
      <w:r w:rsidRPr="005A6A01">
        <w:rPr>
          <w:rFonts w:cs="Arial"/>
        </w:rPr>
        <w:t>analysing</w:t>
      </w:r>
      <w:proofErr w:type="spellEnd"/>
      <w:r w:rsidRPr="005A6A01">
        <w:rPr>
          <w:rFonts w:cs="Arial"/>
        </w:rPr>
        <w:t xml:space="preserve"> the platforms, operational records and documentary evidence to differentiate effects from causes and to understand if effects carry over or not.</w:t>
      </w:r>
    </w:p>
    <w:p w:rsidR="00A33A25" w:rsidRPr="005A6A01" w:rsidRDefault="00A33A25" w:rsidP="00A33A25">
      <w:pPr>
        <w:rPr>
          <w:rFonts w:cs="Arial"/>
        </w:rPr>
      </w:pPr>
      <w:r w:rsidRPr="005A6A01">
        <w:rPr>
          <w:rFonts w:cs="Arial"/>
        </w:rPr>
        <w:t xml:space="preserve">From an axiological point of view, the qualitative interpretation is not value free. Researchers determine the significant episodes and how evidence is coded, and which theoretical language is used to frame the narrative (Pretorius, 2024). Reflexivity is thus important when </w:t>
      </w:r>
      <w:proofErr w:type="spellStart"/>
      <w:r w:rsidRPr="005A6A01">
        <w:rPr>
          <w:rFonts w:cs="Arial"/>
        </w:rPr>
        <w:t>analysing</w:t>
      </w:r>
      <w:proofErr w:type="spellEnd"/>
      <w:r w:rsidRPr="005A6A01">
        <w:rPr>
          <w:rFonts w:cs="Arial"/>
        </w:rPr>
        <w:t xml:space="preserve"> a study like </w:t>
      </w:r>
      <w:proofErr w:type="spellStart"/>
      <w:r w:rsidRPr="005A6A01">
        <w:rPr>
          <w:rFonts w:cs="Arial"/>
        </w:rPr>
        <w:t>Matarazzo</w:t>
      </w:r>
      <w:proofErr w:type="spellEnd"/>
      <w:r w:rsidRPr="005A6A01">
        <w:rPr>
          <w:rFonts w:cs="Arial"/>
        </w:rPr>
        <w:t xml:space="preserve"> et al. (2021) as the language of DT can provide for success-oriented narratives. </w:t>
      </w:r>
      <w:proofErr w:type="spellStart"/>
      <w:r w:rsidRPr="005A6A01">
        <w:rPr>
          <w:rFonts w:cs="Arial"/>
        </w:rPr>
        <w:t>Cassell</w:t>
      </w:r>
      <w:proofErr w:type="spellEnd"/>
      <w:r w:rsidRPr="005A6A01">
        <w:rPr>
          <w:rFonts w:cs="Arial"/>
        </w:rPr>
        <w:t xml:space="preserve"> (2005) demonstrates more generally how the researcher's identity and approach to interaction may inflect the management interview; the mapping of assumption and access conditions contributes to the interpretive transparency.</w:t>
      </w:r>
    </w:p>
    <w:p w:rsidR="00A33A25" w:rsidRPr="005A6A01" w:rsidRDefault="00A33A25" w:rsidP="00A33A25">
      <w:pPr>
        <w:rPr>
          <w:rFonts w:cs="Arial"/>
        </w:rPr>
      </w:pPr>
      <w:r w:rsidRPr="005A6A01">
        <w:rPr>
          <w:rFonts w:cs="Arial"/>
        </w:rPr>
        <w:t xml:space="preserve">SME research can be ethically benign, with little physical risk and a high degree of commercial sensitivity. Competitive information can be revealed through failures of initiatives, financial results, strategy, and customer information. Saunders et al. (2019) highlight the need for informed consent, confidentiality and responsible data management in business research. These principles are relevant also in assessing case-based work – </w:t>
      </w:r>
      <w:proofErr w:type="spellStart"/>
      <w:r w:rsidRPr="005A6A01">
        <w:rPr>
          <w:rFonts w:cs="Arial"/>
        </w:rPr>
        <w:t>Matarazzo</w:t>
      </w:r>
      <w:proofErr w:type="spellEnd"/>
      <w:r w:rsidRPr="005A6A01">
        <w:rPr>
          <w:rFonts w:cs="Arial"/>
        </w:rPr>
        <w:t xml:space="preserve"> et al. (2021) – voluntary participation, secure storage and proportionate </w:t>
      </w:r>
      <w:proofErr w:type="spellStart"/>
      <w:r w:rsidRPr="005A6A01">
        <w:rPr>
          <w:rFonts w:cs="Arial"/>
        </w:rPr>
        <w:t>anonymisation</w:t>
      </w:r>
      <w:proofErr w:type="spellEnd"/>
      <w:r w:rsidRPr="005A6A01">
        <w:rPr>
          <w:rFonts w:cs="Arial"/>
        </w:rPr>
        <w:t xml:space="preserve"> protects the participants; weak confidentiality can also compromise evidential credibility – what is presented is different.</w:t>
      </w:r>
    </w:p>
    <w:p w:rsidR="00A33A25" w:rsidRPr="005A6A01" w:rsidRDefault="00A33A25" w:rsidP="00A33A25">
      <w:pPr>
        <w:rPr>
          <w:rFonts w:cs="Arial"/>
        </w:rPr>
      </w:pPr>
      <w:r w:rsidRPr="005A6A01">
        <w:rPr>
          <w:rFonts w:cs="Arial"/>
        </w:rPr>
        <w:t xml:space="preserve">The alternative methods would be used to address different questions instead of enhancing the same design. A positivist survey could be used to determine the prevalence and strength of the relationship; a constructionist study could be used to examine how managers construct meanings of digital transformation but would make causal-mechanism claims more cautious. For the Bangladesh problem, a methodologically stronger extension of </w:t>
      </w:r>
      <w:proofErr w:type="spellStart"/>
      <w:r w:rsidRPr="005A6A01">
        <w:rPr>
          <w:rFonts w:cs="Arial"/>
        </w:rPr>
        <w:t>Matarazzo</w:t>
      </w:r>
      <w:proofErr w:type="spellEnd"/>
      <w:r w:rsidRPr="005A6A01">
        <w:rPr>
          <w:rFonts w:cs="Arial"/>
        </w:rPr>
        <w:t xml:space="preserve"> et al. (2021) would preserve </w:t>
      </w:r>
      <w:r w:rsidRPr="005A6A01">
        <w:rPr>
          <w:rFonts w:cs="Arial"/>
        </w:rPr>
        <w:lastRenderedPageBreak/>
        <w:t xml:space="preserve">comparative case depth while adding longitudinal and multi-source evidence. Following retail SMEs through specific digital changes and linking interviews with operational outcomes would improve temporal inference, test contextual variation and retain the study's principal strength: explanation of how </w:t>
      </w:r>
      <w:proofErr w:type="spellStart"/>
      <w:r w:rsidRPr="005A6A01">
        <w:rPr>
          <w:rFonts w:cs="Arial"/>
        </w:rPr>
        <w:t>organisational</w:t>
      </w:r>
      <w:proofErr w:type="spellEnd"/>
      <w:r w:rsidRPr="005A6A01">
        <w:rPr>
          <w:rFonts w:cs="Arial"/>
        </w:rPr>
        <w:t xml:space="preserve"> change produces value.</w:t>
      </w:r>
    </w:p>
    <w:p w:rsidR="00A33A25" w:rsidRPr="005A6A01" w:rsidRDefault="00A33A25" w:rsidP="00A33A25">
      <w:pPr>
        <w:pStyle w:val="Heading1"/>
        <w:rPr>
          <w:rFonts w:cs="Arial"/>
        </w:rPr>
      </w:pPr>
      <w:bookmarkStart w:id="20" w:name="_Toc238011420"/>
      <w:r w:rsidRPr="005A6A01">
        <w:rPr>
          <w:rFonts w:cs="Arial"/>
        </w:rPr>
        <w:t>5. Integrative Discussion</w:t>
      </w:r>
      <w:bookmarkEnd w:id="20"/>
    </w:p>
    <w:p w:rsidR="00A33A25" w:rsidRPr="005A6A01" w:rsidRDefault="00A33A25" w:rsidP="00A33A25">
      <w:pPr>
        <w:rPr>
          <w:rFonts w:cs="Arial"/>
        </w:rPr>
      </w:pPr>
      <w:r w:rsidRPr="005A6A01">
        <w:rPr>
          <w:rFonts w:cs="Arial"/>
        </w:rPr>
        <w:t xml:space="preserve">Apparent disagreement across the literature largely reflects differences in what is being explained and how it is measured. Adoption-oriented studies identify conditions associated with uptake, whereas post-adoption research examines how digital use becomes performance. Nguyen et al. (2022) </w:t>
      </w:r>
      <w:proofErr w:type="spellStart"/>
      <w:r w:rsidRPr="005A6A01">
        <w:rPr>
          <w:rFonts w:cs="Arial"/>
        </w:rPr>
        <w:t>emphasise</w:t>
      </w:r>
      <w:proofErr w:type="spellEnd"/>
      <w:r w:rsidRPr="005A6A01">
        <w:rPr>
          <w:rFonts w:cs="Arial"/>
        </w:rPr>
        <w:t xml:space="preserve"> contextual antecedents of online-retailing </w:t>
      </w:r>
      <w:proofErr w:type="spellStart"/>
      <w:r w:rsidRPr="005A6A01">
        <w:rPr>
          <w:rFonts w:cs="Arial"/>
        </w:rPr>
        <w:t>utilisation</w:t>
      </w:r>
      <w:proofErr w:type="spellEnd"/>
      <w:r w:rsidRPr="005A6A01">
        <w:rPr>
          <w:rFonts w:cs="Arial"/>
        </w:rPr>
        <w:t xml:space="preserve">, while </w:t>
      </w:r>
      <w:proofErr w:type="gramStart"/>
      <w:r w:rsidRPr="005A6A01">
        <w:rPr>
          <w:rFonts w:cs="Arial"/>
        </w:rPr>
        <w:t>Gao et al</w:t>
      </w:r>
      <w:proofErr w:type="gramEnd"/>
      <w:r w:rsidRPr="005A6A01">
        <w:rPr>
          <w:rFonts w:cs="Arial"/>
        </w:rPr>
        <w:t xml:space="preserve">. (2023) report positive associations between e-commerce adoption and SME performance. In contrast, </w:t>
      </w:r>
      <w:proofErr w:type="spellStart"/>
      <w:r w:rsidRPr="005A6A01">
        <w:rPr>
          <w:rFonts w:cs="Arial"/>
        </w:rPr>
        <w:t>Merín-Rodrigáñez</w:t>
      </w:r>
      <w:proofErr w:type="spellEnd"/>
      <w:r w:rsidRPr="005A6A01">
        <w:rPr>
          <w:rFonts w:cs="Arial"/>
        </w:rPr>
        <w:t xml:space="preserve"> et al. (2024) identify business-model innovation as a partial pathway to performance, and </w:t>
      </w:r>
      <w:proofErr w:type="spellStart"/>
      <w:r w:rsidRPr="005A6A01">
        <w:rPr>
          <w:rFonts w:cs="Arial"/>
        </w:rPr>
        <w:t>Matarazzo</w:t>
      </w:r>
      <w:proofErr w:type="spellEnd"/>
      <w:r w:rsidRPr="005A6A01">
        <w:rPr>
          <w:rFonts w:cs="Arial"/>
        </w:rPr>
        <w:t xml:space="preserve"> et al. (2021) locate value creation in sensing, learning and </w:t>
      </w:r>
      <w:proofErr w:type="spellStart"/>
      <w:r w:rsidRPr="005A6A01">
        <w:rPr>
          <w:rFonts w:cs="Arial"/>
        </w:rPr>
        <w:t>organisational</w:t>
      </w:r>
      <w:proofErr w:type="spellEnd"/>
      <w:r w:rsidRPr="005A6A01">
        <w:rPr>
          <w:rFonts w:cs="Arial"/>
        </w:rPr>
        <w:t xml:space="preserve"> change. These findings therefore address different stages of </w:t>
      </w:r>
      <w:proofErr w:type="spellStart"/>
      <w:r w:rsidRPr="005A6A01">
        <w:rPr>
          <w:rFonts w:cs="Arial"/>
        </w:rPr>
        <w:t>digitalisation</w:t>
      </w:r>
      <w:proofErr w:type="spellEnd"/>
      <w:r w:rsidRPr="005A6A01">
        <w:rPr>
          <w:rFonts w:cs="Arial"/>
        </w:rPr>
        <w:t xml:space="preserve"> rather than necessarily contradicting one another.</w:t>
      </w:r>
    </w:p>
    <w:p w:rsidR="00A33A25" w:rsidRPr="005A6A01" w:rsidRDefault="00A33A25" w:rsidP="00A33A25">
      <w:pPr>
        <w:rPr>
          <w:rFonts w:cs="Arial"/>
        </w:rPr>
      </w:pPr>
      <w:r w:rsidRPr="005A6A01">
        <w:rPr>
          <w:rFonts w:cs="Arial"/>
        </w:rPr>
        <w:t xml:space="preserve">The theory comparison is in </w:t>
      </w:r>
      <w:proofErr w:type="spellStart"/>
      <w:r w:rsidRPr="005A6A01">
        <w:rPr>
          <w:rFonts w:cs="Arial"/>
        </w:rPr>
        <w:t>favour</w:t>
      </w:r>
      <w:proofErr w:type="spellEnd"/>
      <w:r w:rsidRPr="005A6A01">
        <w:rPr>
          <w:rFonts w:cs="Arial"/>
        </w:rPr>
        <w:t xml:space="preserve"> of the layered interpretation. TOE helps to identify contextual enablers and constraints, but provides only limited explanation of how </w:t>
      </w:r>
      <w:proofErr w:type="spellStart"/>
      <w:r w:rsidRPr="005A6A01">
        <w:rPr>
          <w:rFonts w:cs="Arial"/>
        </w:rPr>
        <w:t>favourable</w:t>
      </w:r>
      <w:proofErr w:type="spellEnd"/>
      <w:r w:rsidRPr="005A6A01">
        <w:rPr>
          <w:rFonts w:cs="Arial"/>
        </w:rPr>
        <w:t xml:space="preserve"> conditions become value over time. RBV explains why similar technologies can lead to different outcomes as value is dependent on complementary resources (Barney, 1991). Dynamic capabilities offer the best process explanation for post-adoption value as they concern adaptation over time (</w:t>
      </w:r>
      <w:proofErr w:type="spellStart"/>
      <w:r w:rsidRPr="005A6A01">
        <w:rPr>
          <w:rFonts w:cs="Arial"/>
        </w:rPr>
        <w:t>Teece</w:t>
      </w:r>
      <w:proofErr w:type="spellEnd"/>
      <w:r w:rsidRPr="005A6A01">
        <w:rPr>
          <w:rFonts w:cs="Arial"/>
        </w:rPr>
        <w:t xml:space="preserve">, 2007), and as sensing, seizing and reconfiguration are all part of adaptation over time. The process logic is supported by </w:t>
      </w:r>
      <w:proofErr w:type="spellStart"/>
      <w:r w:rsidRPr="005A6A01">
        <w:rPr>
          <w:rFonts w:cs="Arial"/>
        </w:rPr>
        <w:t>Matarazzo</w:t>
      </w:r>
      <w:proofErr w:type="spellEnd"/>
      <w:r w:rsidRPr="005A6A01">
        <w:rPr>
          <w:rFonts w:cs="Arial"/>
        </w:rPr>
        <w:t xml:space="preserve"> et al. 2021, and </w:t>
      </w:r>
      <w:proofErr w:type="spellStart"/>
      <w:r w:rsidRPr="005A6A01">
        <w:rPr>
          <w:rFonts w:cs="Arial"/>
        </w:rPr>
        <w:t>Ballerini</w:t>
      </w:r>
      <w:proofErr w:type="spellEnd"/>
      <w:r w:rsidRPr="005A6A01">
        <w:rPr>
          <w:rFonts w:cs="Arial"/>
        </w:rPr>
        <w:t xml:space="preserve"> et al. 2023, demonstrate how affordances explain the </w:t>
      </w:r>
      <w:proofErr w:type="spellStart"/>
      <w:r w:rsidRPr="005A6A01">
        <w:rPr>
          <w:rFonts w:cs="Arial"/>
        </w:rPr>
        <w:t>actualisation</w:t>
      </w:r>
      <w:proofErr w:type="spellEnd"/>
      <w:r w:rsidRPr="005A6A01">
        <w:rPr>
          <w:rFonts w:cs="Arial"/>
        </w:rPr>
        <w:t xml:space="preserve"> of technology-enabled possibilities. Theories are thus complementary if both have different explanatory roles.</w:t>
      </w:r>
    </w:p>
    <w:p w:rsidR="00A33A25" w:rsidRPr="005A6A01" w:rsidRDefault="00A33A25" w:rsidP="00A33A25">
      <w:pPr>
        <w:rPr>
          <w:rFonts w:cs="Arial"/>
        </w:rPr>
      </w:pPr>
      <w:r w:rsidRPr="005A6A01">
        <w:rPr>
          <w:rFonts w:cs="Arial"/>
        </w:rPr>
        <w:t xml:space="preserve">The most significant mechanisms are not necessarily the ones which are the most technologically advanced. Yu et al. (2022) link digital-transformation capability to operational performance and </w:t>
      </w:r>
      <w:proofErr w:type="spellStart"/>
      <w:r w:rsidRPr="005A6A01">
        <w:rPr>
          <w:rFonts w:cs="Arial"/>
        </w:rPr>
        <w:t>Ballerini</w:t>
      </w:r>
      <w:proofErr w:type="spellEnd"/>
      <w:r w:rsidRPr="005A6A01">
        <w:rPr>
          <w:rFonts w:cs="Arial"/>
        </w:rPr>
        <w:t xml:space="preserve"> et al. (2023) demonstrate the contribution of consumer-knowledge generation to performance. In that situation, dependable order and inventory integration, margin consciousness, fulfilment control and disciplined learning might then deliver more instant value for the resource-poor retailers, whilst fundamental processes stay precarious. Capability development should be driven by </w:t>
      </w:r>
      <w:r w:rsidRPr="005A6A01">
        <w:rPr>
          <w:rFonts w:cs="Arial"/>
        </w:rPr>
        <w:lastRenderedPageBreak/>
        <w:t>the bottle-neck: if the deliveries are failing, the focus should be on delivery and ecosystem capability; if the deliveries are stable but there is no good repeat purchase, then the focus should be on analytics and customer engagement.</w:t>
      </w:r>
    </w:p>
    <w:p w:rsidR="00A33A25" w:rsidRPr="005A6A01" w:rsidRDefault="00A33A25" w:rsidP="00A33A25">
      <w:pPr>
        <w:rPr>
          <w:rFonts w:cs="Arial"/>
        </w:rPr>
      </w:pPr>
      <w:r w:rsidRPr="005A6A01">
        <w:rPr>
          <w:rFonts w:cs="Arial"/>
        </w:rPr>
        <w:t xml:space="preserve">Capability interactions also seem to be more configurational than just additive. Leadership can't create value without systems integration and fulfilment, and analytics can drive up demand only to see </w:t>
      </w:r>
      <w:proofErr w:type="spellStart"/>
      <w:r w:rsidRPr="005A6A01">
        <w:rPr>
          <w:rFonts w:cs="Arial"/>
        </w:rPr>
        <w:t>realised</w:t>
      </w:r>
      <w:proofErr w:type="spellEnd"/>
      <w:r w:rsidRPr="005A6A01">
        <w:rPr>
          <w:rFonts w:cs="Arial"/>
        </w:rPr>
        <w:t xml:space="preserve"> value fall if either inventory accuracy or delivery capability is low. This is in line with the dynamic-capability perspective which sees resources as not just stand-alone assets but ones that need to be combined and reconfigured (</w:t>
      </w:r>
      <w:proofErr w:type="spellStart"/>
      <w:r w:rsidRPr="005A6A01">
        <w:rPr>
          <w:rFonts w:cs="Arial"/>
        </w:rPr>
        <w:t>Teece</w:t>
      </w:r>
      <w:proofErr w:type="spellEnd"/>
      <w:r w:rsidRPr="005A6A01">
        <w:rPr>
          <w:rFonts w:cs="Arial"/>
        </w:rPr>
        <w:t xml:space="preserve">, 2007). Similar aggregate capability scores may therefore conceal different operational bottlenecks. The managerial implication is sequencing rather than </w:t>
      </w:r>
      <w:proofErr w:type="spellStart"/>
      <w:r w:rsidRPr="005A6A01">
        <w:rPr>
          <w:rFonts w:cs="Arial"/>
        </w:rPr>
        <w:t>maximisation</w:t>
      </w:r>
      <w:proofErr w:type="spellEnd"/>
      <w:r w:rsidRPr="005A6A01">
        <w:rPr>
          <w:rFonts w:cs="Arial"/>
        </w:rPr>
        <w:t>: basic control over orders, inventory, payments and fulfilment should support investments whose returns depend on those foundations.</w:t>
      </w:r>
    </w:p>
    <w:p w:rsidR="00A33A25" w:rsidRPr="005A6A01" w:rsidRDefault="00A33A25" w:rsidP="00A33A25">
      <w:pPr>
        <w:rPr>
          <w:rFonts w:cs="Arial"/>
        </w:rPr>
      </w:pPr>
      <w:r w:rsidRPr="005A6A01">
        <w:rPr>
          <w:rFonts w:cs="Arial"/>
        </w:rPr>
        <w:t>Going beyond revenue growth should also be used to measure performance. Gao et al. (2023) illustrate the importance of using e-commerce as a part of wider performance measures, although financial measures should be complemented with operational, customer and strategic measures. For Retail SMEs in Bangladesh, contribution margin by channel, fulfilment success, repeat purchase, platform concentration would become more relevant in understanding digital growth in relation to liquidity, execution quality and resilience as compared to just traffic and gross sales.</w:t>
      </w:r>
    </w:p>
    <w:p w:rsidR="00A33A25" w:rsidRPr="005A6A01" w:rsidRDefault="00A33A25" w:rsidP="00A33A25">
      <w:pPr>
        <w:rPr>
          <w:rFonts w:cs="Arial"/>
        </w:rPr>
      </w:pPr>
      <w:r w:rsidRPr="005A6A01">
        <w:rPr>
          <w:rFonts w:cs="Arial"/>
        </w:rPr>
        <w:t>The methodological limitation is the lack of dynamic claims and mostly static evidence. The cross-sectional designs create association, but are not able to provide evidence of capability formation, temporal sequencing or persistence, and common-source self-report measures also result in common-method bias (</w:t>
      </w:r>
      <w:proofErr w:type="spellStart"/>
      <w:r w:rsidRPr="005A6A01">
        <w:rPr>
          <w:rFonts w:cs="Arial"/>
        </w:rPr>
        <w:t>Podsakoff</w:t>
      </w:r>
      <w:proofErr w:type="spellEnd"/>
      <w:r w:rsidRPr="005A6A01">
        <w:rPr>
          <w:rFonts w:cs="Arial"/>
        </w:rPr>
        <w:t xml:space="preserve"> et al., 2003). In comparison, </w:t>
      </w:r>
      <w:proofErr w:type="spellStart"/>
      <w:r w:rsidRPr="005A6A01">
        <w:rPr>
          <w:rFonts w:cs="Arial"/>
        </w:rPr>
        <w:t>Matarazzo</w:t>
      </w:r>
      <w:proofErr w:type="spellEnd"/>
      <w:r w:rsidRPr="005A6A01">
        <w:rPr>
          <w:rFonts w:cs="Arial"/>
        </w:rPr>
        <w:t xml:space="preserve"> et al. (2021) offer more process evidence across several cases, but at the expense of the depth of context and hence statistical </w:t>
      </w:r>
      <w:proofErr w:type="spellStart"/>
      <w:r w:rsidRPr="005A6A01">
        <w:rPr>
          <w:rFonts w:cs="Arial"/>
        </w:rPr>
        <w:t>generalisation</w:t>
      </w:r>
      <w:proofErr w:type="spellEnd"/>
      <w:r w:rsidRPr="005A6A01">
        <w:rPr>
          <w:rFonts w:cs="Arial"/>
        </w:rPr>
        <w:t xml:space="preserve">. To address the question of why capability trajectories and value outcomes differ, repeated measures and process evidence – longitudinal operational data – are therefore required. The synthesis as a whole moves beyond a list of adoption determinants by providing some details on where </w:t>
      </w:r>
      <w:proofErr w:type="spellStart"/>
      <w:r w:rsidRPr="005A6A01">
        <w:rPr>
          <w:rFonts w:cs="Arial"/>
        </w:rPr>
        <w:t>organisational</w:t>
      </w:r>
      <w:proofErr w:type="spellEnd"/>
      <w:r w:rsidRPr="005A6A01">
        <w:rPr>
          <w:rFonts w:cs="Arial"/>
        </w:rPr>
        <w:t xml:space="preserve"> intervention can take place and how future research can examine the proposed mechanisms.</w:t>
      </w:r>
    </w:p>
    <w:p w:rsidR="00A33A25" w:rsidRPr="005A6A01" w:rsidRDefault="00A33A25" w:rsidP="00A33A25">
      <w:pPr>
        <w:pStyle w:val="Heading1"/>
        <w:rPr>
          <w:rFonts w:cs="Arial"/>
        </w:rPr>
      </w:pPr>
      <w:bookmarkStart w:id="21" w:name="_Toc238011421"/>
      <w:r w:rsidRPr="005A6A01">
        <w:rPr>
          <w:rFonts w:cs="Arial"/>
        </w:rPr>
        <w:lastRenderedPageBreak/>
        <w:t xml:space="preserve">6. Proposed </w:t>
      </w:r>
      <w:proofErr w:type="spellStart"/>
      <w:r w:rsidRPr="005A6A01">
        <w:rPr>
          <w:rFonts w:cs="Arial"/>
        </w:rPr>
        <w:t>Organisational</w:t>
      </w:r>
      <w:proofErr w:type="spellEnd"/>
      <w:r w:rsidRPr="005A6A01">
        <w:rPr>
          <w:rFonts w:cs="Arial"/>
        </w:rPr>
        <w:t xml:space="preserve"> Capability Framework</w:t>
      </w:r>
      <w:bookmarkEnd w:id="21"/>
    </w:p>
    <w:p w:rsidR="00A33A25" w:rsidRPr="005A6A01" w:rsidRDefault="00A33A25" w:rsidP="00A33A25">
      <w:pPr>
        <w:rPr>
          <w:rFonts w:cs="Arial"/>
        </w:rPr>
      </w:pPr>
      <w:r w:rsidRPr="005A6A01">
        <w:rPr>
          <w:rFonts w:cs="Arial"/>
        </w:rPr>
        <w:t xml:space="preserve">The framework consist of four layers: context, capability configuration, affordance </w:t>
      </w:r>
      <w:proofErr w:type="spellStart"/>
      <w:r w:rsidRPr="005A6A01">
        <w:rPr>
          <w:rFonts w:cs="Arial"/>
        </w:rPr>
        <w:t>actualisation</w:t>
      </w:r>
      <w:proofErr w:type="spellEnd"/>
      <w:r w:rsidRPr="005A6A01">
        <w:rPr>
          <w:rFonts w:cs="Arial"/>
        </w:rPr>
        <w:t xml:space="preserve"> and multidimensional value. Figure 2 places government support, external digital infrastructure, competitive intensity and platform governance and logistics/payment reliability in the TOE context. These conditions do not directly result in value, but rather influence the viability, impact and effort required to deploy capability.</w:t>
      </w:r>
    </w:p>
    <w:p w:rsidR="00A33A25" w:rsidRPr="005A6A01" w:rsidRDefault="00A33A25" w:rsidP="00A33A25">
      <w:pPr>
        <w:jc w:val="center"/>
        <w:rPr>
          <w:rFonts w:cs="Arial"/>
        </w:rPr>
      </w:pPr>
      <w:r w:rsidRPr="005A6A01">
        <w:rPr>
          <w:rFonts w:cs="Arial"/>
          <w:noProof/>
          <w:lang w:val="en-GB" w:eastAsia="en-GB"/>
        </w:rPr>
        <w:drawing>
          <wp:inline distT="0" distB="0" distL="0" distR="0" wp14:anchorId="30CA21A1" wp14:editId="5578E4D2">
            <wp:extent cx="5897880" cy="361715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2_capability_framework.png"/>
                    <pic:cNvPicPr/>
                  </pic:nvPicPr>
                  <pic:blipFill>
                    <a:blip r:embed="rId7"/>
                    <a:stretch>
                      <a:fillRect/>
                    </a:stretch>
                  </pic:blipFill>
                  <pic:spPr>
                    <a:xfrm>
                      <a:off x="0" y="0"/>
                      <a:ext cx="5897880" cy="3617156"/>
                    </a:xfrm>
                    <a:prstGeom prst="rect">
                      <a:avLst/>
                    </a:prstGeom>
                  </pic:spPr>
                </pic:pic>
              </a:graphicData>
            </a:graphic>
          </wp:inline>
        </w:drawing>
      </w:r>
    </w:p>
    <w:p w:rsidR="00A33A25" w:rsidRPr="005A6A01" w:rsidRDefault="00A33A25" w:rsidP="00A33A25">
      <w:pPr>
        <w:pStyle w:val="FigureCaption"/>
        <w:rPr>
          <w:rFonts w:cs="Arial"/>
        </w:rPr>
      </w:pPr>
      <w:r w:rsidRPr="005A6A01">
        <w:rPr>
          <w:rFonts w:cs="Arial"/>
        </w:rPr>
        <w:t xml:space="preserve">Figure 2. Proposed </w:t>
      </w:r>
      <w:proofErr w:type="spellStart"/>
      <w:r w:rsidRPr="005A6A01">
        <w:rPr>
          <w:rFonts w:cs="Arial"/>
        </w:rPr>
        <w:t>organisational</w:t>
      </w:r>
      <w:proofErr w:type="spellEnd"/>
      <w:r w:rsidRPr="005A6A01">
        <w:rPr>
          <w:rFonts w:cs="Arial"/>
        </w:rPr>
        <w:t xml:space="preserve"> capability framework for e-commerce value </w:t>
      </w:r>
      <w:proofErr w:type="spellStart"/>
      <w:r w:rsidRPr="005A6A01">
        <w:rPr>
          <w:rFonts w:cs="Arial"/>
        </w:rPr>
        <w:t>realisation</w:t>
      </w:r>
      <w:proofErr w:type="spellEnd"/>
    </w:p>
    <w:p w:rsidR="00A33A25" w:rsidRPr="005A6A01" w:rsidRDefault="00A33A25" w:rsidP="00A33A25">
      <w:pPr>
        <w:pStyle w:val="FigureSource"/>
        <w:rPr>
          <w:rFonts w:cs="Arial"/>
        </w:rPr>
      </w:pPr>
      <w:r w:rsidRPr="005A6A01">
        <w:rPr>
          <w:rFonts w:cs="Arial"/>
        </w:rPr>
        <w:t xml:space="preserve">Source: Author's synthesis drawing on TOE, RBV, dynamic capabilities and affordance </w:t>
      </w:r>
      <w:proofErr w:type="spellStart"/>
      <w:r w:rsidRPr="005A6A01">
        <w:rPr>
          <w:rFonts w:cs="Arial"/>
        </w:rPr>
        <w:t>actualisation</w:t>
      </w:r>
      <w:proofErr w:type="spellEnd"/>
      <w:r w:rsidRPr="005A6A01">
        <w:rPr>
          <w:rFonts w:cs="Arial"/>
        </w:rPr>
        <w:t>.</w:t>
      </w:r>
    </w:p>
    <w:p w:rsidR="00A33A25" w:rsidRPr="005A6A01" w:rsidRDefault="00A33A25" w:rsidP="00A33A25">
      <w:pPr>
        <w:rPr>
          <w:rFonts w:cs="Arial"/>
        </w:rPr>
      </w:pPr>
      <w:r w:rsidRPr="005A6A01">
        <w:rPr>
          <w:rFonts w:cs="Arial"/>
        </w:rPr>
        <w:t>The six domains capability portfolio lies at the core: strategic digital leadership, systems integration, customer sensing and analytics, fulfilment orchestration, learning and reconfiguration and ecosystem navigation. It is not a universal sequence, but more of a portfolio – some dependencies will probably be there. Reliable transaction data is essential for analytics; when platforms and couriers are involved, ecosystem capability becomes more of a factor; and foundation systems integration and fulfilment discipline becomes more important. Dynamic capabilities work across the portfolio in the form of sensing, seizing and transforming (</w:t>
      </w:r>
      <w:proofErr w:type="spellStart"/>
      <w:r w:rsidRPr="005A6A01">
        <w:rPr>
          <w:rFonts w:cs="Arial"/>
        </w:rPr>
        <w:t>Teece</w:t>
      </w:r>
      <w:proofErr w:type="spellEnd"/>
      <w:r w:rsidRPr="005A6A01">
        <w:rPr>
          <w:rFonts w:cs="Arial"/>
        </w:rPr>
        <w:t>, 2007).</w:t>
      </w:r>
    </w:p>
    <w:p w:rsidR="00A33A25" w:rsidRPr="005A6A01" w:rsidRDefault="00A33A25" w:rsidP="00A33A25">
      <w:pPr>
        <w:rPr>
          <w:rFonts w:cs="Arial"/>
        </w:rPr>
      </w:pPr>
      <w:r w:rsidRPr="005A6A01">
        <w:rPr>
          <w:rFonts w:cs="Arial"/>
        </w:rPr>
        <w:t xml:space="preserve">Affordance </w:t>
      </w:r>
      <w:proofErr w:type="spellStart"/>
      <w:r w:rsidRPr="005A6A01">
        <w:rPr>
          <w:rFonts w:cs="Arial"/>
        </w:rPr>
        <w:t>actualisation</w:t>
      </w:r>
      <w:proofErr w:type="spellEnd"/>
      <w:r w:rsidRPr="005A6A01">
        <w:rPr>
          <w:rFonts w:cs="Arial"/>
        </w:rPr>
        <w:t xml:space="preserve"> is a connection between capability and value and not a direct, and also theoretically weak, arrow from technology to performance. Platform reach, </w:t>
      </w:r>
      <w:r w:rsidRPr="005A6A01">
        <w:rPr>
          <w:rFonts w:cs="Arial"/>
        </w:rPr>
        <w:lastRenderedPageBreak/>
        <w:t xml:space="preserve">payment convenience and customer data are potential, not the results. </w:t>
      </w:r>
      <w:proofErr w:type="spellStart"/>
      <w:r w:rsidRPr="005A6A01">
        <w:rPr>
          <w:rFonts w:cs="Arial"/>
        </w:rPr>
        <w:t>Actualisation</w:t>
      </w:r>
      <w:proofErr w:type="spellEnd"/>
      <w:r w:rsidRPr="005A6A01">
        <w:rPr>
          <w:rFonts w:cs="Arial"/>
        </w:rPr>
        <w:t xml:space="preserve"> means when capability translates into changed practice, for instance, when assortment is adjusted based on customer feedback, stock data is used to </w:t>
      </w:r>
      <w:proofErr w:type="spellStart"/>
      <w:r w:rsidRPr="005A6A01">
        <w:rPr>
          <w:rFonts w:cs="Arial"/>
        </w:rPr>
        <w:t>minimise</w:t>
      </w:r>
      <w:proofErr w:type="spellEnd"/>
      <w:r w:rsidRPr="005A6A01">
        <w:rPr>
          <w:rFonts w:cs="Arial"/>
        </w:rPr>
        <w:t xml:space="preserve"> overselling, or when courier arrangements are reviewed based on the analysis of failed deliveries. The causal proposition is specific: capabilities enable the firm to sense and </w:t>
      </w:r>
      <w:proofErr w:type="spellStart"/>
      <w:r w:rsidRPr="005A6A01">
        <w:rPr>
          <w:rFonts w:cs="Arial"/>
        </w:rPr>
        <w:t>mobilise</w:t>
      </w:r>
      <w:proofErr w:type="spellEnd"/>
      <w:r w:rsidRPr="005A6A01">
        <w:rPr>
          <w:rFonts w:cs="Arial"/>
        </w:rPr>
        <w:t xml:space="preserve"> the possibilities afforded by technologies, and value is a function of whether the new practices afforded by the technologies lead to better outcomes than cost.</w:t>
      </w:r>
    </w:p>
    <w:p w:rsidR="00A33A25" w:rsidRPr="005A6A01" w:rsidRDefault="00A33A25" w:rsidP="00A33A25">
      <w:pPr>
        <w:rPr>
          <w:rFonts w:cs="Arial"/>
        </w:rPr>
      </w:pPr>
      <w:r w:rsidRPr="005A6A01">
        <w:rPr>
          <w:rFonts w:cs="Arial"/>
        </w:rPr>
        <w:t>The outcome layer is made up of 4 dimensions. Financial value comprises contribution margin, cash conversion, acquisition cost and return on digital investment. Operational value encompasses order-cycle time, stock accuracy, failed-delivery rate, return handling quality and reconciliation quality. Customer value involves aspects such as trust, responsiveness, service recovery, repeat purchase and retention. Strategic value encompasses market learning, channel flexibility, resilience, innovation and decreased reliance on a single route to market. These measures are more diagnostic than a general 'performance' construct and can be tailored to the size of the firm and available data.</w:t>
      </w:r>
    </w:p>
    <w:p w:rsidR="00A33A25" w:rsidRPr="005A6A01" w:rsidRDefault="00A33A25" w:rsidP="00A33A25">
      <w:pPr>
        <w:rPr>
          <w:rFonts w:cs="Arial"/>
        </w:rPr>
      </w:pPr>
      <w:r w:rsidRPr="005A6A01">
        <w:rPr>
          <w:rFonts w:cs="Arial"/>
        </w:rPr>
        <w:t xml:space="preserve">The model has a feedback circuit since outcomes should change managerial attention and resource allocation. The high sales but low margin channel might lead to a strategy change, repeated complaints about late delivery might lead to a change of courier, and a successful service experiment might be </w:t>
      </w:r>
      <w:proofErr w:type="spellStart"/>
      <w:r w:rsidRPr="005A6A01">
        <w:rPr>
          <w:rFonts w:cs="Arial"/>
        </w:rPr>
        <w:t>institutionalised</w:t>
      </w:r>
      <w:proofErr w:type="spellEnd"/>
      <w:r w:rsidRPr="005A6A01">
        <w:rPr>
          <w:rFonts w:cs="Arial"/>
        </w:rPr>
        <w:t xml:space="preserve">. The feedback loop thus reflects a dynamic capability logic to value </w:t>
      </w:r>
      <w:proofErr w:type="spellStart"/>
      <w:r w:rsidRPr="005A6A01">
        <w:rPr>
          <w:rFonts w:cs="Arial"/>
        </w:rPr>
        <w:t>realisation</w:t>
      </w:r>
      <w:proofErr w:type="spellEnd"/>
      <w:r w:rsidRPr="005A6A01">
        <w:rPr>
          <w:rFonts w:cs="Arial"/>
        </w:rPr>
        <w:t>: it is not a one-off effect of adoption.</w:t>
      </w:r>
    </w:p>
    <w:p w:rsidR="00A33A25" w:rsidRPr="005A6A01" w:rsidRDefault="00A33A25" w:rsidP="00A33A25">
      <w:pPr>
        <w:rPr>
          <w:rFonts w:cs="Arial"/>
        </w:rPr>
      </w:pPr>
      <w:r w:rsidRPr="005A6A01">
        <w:rPr>
          <w:rFonts w:cs="Arial"/>
        </w:rPr>
        <w:t xml:space="preserve">The framework adopts only concepts that have a theoretical foundation, are measurable, are of importance to the </w:t>
      </w:r>
      <w:proofErr w:type="spellStart"/>
      <w:r w:rsidRPr="005A6A01">
        <w:rPr>
          <w:rFonts w:cs="Arial"/>
        </w:rPr>
        <w:t>organisation</w:t>
      </w:r>
      <w:proofErr w:type="spellEnd"/>
      <w:r w:rsidRPr="005A6A01">
        <w:rPr>
          <w:rFonts w:cs="Arial"/>
        </w:rPr>
        <w:t xml:space="preserve">, can be influenced by management, and can explain directly the adoption–value gap. Each arrow represents an explicit mechanism: context conditions capability deployment; capabilities enable affordance </w:t>
      </w:r>
      <w:proofErr w:type="spellStart"/>
      <w:r w:rsidRPr="005A6A01">
        <w:rPr>
          <w:rFonts w:cs="Arial"/>
        </w:rPr>
        <w:t>actualisation</w:t>
      </w:r>
      <w:proofErr w:type="spellEnd"/>
      <w:r w:rsidRPr="005A6A01">
        <w:rPr>
          <w:rFonts w:cs="Arial"/>
        </w:rPr>
        <w:t xml:space="preserve">; </w:t>
      </w:r>
      <w:proofErr w:type="spellStart"/>
      <w:r w:rsidRPr="005A6A01">
        <w:rPr>
          <w:rFonts w:cs="Arial"/>
        </w:rPr>
        <w:t>actualisation</w:t>
      </w:r>
      <w:proofErr w:type="spellEnd"/>
      <w:r w:rsidRPr="005A6A01">
        <w:rPr>
          <w:rFonts w:cs="Arial"/>
        </w:rPr>
        <w:t xml:space="preserve"> produces observable outcomes; and outcomes feed back into learning and reconfiguration. A set of related practices are clustered together in six domains to prevent proliferation of variables.</w:t>
      </w:r>
    </w:p>
    <w:p w:rsidR="00A33A25" w:rsidRPr="005A6A01" w:rsidRDefault="00A33A25" w:rsidP="00A33A25">
      <w:pPr>
        <w:rPr>
          <w:rFonts w:cs="Arial"/>
        </w:rPr>
      </w:pPr>
      <w:r w:rsidRPr="005A6A01">
        <w:rPr>
          <w:rFonts w:cs="Arial"/>
        </w:rPr>
        <w:t xml:space="preserve">Managers need to practice by specifying the value they want to achieve, identifying what is the current bottleneck, evaluating the capability most closely associated with the current bottleneck, and choosing a limited intervention. If it's a decrease in margins along with an increase in sales, the diagnosis should be focusing on fulfilment cost, </w:t>
      </w:r>
      <w:r w:rsidRPr="005A6A01">
        <w:rPr>
          <w:rFonts w:cs="Arial"/>
        </w:rPr>
        <w:lastRenderedPageBreak/>
        <w:t>returns and platform fees, not necessarily more customer acquisition. When stock-outs prevail, systems integration and inventory discipline come first before cutting edge analytics. This helps to prevent the "locking up" of scarce resources between value and activity.</w:t>
      </w:r>
    </w:p>
    <w:p w:rsidR="00A33A25" w:rsidRPr="005A6A01" w:rsidRDefault="00A33A25" w:rsidP="00A33A25">
      <w:pPr>
        <w:rPr>
          <w:rFonts w:cs="Arial"/>
        </w:rPr>
      </w:pPr>
      <w:r w:rsidRPr="005A6A01">
        <w:rPr>
          <w:rFonts w:cs="Arial"/>
        </w:rPr>
        <w:t xml:space="preserve">The framework provides testable propositions for research. E-commerce use should impact upon value via capability </w:t>
      </w:r>
      <w:proofErr w:type="spellStart"/>
      <w:r w:rsidRPr="005A6A01">
        <w:rPr>
          <w:rFonts w:cs="Arial"/>
        </w:rPr>
        <w:t>actualisation</w:t>
      </w:r>
      <w:proofErr w:type="spellEnd"/>
      <w:r w:rsidRPr="005A6A01">
        <w:rPr>
          <w:rFonts w:cs="Arial"/>
        </w:rPr>
        <w:t xml:space="preserve"> in addition to adoption; capability complementarities may give rise to threshold effects; environmental factors should shape capability effectiveness; and learning and reconfiguration should enhance value persistence over time. These propositions could be tested in the context of Bangladeshi retail SMEs using longitudinal surveys or panel data and/or critical-realist case comparisons.</w:t>
      </w:r>
    </w:p>
    <w:p w:rsidR="00A33A25" w:rsidRPr="005A6A01" w:rsidRDefault="00A33A25" w:rsidP="00A33A25">
      <w:pPr>
        <w:rPr>
          <w:rFonts w:cs="Arial"/>
        </w:rPr>
      </w:pPr>
      <w:r w:rsidRPr="005A6A01">
        <w:rPr>
          <w:rFonts w:cs="Arial"/>
        </w:rPr>
        <w:t xml:space="preserve">This is a provisional framework. It is based primarily on theory and published literature and not necessarily on </w:t>
      </w:r>
      <w:proofErr w:type="spellStart"/>
      <w:r w:rsidRPr="005A6A01">
        <w:rPr>
          <w:rFonts w:cs="Arial"/>
        </w:rPr>
        <w:t>organisational</w:t>
      </w:r>
      <w:proofErr w:type="spellEnd"/>
      <w:r w:rsidRPr="005A6A01">
        <w:rPr>
          <w:rFonts w:cs="Arial"/>
        </w:rPr>
        <w:t xml:space="preserve"> documents, stakeholder interviews, pilot studies or first-hand observation of Bangladeshi retailers. Those are in the next empirical step. The current report therefore distinguishes conceptual contribution from empirical confirmation: the model is a theoretically justified structure for future testing, not a validated universal solution.</w:t>
      </w:r>
    </w:p>
    <w:p w:rsidR="00A33A25" w:rsidRPr="005A6A01" w:rsidRDefault="00A33A25" w:rsidP="00A33A25">
      <w:pPr>
        <w:pStyle w:val="Heading1"/>
        <w:rPr>
          <w:rFonts w:cs="Arial"/>
        </w:rPr>
      </w:pPr>
      <w:bookmarkStart w:id="22" w:name="_Toc238011422"/>
      <w:r w:rsidRPr="005A6A01">
        <w:rPr>
          <w:rFonts w:cs="Arial"/>
        </w:rPr>
        <w:t>7. Conclusion</w:t>
      </w:r>
      <w:bookmarkEnd w:id="22"/>
    </w:p>
    <w:p w:rsidR="00A33A25" w:rsidRPr="005A6A01" w:rsidRDefault="00A33A25" w:rsidP="00A33A25">
      <w:pPr>
        <w:rPr>
          <w:rFonts w:cs="Arial"/>
        </w:rPr>
      </w:pPr>
      <w:r w:rsidRPr="005A6A01">
        <w:rPr>
          <w:rFonts w:cs="Arial"/>
        </w:rPr>
        <w:t xml:space="preserve">This report aimed to understand how retail SMEs can progress from e-commerce adoption to ongoing value </w:t>
      </w:r>
      <w:proofErr w:type="spellStart"/>
      <w:r w:rsidRPr="005A6A01">
        <w:rPr>
          <w:rFonts w:cs="Arial"/>
        </w:rPr>
        <w:t>realisation</w:t>
      </w:r>
      <w:proofErr w:type="spellEnd"/>
      <w:r w:rsidRPr="005A6A01">
        <w:rPr>
          <w:rFonts w:cs="Arial"/>
        </w:rPr>
        <w:t xml:space="preserve"> and to build a context-specific capability framework for Bangladesh. The first research question was related to the </w:t>
      </w:r>
      <w:proofErr w:type="spellStart"/>
      <w:r w:rsidRPr="005A6A01">
        <w:rPr>
          <w:rFonts w:cs="Arial"/>
        </w:rPr>
        <w:t>organisational</w:t>
      </w:r>
      <w:proofErr w:type="spellEnd"/>
      <w:r w:rsidRPr="005A6A01">
        <w:rPr>
          <w:rFonts w:cs="Arial"/>
        </w:rPr>
        <w:t xml:space="preserve"> capabilities that are important. The evidence supports six interdependent domains: strategic digital leadership, systems integration, customer sensing and analytics, process orchestration and fulfilment, </w:t>
      </w:r>
      <w:proofErr w:type="spellStart"/>
      <w:r w:rsidRPr="005A6A01">
        <w:rPr>
          <w:rFonts w:cs="Arial"/>
        </w:rPr>
        <w:t>organisational</w:t>
      </w:r>
      <w:proofErr w:type="spellEnd"/>
      <w:r w:rsidRPr="005A6A01">
        <w:rPr>
          <w:rFonts w:cs="Arial"/>
        </w:rPr>
        <w:t xml:space="preserve"> learning and reconfiguration, and ecosystem or institutional navigation. The combination of them is their value! Bottlenecks in other parts of the system can </w:t>
      </w:r>
      <w:proofErr w:type="spellStart"/>
      <w:r w:rsidRPr="005A6A01">
        <w:rPr>
          <w:rFonts w:cs="Arial"/>
        </w:rPr>
        <w:t>neutralise</w:t>
      </w:r>
      <w:proofErr w:type="spellEnd"/>
      <w:r w:rsidRPr="005A6A01">
        <w:rPr>
          <w:rFonts w:cs="Arial"/>
        </w:rPr>
        <w:t xml:space="preserve"> individual strengths.</w:t>
      </w:r>
    </w:p>
    <w:p w:rsidR="00A33A25" w:rsidRPr="005A6A01" w:rsidRDefault="00A33A25" w:rsidP="00A33A25">
      <w:pPr>
        <w:rPr>
          <w:rFonts w:cs="Arial"/>
        </w:rPr>
      </w:pPr>
      <w:r w:rsidRPr="005A6A01">
        <w:rPr>
          <w:rFonts w:cs="Arial"/>
        </w:rPr>
        <w:t xml:space="preserve">The second question was about context. While technological, </w:t>
      </w:r>
      <w:proofErr w:type="spellStart"/>
      <w:r w:rsidRPr="005A6A01">
        <w:rPr>
          <w:rFonts w:cs="Arial"/>
        </w:rPr>
        <w:t>organisational</w:t>
      </w:r>
      <w:proofErr w:type="spellEnd"/>
      <w:r w:rsidRPr="005A6A01">
        <w:rPr>
          <w:rFonts w:cs="Arial"/>
        </w:rPr>
        <w:t xml:space="preserve"> and environmental conditions are important factors in determining what firms can do, the TOE framework fails to explain how this value is </w:t>
      </w:r>
      <w:proofErr w:type="spellStart"/>
      <w:r w:rsidRPr="005A6A01">
        <w:rPr>
          <w:rFonts w:cs="Arial"/>
        </w:rPr>
        <w:t>realised</w:t>
      </w:r>
      <w:proofErr w:type="spellEnd"/>
      <w:r w:rsidRPr="005A6A01">
        <w:rPr>
          <w:rFonts w:cs="Arial"/>
        </w:rPr>
        <w:t xml:space="preserve">. Dynamic capabilities are the most robust process logic, the RBV theory helps in defining complementary resources and the affordance theory helps in explaining why a technological potential still needs </w:t>
      </w:r>
      <w:proofErr w:type="spellStart"/>
      <w:r w:rsidRPr="005A6A01">
        <w:rPr>
          <w:rFonts w:cs="Arial"/>
        </w:rPr>
        <w:lastRenderedPageBreak/>
        <w:t>organisational</w:t>
      </w:r>
      <w:proofErr w:type="spellEnd"/>
      <w:r w:rsidRPr="005A6A01">
        <w:rPr>
          <w:rFonts w:cs="Arial"/>
        </w:rPr>
        <w:t xml:space="preserve"> action. Thus, context affects capability feasibility and effectiveness, but is not a deterministic cause of performance.</w:t>
      </w:r>
    </w:p>
    <w:p w:rsidR="00A33A25" w:rsidRPr="005A6A01" w:rsidRDefault="00A33A25" w:rsidP="00A33A25">
      <w:pPr>
        <w:rPr>
          <w:rFonts w:cs="Arial"/>
        </w:rPr>
      </w:pPr>
      <w:r w:rsidRPr="005A6A01">
        <w:rPr>
          <w:rFonts w:cs="Arial"/>
        </w:rPr>
        <w:t xml:space="preserve">The third question was on integration into a Bangladesh relevant framework. The proposed model establishes the connection between TOE context and a six domains capability portfolio, affordance </w:t>
      </w:r>
      <w:proofErr w:type="spellStart"/>
      <w:r w:rsidRPr="005A6A01">
        <w:rPr>
          <w:rFonts w:cs="Arial"/>
        </w:rPr>
        <w:t>actualisation</w:t>
      </w:r>
      <w:proofErr w:type="spellEnd"/>
      <w:r w:rsidRPr="005A6A01">
        <w:rPr>
          <w:rFonts w:cs="Arial"/>
        </w:rPr>
        <w:t xml:space="preserve"> and multidimensional value and a learning feedback loop. It builds on adoption models, with actionable mechanisms and tangible outcomes including contribution margin, stock accuracy, fulfilment reliability, repeat purchase and resilience. Theoretically, its contribution is that it brings together the notions of post-adoption value, capability configuration and </w:t>
      </w:r>
      <w:proofErr w:type="spellStart"/>
      <w:r w:rsidRPr="005A6A01">
        <w:rPr>
          <w:rFonts w:cs="Arial"/>
        </w:rPr>
        <w:t>actualisation</w:t>
      </w:r>
      <w:proofErr w:type="spellEnd"/>
      <w:r w:rsidRPr="005A6A01">
        <w:rPr>
          <w:rFonts w:cs="Arial"/>
        </w:rPr>
        <w:t xml:space="preserve">, and not technology ownership. Its management contribution is diagnostic, meaning that companies can determine the capability that is limiting the value and </w:t>
      </w:r>
      <w:proofErr w:type="spellStart"/>
      <w:r w:rsidRPr="005A6A01">
        <w:rPr>
          <w:rFonts w:cs="Arial"/>
        </w:rPr>
        <w:t>prioritise</w:t>
      </w:r>
      <w:proofErr w:type="spellEnd"/>
      <w:r w:rsidRPr="005A6A01">
        <w:rPr>
          <w:rFonts w:cs="Arial"/>
        </w:rPr>
        <w:t xml:space="preserve"> their intervention accordingly.</w:t>
      </w:r>
    </w:p>
    <w:p w:rsidR="00A33A25" w:rsidRPr="005A6A01" w:rsidRDefault="00A33A25" w:rsidP="00A33A25">
      <w:pPr>
        <w:rPr>
          <w:rFonts w:cs="Arial"/>
        </w:rPr>
      </w:pPr>
      <w:r w:rsidRPr="005A6A01">
        <w:rPr>
          <w:rFonts w:cs="Arial"/>
        </w:rPr>
        <w:t xml:space="preserve">There are also restrictions on what can be asserted based on current evidence. Qualitative cases have mechanism depth in the form of self-report design, but limited contextual transfer, and cross-sectional self-report designs are poor supports for capability that is dynamic and sustained. The appraisal of </w:t>
      </w:r>
      <w:proofErr w:type="spellStart"/>
      <w:r w:rsidRPr="005A6A01">
        <w:rPr>
          <w:rFonts w:cs="Arial"/>
        </w:rPr>
        <w:t>Matarazzo</w:t>
      </w:r>
      <w:proofErr w:type="spellEnd"/>
      <w:r w:rsidRPr="005A6A01">
        <w:rPr>
          <w:rFonts w:cs="Arial"/>
        </w:rPr>
        <w:t xml:space="preserve"> et al. (2021) illustrates the continued value of process evidence and the need to consider philosophy, validity, ethics and transferability as a combination. Thus, further empirical studies should examine the framework in a longitudinal manner, using several sources of data for Bangladeshi retail SMEs. The framework is now a theoretically based statement, rather than a universal model, to be examined empirically.</w:t>
      </w:r>
    </w:p>
    <w:p w:rsidR="00A33A25" w:rsidRPr="005A6A01" w:rsidRDefault="00A33A25" w:rsidP="00A33A25">
      <w:pPr>
        <w:rPr>
          <w:rFonts w:cs="Arial"/>
        </w:rPr>
      </w:pPr>
      <w:r w:rsidRPr="005A6A01">
        <w:rPr>
          <w:rFonts w:cs="Arial"/>
        </w:rPr>
        <w:br w:type="page"/>
      </w:r>
    </w:p>
    <w:p w:rsidR="00A33A25" w:rsidRPr="005A6A01" w:rsidRDefault="00A33A25" w:rsidP="00A33A25">
      <w:pPr>
        <w:pStyle w:val="Heading1"/>
        <w:rPr>
          <w:rFonts w:cs="Arial"/>
        </w:rPr>
      </w:pPr>
      <w:bookmarkStart w:id="23" w:name="_Toc238011423"/>
      <w:r w:rsidRPr="005A6A01">
        <w:rPr>
          <w:rFonts w:cs="Arial"/>
        </w:rPr>
        <w:lastRenderedPageBreak/>
        <w:t>References</w:t>
      </w:r>
      <w:bookmarkEnd w:id="23"/>
    </w:p>
    <w:p w:rsidR="00A33A25" w:rsidRPr="007C00E8" w:rsidRDefault="00A33A25" w:rsidP="00A33A25">
      <w:pPr>
        <w:ind w:left="720" w:hanging="720"/>
        <w:rPr>
          <w:rFonts w:ascii="Times New Roman" w:hAnsi="Times New Roman"/>
        </w:rPr>
      </w:pPr>
      <w:proofErr w:type="spellStart"/>
      <w:r>
        <w:t>Ballerini</w:t>
      </w:r>
      <w:proofErr w:type="spellEnd"/>
      <w:r>
        <w:t xml:space="preserve">, J., </w:t>
      </w:r>
      <w:proofErr w:type="spellStart"/>
      <w:r>
        <w:t>Herhausen</w:t>
      </w:r>
      <w:proofErr w:type="spellEnd"/>
      <w:r>
        <w:t>, D. and Ferraris, A. (2023) ‘</w:t>
      </w:r>
      <w:proofErr w:type="gramStart"/>
      <w:r>
        <w:t>How</w:t>
      </w:r>
      <w:proofErr w:type="gramEnd"/>
      <w:r>
        <w:t xml:space="preserve"> commitment and platform adoption drive the e-commerce performance of SMEs: A mixed-method inquiry into e-commerce affordances’, </w:t>
      </w:r>
      <w:r>
        <w:rPr>
          <w:rStyle w:val="Emphasis"/>
        </w:rPr>
        <w:t>International Journal of Information Management</w:t>
      </w:r>
      <w:r>
        <w:t xml:space="preserve">, 72, 102649. </w:t>
      </w:r>
      <w:hyperlink r:id="rId8" w:tgtFrame="_new" w:history="1">
        <w:r>
          <w:rPr>
            <w:rStyle w:val="Hyperlink"/>
          </w:rPr>
          <w:t>https://doi.org/10.1016/j.ijinfomgt.2023.102649</w:t>
        </w:r>
      </w:hyperlink>
      <w:r>
        <w:t xml:space="preserve"> </w:t>
      </w:r>
    </w:p>
    <w:p w:rsidR="00A33A25" w:rsidRDefault="00A33A25" w:rsidP="00A33A25">
      <w:pPr>
        <w:ind w:left="720" w:hanging="720"/>
      </w:pPr>
      <w:r>
        <w:t xml:space="preserve">Barney, J.B. (1991) ‘Firm resources and sustained competitive advantage’, </w:t>
      </w:r>
      <w:r>
        <w:rPr>
          <w:rStyle w:val="Emphasis"/>
        </w:rPr>
        <w:t>Journal of Management</w:t>
      </w:r>
      <w:r>
        <w:t xml:space="preserve">, 17(1), pp. 99–120. </w:t>
      </w:r>
      <w:hyperlink r:id="rId9" w:tgtFrame="_new" w:history="1">
        <w:r>
          <w:rPr>
            <w:rStyle w:val="Hyperlink"/>
          </w:rPr>
          <w:t>https://doi.org/10.1177/014920639101700108</w:t>
        </w:r>
      </w:hyperlink>
      <w:r>
        <w:t xml:space="preserve"> </w:t>
      </w:r>
    </w:p>
    <w:p w:rsidR="00A33A25" w:rsidRDefault="00A33A25" w:rsidP="00A33A25">
      <w:pPr>
        <w:ind w:left="720" w:hanging="720"/>
      </w:pPr>
      <w:proofErr w:type="spellStart"/>
      <w:r>
        <w:t>Bening</w:t>
      </w:r>
      <w:proofErr w:type="spellEnd"/>
      <w:r>
        <w:t xml:space="preserve">, S.A., </w:t>
      </w:r>
      <w:proofErr w:type="spellStart"/>
      <w:r>
        <w:t>Dachyar</w:t>
      </w:r>
      <w:proofErr w:type="spellEnd"/>
      <w:r>
        <w:t xml:space="preserve">, M., </w:t>
      </w:r>
      <w:proofErr w:type="spellStart"/>
      <w:r>
        <w:t>Pratama</w:t>
      </w:r>
      <w:proofErr w:type="spellEnd"/>
      <w:r>
        <w:t xml:space="preserve">, N.R., Park, J. and Chang, Y. (2023) ‘E-commerce technologies adoption strategy selection in Indonesian SMEs using the decision-makers, technological, organizational and environmental (DTOE) framework’, </w:t>
      </w:r>
      <w:r>
        <w:rPr>
          <w:rStyle w:val="Emphasis"/>
        </w:rPr>
        <w:t>Sustainability</w:t>
      </w:r>
      <w:r>
        <w:t xml:space="preserve">, 15(12), 9361. </w:t>
      </w:r>
      <w:hyperlink r:id="rId10" w:tgtFrame="_new" w:history="1">
        <w:r>
          <w:rPr>
            <w:rStyle w:val="Hyperlink"/>
          </w:rPr>
          <w:t>https://doi.org/10.3390/su15129361</w:t>
        </w:r>
      </w:hyperlink>
      <w:r>
        <w:t xml:space="preserve"> </w:t>
      </w:r>
    </w:p>
    <w:p w:rsidR="00A33A25" w:rsidRDefault="00A33A25" w:rsidP="00A33A25">
      <w:pPr>
        <w:ind w:left="720" w:hanging="720"/>
      </w:pPr>
      <w:proofErr w:type="spellStart"/>
      <w:r>
        <w:t>Cassell</w:t>
      </w:r>
      <w:proofErr w:type="spellEnd"/>
      <w:r>
        <w:t>, C. (2005) ‘</w:t>
      </w:r>
      <w:proofErr w:type="gramStart"/>
      <w:r>
        <w:t>Creating</w:t>
      </w:r>
      <w:proofErr w:type="gramEnd"/>
      <w:r>
        <w:t xml:space="preserve"> the interviewer: Identity work in the management research process’, </w:t>
      </w:r>
      <w:r>
        <w:rPr>
          <w:rStyle w:val="Emphasis"/>
        </w:rPr>
        <w:t>Qualitative Research</w:t>
      </w:r>
      <w:r>
        <w:t xml:space="preserve">, 5(2), pp. 167–179. https://doi.org/10.1177/1468794105050833 </w:t>
      </w:r>
    </w:p>
    <w:p w:rsidR="00A33A25" w:rsidRDefault="00A33A25" w:rsidP="00A33A25">
      <w:pPr>
        <w:ind w:left="720" w:hanging="720"/>
      </w:pPr>
      <w:r>
        <w:t xml:space="preserve">Davis, F.D. (1989) ‘Perceived usefulness, perceived ease of use, and user acceptance of information technology’, </w:t>
      </w:r>
      <w:r>
        <w:rPr>
          <w:rStyle w:val="Emphasis"/>
        </w:rPr>
        <w:t>MIS Quarterly</w:t>
      </w:r>
      <w:r>
        <w:t xml:space="preserve">, 13(3), pp. 319–340. </w:t>
      </w:r>
      <w:hyperlink r:id="rId11" w:tgtFrame="_new" w:history="1">
        <w:r>
          <w:rPr>
            <w:rStyle w:val="Hyperlink"/>
          </w:rPr>
          <w:t>https://doi.org/10.2307/249008</w:t>
        </w:r>
      </w:hyperlink>
      <w:r>
        <w:t xml:space="preserve"> </w:t>
      </w:r>
    </w:p>
    <w:p w:rsidR="00A33A25" w:rsidRDefault="00A33A25" w:rsidP="00A33A25">
      <w:pPr>
        <w:ind w:left="720" w:hanging="720"/>
      </w:pPr>
      <w:r>
        <w:t xml:space="preserve">Fang, T.M., Ahmad, N.H., Halim, H.A., Iqbal, Q. and </w:t>
      </w:r>
      <w:proofErr w:type="spellStart"/>
      <w:r>
        <w:t>Ramayah</w:t>
      </w:r>
      <w:proofErr w:type="spellEnd"/>
      <w:r>
        <w:t xml:space="preserve">, T. (2024) ‘Pathway towards SME competitiveness: Digital capability and digital business model innovation’, </w:t>
      </w:r>
      <w:r>
        <w:rPr>
          <w:rStyle w:val="Emphasis"/>
        </w:rPr>
        <w:t>Technology in Society</w:t>
      </w:r>
      <w:r>
        <w:t xml:space="preserve">, 79, 102728. </w:t>
      </w:r>
      <w:hyperlink r:id="rId12" w:tgtFrame="_new" w:history="1">
        <w:r>
          <w:rPr>
            <w:rStyle w:val="Hyperlink"/>
          </w:rPr>
          <w:t>https://doi.org/10.1016/j.techsoc.2024.102728</w:t>
        </w:r>
      </w:hyperlink>
      <w:r>
        <w:t xml:space="preserve"> </w:t>
      </w:r>
    </w:p>
    <w:p w:rsidR="00A33A25" w:rsidRDefault="00A33A25" w:rsidP="00A33A25">
      <w:pPr>
        <w:ind w:left="720" w:hanging="720"/>
      </w:pPr>
      <w:r>
        <w:t xml:space="preserve">Fletcher, A.J. (2017) ‘Applying critical realism in qualitative research: Methodology meets method’, </w:t>
      </w:r>
      <w:r>
        <w:rPr>
          <w:rStyle w:val="Emphasis"/>
        </w:rPr>
        <w:t>International Journal of Social Research Methodology</w:t>
      </w:r>
      <w:r>
        <w:t xml:space="preserve">, 20(2), pp. 181–194. </w:t>
      </w:r>
      <w:hyperlink r:id="rId13" w:tgtFrame="_new" w:history="1">
        <w:r>
          <w:rPr>
            <w:rStyle w:val="Hyperlink"/>
          </w:rPr>
          <w:t>https://doi.org/10.1080/13645579.2016.1144401</w:t>
        </w:r>
      </w:hyperlink>
      <w:r>
        <w:t xml:space="preserve"> </w:t>
      </w:r>
    </w:p>
    <w:p w:rsidR="00A33A25" w:rsidRDefault="00A33A25" w:rsidP="00A33A25">
      <w:pPr>
        <w:ind w:left="720" w:hanging="720"/>
      </w:pPr>
      <w:proofErr w:type="gramStart"/>
      <w:r>
        <w:t>Gao</w:t>
      </w:r>
      <w:proofErr w:type="gramEnd"/>
      <w:r>
        <w:t xml:space="preserve">, J., </w:t>
      </w:r>
      <w:proofErr w:type="spellStart"/>
      <w:r>
        <w:t>Siddik</w:t>
      </w:r>
      <w:proofErr w:type="spellEnd"/>
      <w:r>
        <w:t xml:space="preserve">, A.B., Abbas, S.K., </w:t>
      </w:r>
      <w:proofErr w:type="spellStart"/>
      <w:r>
        <w:t>Hamayun</w:t>
      </w:r>
      <w:proofErr w:type="spellEnd"/>
      <w:r>
        <w:t xml:space="preserve">, M., </w:t>
      </w:r>
      <w:proofErr w:type="spellStart"/>
      <w:r>
        <w:t>Masukujjaman</w:t>
      </w:r>
      <w:proofErr w:type="spellEnd"/>
      <w:r>
        <w:t xml:space="preserve">, M. and </w:t>
      </w:r>
      <w:proofErr w:type="spellStart"/>
      <w:r>
        <w:t>Alam</w:t>
      </w:r>
      <w:proofErr w:type="spellEnd"/>
      <w:r>
        <w:t xml:space="preserve">, S.S. (2023) ‘Impact of e-commerce and digital marketing adoption on the financial and sustainability performance of MSMEs during the COVID-19 pandemic: An empirical study’, </w:t>
      </w:r>
      <w:r>
        <w:rPr>
          <w:rStyle w:val="Emphasis"/>
        </w:rPr>
        <w:t>Sustainability</w:t>
      </w:r>
      <w:r>
        <w:t xml:space="preserve">, 15(2), 1594. </w:t>
      </w:r>
      <w:hyperlink r:id="rId14" w:tgtFrame="_new" w:history="1">
        <w:r>
          <w:rPr>
            <w:rStyle w:val="Hyperlink"/>
          </w:rPr>
          <w:t>https://doi.org/10.3390/su15021594</w:t>
        </w:r>
      </w:hyperlink>
      <w:r>
        <w:t xml:space="preserve"> </w:t>
      </w:r>
    </w:p>
    <w:p w:rsidR="00A33A25" w:rsidRDefault="00A33A25" w:rsidP="00A33A25">
      <w:pPr>
        <w:ind w:left="720" w:hanging="720"/>
      </w:pPr>
      <w:proofErr w:type="spellStart"/>
      <w:r>
        <w:lastRenderedPageBreak/>
        <w:t>Hanelt</w:t>
      </w:r>
      <w:proofErr w:type="spellEnd"/>
      <w:r>
        <w:t xml:space="preserve">, A., </w:t>
      </w:r>
      <w:proofErr w:type="spellStart"/>
      <w:r>
        <w:t>Bohnsack</w:t>
      </w:r>
      <w:proofErr w:type="spellEnd"/>
      <w:r>
        <w:t xml:space="preserve">, R., </w:t>
      </w:r>
      <w:proofErr w:type="spellStart"/>
      <w:r>
        <w:t>Marz</w:t>
      </w:r>
      <w:proofErr w:type="spellEnd"/>
      <w:r>
        <w:t xml:space="preserve">, D. and </w:t>
      </w:r>
      <w:proofErr w:type="spellStart"/>
      <w:r>
        <w:t>Antunes</w:t>
      </w:r>
      <w:proofErr w:type="spellEnd"/>
      <w:r>
        <w:t xml:space="preserve"> </w:t>
      </w:r>
      <w:proofErr w:type="spellStart"/>
      <w:r>
        <w:t>Marante</w:t>
      </w:r>
      <w:proofErr w:type="spellEnd"/>
      <w:r>
        <w:t xml:space="preserve">, C. (2021) ‘A systematic review of the literature on digital transformation: Insights and implications for strategy and organizational change’, </w:t>
      </w:r>
      <w:r>
        <w:rPr>
          <w:rStyle w:val="Emphasis"/>
        </w:rPr>
        <w:t>Journal of Management Studies</w:t>
      </w:r>
      <w:r>
        <w:t xml:space="preserve">, 58(5), pp. 1159–1197. </w:t>
      </w:r>
      <w:hyperlink r:id="rId15" w:tgtFrame="_new" w:history="1">
        <w:r>
          <w:rPr>
            <w:rStyle w:val="Hyperlink"/>
          </w:rPr>
          <w:t>https://doi.org/10.1111/joms.12639</w:t>
        </w:r>
      </w:hyperlink>
      <w:r>
        <w:t xml:space="preserve"> </w:t>
      </w:r>
    </w:p>
    <w:p w:rsidR="00A33A25" w:rsidRDefault="00A33A25" w:rsidP="00A33A25">
      <w:pPr>
        <w:ind w:left="720" w:hanging="720"/>
      </w:pPr>
      <w:r>
        <w:t xml:space="preserve">Hossain, M.A., Jahan, N., Al </w:t>
      </w:r>
      <w:proofErr w:type="spellStart"/>
      <w:r>
        <w:t>Masud</w:t>
      </w:r>
      <w:proofErr w:type="spellEnd"/>
      <w:r>
        <w:t xml:space="preserve">, A., </w:t>
      </w:r>
      <w:proofErr w:type="spellStart"/>
      <w:r>
        <w:t>Nabi</w:t>
      </w:r>
      <w:proofErr w:type="spellEnd"/>
      <w:r>
        <w:t xml:space="preserve">, M.N., Hossain, M.S. and Ahmed, S. (2024) ‘Dynamic effect of critical success factors of SMEs on entrepreneurial performance via e-commerce performance’, </w:t>
      </w:r>
      <w:r>
        <w:rPr>
          <w:rStyle w:val="Emphasis"/>
        </w:rPr>
        <w:t>Journal of High Technology Management Research</w:t>
      </w:r>
      <w:r>
        <w:t xml:space="preserve">, 35(2), 100515. https://doi.org/10.1016/j.hitech.2024.100515 </w:t>
      </w:r>
    </w:p>
    <w:p w:rsidR="00A33A25" w:rsidRDefault="00A33A25" w:rsidP="00A33A25">
      <w:pPr>
        <w:ind w:left="720" w:hanging="720"/>
      </w:pPr>
      <w:r>
        <w:t xml:space="preserve">Hossain, M.B., </w:t>
      </w:r>
      <w:proofErr w:type="spellStart"/>
      <w:r>
        <w:t>Dewan</w:t>
      </w:r>
      <w:proofErr w:type="spellEnd"/>
      <w:r>
        <w:t xml:space="preserve">, N., </w:t>
      </w:r>
      <w:proofErr w:type="spellStart"/>
      <w:r>
        <w:t>Senin</w:t>
      </w:r>
      <w:proofErr w:type="spellEnd"/>
      <w:r>
        <w:t xml:space="preserve">, A.A. and </w:t>
      </w:r>
      <w:proofErr w:type="spellStart"/>
      <w:r>
        <w:t>Illés</w:t>
      </w:r>
      <w:proofErr w:type="spellEnd"/>
      <w:r>
        <w:t xml:space="preserve">, C.B. (2025) ‘Evaluating the utilization of technological factors to promote e-commerce adoption in small and medium enterprises’, </w:t>
      </w:r>
      <w:r>
        <w:rPr>
          <w:rStyle w:val="Emphasis"/>
        </w:rPr>
        <w:t>Electronic Commerce Research</w:t>
      </w:r>
      <w:r>
        <w:t xml:space="preserve">, 25, pp. 349–368. </w:t>
      </w:r>
      <w:hyperlink r:id="rId16" w:history="1">
        <w:r w:rsidRPr="00580E8F">
          <w:rPr>
            <w:rStyle w:val="Hyperlink"/>
          </w:rPr>
          <w:t>https://doi.org/10.1007/s10660-023-09692-7</w:t>
        </w:r>
      </w:hyperlink>
      <w:r>
        <w:t xml:space="preserve">  </w:t>
      </w:r>
    </w:p>
    <w:p w:rsidR="00A33A25" w:rsidRDefault="00A33A25" w:rsidP="00A33A25">
      <w:pPr>
        <w:ind w:left="720" w:hanging="720"/>
      </w:pPr>
      <w:proofErr w:type="spellStart"/>
      <w:r>
        <w:t>Indiani</w:t>
      </w:r>
      <w:proofErr w:type="spellEnd"/>
      <w:r>
        <w:t xml:space="preserve">, N.L.P., </w:t>
      </w:r>
      <w:proofErr w:type="spellStart"/>
      <w:r>
        <w:t>Keshminder</w:t>
      </w:r>
      <w:proofErr w:type="spellEnd"/>
      <w:r>
        <w:t xml:space="preserve">, J.S., </w:t>
      </w:r>
      <w:proofErr w:type="spellStart"/>
      <w:r>
        <w:t>Wiratama</w:t>
      </w:r>
      <w:proofErr w:type="spellEnd"/>
      <w:r>
        <w:t xml:space="preserve">, N.I. and </w:t>
      </w:r>
      <w:proofErr w:type="spellStart"/>
      <w:r>
        <w:t>Amertha</w:t>
      </w:r>
      <w:proofErr w:type="spellEnd"/>
      <w:r>
        <w:t>, G.S. (2025) ‘</w:t>
      </w:r>
      <w:proofErr w:type="gramStart"/>
      <w:r>
        <w:t>Unlocking</w:t>
      </w:r>
      <w:proofErr w:type="gramEnd"/>
      <w:r>
        <w:t xml:space="preserve"> e-commerce potential in SMEs: An integrative framework for adoption in emerging markets’, </w:t>
      </w:r>
      <w:r>
        <w:rPr>
          <w:rStyle w:val="Emphasis"/>
        </w:rPr>
        <w:t>Humanities and Social Sciences Communications</w:t>
      </w:r>
      <w:r>
        <w:t xml:space="preserve">, 12, 766. </w:t>
      </w:r>
      <w:hyperlink r:id="rId17" w:history="1">
        <w:r w:rsidRPr="00580E8F">
          <w:rPr>
            <w:rStyle w:val="Hyperlink"/>
          </w:rPr>
          <w:t>https://doi.org/10.1057/s41599-025-04952-3</w:t>
        </w:r>
      </w:hyperlink>
      <w:r>
        <w:t xml:space="preserve">  </w:t>
      </w:r>
    </w:p>
    <w:p w:rsidR="00A33A25" w:rsidRDefault="00A33A25" w:rsidP="00A33A25">
      <w:pPr>
        <w:ind w:left="720" w:hanging="720"/>
      </w:pPr>
      <w:r>
        <w:t xml:space="preserve">Lincoln, Y.S. and </w:t>
      </w:r>
      <w:proofErr w:type="spellStart"/>
      <w:r>
        <w:t>Guba</w:t>
      </w:r>
      <w:proofErr w:type="spellEnd"/>
      <w:r>
        <w:t xml:space="preserve">, E.G. (1985) </w:t>
      </w:r>
      <w:r>
        <w:rPr>
          <w:rStyle w:val="Emphasis"/>
        </w:rPr>
        <w:t>Naturalistic Inquiry</w:t>
      </w:r>
      <w:r>
        <w:t xml:space="preserve">. Beverly Hills, CA: SAGE. </w:t>
      </w:r>
    </w:p>
    <w:p w:rsidR="00A33A25" w:rsidRDefault="00A33A25" w:rsidP="00A33A25">
      <w:pPr>
        <w:ind w:left="720" w:hanging="720"/>
      </w:pPr>
      <w:proofErr w:type="spellStart"/>
      <w:r>
        <w:t>Matarazzo</w:t>
      </w:r>
      <w:proofErr w:type="spellEnd"/>
      <w:r>
        <w:t xml:space="preserve">, M., </w:t>
      </w:r>
      <w:proofErr w:type="spellStart"/>
      <w:r>
        <w:t>Penco</w:t>
      </w:r>
      <w:proofErr w:type="spellEnd"/>
      <w:r>
        <w:t xml:space="preserve">, L., </w:t>
      </w:r>
      <w:proofErr w:type="spellStart"/>
      <w:r>
        <w:t>Profumo</w:t>
      </w:r>
      <w:proofErr w:type="spellEnd"/>
      <w:r>
        <w:t xml:space="preserve">, G. and </w:t>
      </w:r>
      <w:proofErr w:type="spellStart"/>
      <w:r>
        <w:t>Quaglia</w:t>
      </w:r>
      <w:proofErr w:type="spellEnd"/>
      <w:r>
        <w:t xml:space="preserve">, R. (2021) ‘Digital transformation and customer value creation in Made in Italy SMEs: A dynamic capabilities perspective’, </w:t>
      </w:r>
      <w:r>
        <w:rPr>
          <w:rStyle w:val="Emphasis"/>
        </w:rPr>
        <w:t>Journal of Business Research</w:t>
      </w:r>
      <w:r>
        <w:t xml:space="preserve">, 123, pp. 642–656. </w:t>
      </w:r>
      <w:hyperlink r:id="rId18" w:tgtFrame="_new" w:history="1">
        <w:r>
          <w:rPr>
            <w:rStyle w:val="Hyperlink"/>
          </w:rPr>
          <w:t>https://doi.org/10.1016/j.jbusres.2020.10.033</w:t>
        </w:r>
      </w:hyperlink>
      <w:r>
        <w:t xml:space="preserve"> </w:t>
      </w:r>
    </w:p>
    <w:p w:rsidR="00A33A25" w:rsidRDefault="00A33A25" w:rsidP="00A33A25">
      <w:pPr>
        <w:ind w:left="720" w:hanging="720"/>
      </w:pPr>
      <w:proofErr w:type="spellStart"/>
      <w:r>
        <w:t>Mele</w:t>
      </w:r>
      <w:proofErr w:type="spellEnd"/>
      <w:r>
        <w:t xml:space="preserve">, G., </w:t>
      </w:r>
      <w:proofErr w:type="spellStart"/>
      <w:r>
        <w:t>Capaldo</w:t>
      </w:r>
      <w:proofErr w:type="spellEnd"/>
      <w:r>
        <w:t xml:space="preserve">, G., </w:t>
      </w:r>
      <w:proofErr w:type="spellStart"/>
      <w:r>
        <w:t>Secundo</w:t>
      </w:r>
      <w:proofErr w:type="spellEnd"/>
      <w:r>
        <w:t xml:space="preserve">, G. and </w:t>
      </w:r>
      <w:proofErr w:type="spellStart"/>
      <w:r>
        <w:t>Corvello</w:t>
      </w:r>
      <w:proofErr w:type="spellEnd"/>
      <w:r>
        <w:t xml:space="preserve">, V. (2024) ‘Revisiting the idea of knowledge-based dynamic capabilities for digital transformation’, </w:t>
      </w:r>
      <w:r>
        <w:rPr>
          <w:rStyle w:val="Emphasis"/>
        </w:rPr>
        <w:t>Journal of Knowledge Management</w:t>
      </w:r>
      <w:r>
        <w:t xml:space="preserve">, 28(2), pp. 532–563. </w:t>
      </w:r>
      <w:hyperlink r:id="rId19" w:history="1">
        <w:r w:rsidRPr="00580E8F">
          <w:rPr>
            <w:rStyle w:val="Hyperlink"/>
          </w:rPr>
          <w:t>https://doi.org/10.1108/JKM-02-2023-0121</w:t>
        </w:r>
      </w:hyperlink>
      <w:r>
        <w:t xml:space="preserve">  </w:t>
      </w:r>
    </w:p>
    <w:p w:rsidR="00A33A25" w:rsidRDefault="00A33A25" w:rsidP="00A33A25">
      <w:pPr>
        <w:ind w:left="720" w:hanging="720"/>
      </w:pPr>
      <w:r>
        <w:t xml:space="preserve">Melville, N., Kraemer, K. and </w:t>
      </w:r>
      <w:proofErr w:type="spellStart"/>
      <w:r>
        <w:t>Gurbaxani</w:t>
      </w:r>
      <w:proofErr w:type="spellEnd"/>
      <w:r>
        <w:t xml:space="preserve">, V. (2004) ‘Information technology and organizational performance: An integrative model of IT business value’, </w:t>
      </w:r>
      <w:r>
        <w:rPr>
          <w:rStyle w:val="Emphasis"/>
        </w:rPr>
        <w:t>MIS Quarterly</w:t>
      </w:r>
      <w:r>
        <w:t xml:space="preserve">, 28(2), pp. 283–322. </w:t>
      </w:r>
      <w:hyperlink r:id="rId20" w:tgtFrame="_new" w:history="1">
        <w:r>
          <w:rPr>
            <w:rStyle w:val="Hyperlink"/>
          </w:rPr>
          <w:t>https://doi.org/10.2307/25148636</w:t>
        </w:r>
      </w:hyperlink>
      <w:r>
        <w:t xml:space="preserve"> </w:t>
      </w:r>
    </w:p>
    <w:p w:rsidR="00A33A25" w:rsidRDefault="00A33A25" w:rsidP="00A33A25">
      <w:pPr>
        <w:ind w:left="720" w:hanging="720"/>
      </w:pPr>
      <w:proofErr w:type="spellStart"/>
      <w:r>
        <w:t>Merín-Rodrigáñez</w:t>
      </w:r>
      <w:proofErr w:type="spellEnd"/>
      <w:r>
        <w:t xml:space="preserve">, J., </w:t>
      </w:r>
      <w:proofErr w:type="spellStart"/>
      <w:r>
        <w:t>Dasí</w:t>
      </w:r>
      <w:proofErr w:type="spellEnd"/>
      <w:r>
        <w:t xml:space="preserve">, À. and Alegre, J. (2024) ‘Digital transformation and firm performance in innovative SMEs: The mediating role of business model </w:t>
      </w:r>
      <w:r>
        <w:lastRenderedPageBreak/>
        <w:t xml:space="preserve">innovation’, </w:t>
      </w:r>
      <w:proofErr w:type="spellStart"/>
      <w:r>
        <w:rPr>
          <w:rStyle w:val="Emphasis"/>
        </w:rPr>
        <w:t>Technovation</w:t>
      </w:r>
      <w:proofErr w:type="spellEnd"/>
      <w:r>
        <w:t xml:space="preserve">, 134, 103027. https://doi.org/10.1016/j.technovation.2024.103027 </w:t>
      </w:r>
    </w:p>
    <w:p w:rsidR="00A33A25" w:rsidRDefault="00A33A25" w:rsidP="00A33A25">
      <w:pPr>
        <w:ind w:left="720" w:hanging="720"/>
      </w:pPr>
      <w:r>
        <w:t xml:space="preserve">Morgan, D.L. (2014) ‘Pragmatism as a paradigm for social research’, </w:t>
      </w:r>
      <w:r>
        <w:rPr>
          <w:rStyle w:val="Emphasis"/>
        </w:rPr>
        <w:t>Qualitative Inquiry</w:t>
      </w:r>
      <w:r>
        <w:t xml:space="preserve">, 20(8), pp. 1045–1053. </w:t>
      </w:r>
      <w:hyperlink r:id="rId21" w:history="1">
        <w:r w:rsidRPr="00580E8F">
          <w:rPr>
            <w:rStyle w:val="Hyperlink"/>
          </w:rPr>
          <w:t>https://doi.org/10.1177/1077800413513733</w:t>
        </w:r>
      </w:hyperlink>
      <w:r>
        <w:t xml:space="preserve">  </w:t>
      </w:r>
    </w:p>
    <w:p w:rsidR="00A33A25" w:rsidRDefault="00A33A25" w:rsidP="00A33A25">
      <w:pPr>
        <w:ind w:left="720" w:hanging="720"/>
      </w:pPr>
      <w:r>
        <w:t>Nguyen, T.H., Le, X.C. and Vu, T.H.L. (2022) ‘</w:t>
      </w:r>
      <w:proofErr w:type="gramStart"/>
      <w:r>
        <w:t>An</w:t>
      </w:r>
      <w:proofErr w:type="gramEnd"/>
      <w:r>
        <w:t xml:space="preserve"> extended technology-organization-environment (TOE) framework for online retailing utilization in digital transformation: Empirical evidence from Vietnam’, </w:t>
      </w:r>
      <w:r>
        <w:rPr>
          <w:rStyle w:val="Emphasis"/>
        </w:rPr>
        <w:t>Journal of Open Innovation: Technology, Market, and Complexity</w:t>
      </w:r>
      <w:r>
        <w:t xml:space="preserve">, 8(4), 200. </w:t>
      </w:r>
      <w:hyperlink r:id="rId22" w:tgtFrame="_new" w:history="1">
        <w:r>
          <w:rPr>
            <w:rStyle w:val="Hyperlink"/>
          </w:rPr>
          <w:t>https://doi.org/10.3390/joitmc8040200</w:t>
        </w:r>
      </w:hyperlink>
      <w:r>
        <w:t xml:space="preserve"> </w:t>
      </w:r>
    </w:p>
    <w:p w:rsidR="00A33A25" w:rsidRDefault="00A33A25" w:rsidP="00A33A25">
      <w:pPr>
        <w:ind w:left="720" w:hanging="720"/>
      </w:pPr>
      <w:r>
        <w:t xml:space="preserve">Page, M.J. et al. (2021) ‘The PRISMA 2020 statement: An updated guideline for reporting systematic reviews’, </w:t>
      </w:r>
      <w:r>
        <w:rPr>
          <w:rStyle w:val="Emphasis"/>
        </w:rPr>
        <w:t>BMJ</w:t>
      </w:r>
      <w:r>
        <w:t xml:space="preserve">, 372, n71. </w:t>
      </w:r>
      <w:hyperlink r:id="rId23" w:tgtFrame="_new" w:history="1">
        <w:r>
          <w:rPr>
            <w:rStyle w:val="Hyperlink"/>
          </w:rPr>
          <w:t>https://doi.org/10.1136/bmj.n71</w:t>
        </w:r>
      </w:hyperlink>
      <w:r>
        <w:t xml:space="preserve"> </w:t>
      </w:r>
    </w:p>
    <w:p w:rsidR="00A33A25" w:rsidRDefault="00A33A25" w:rsidP="00A33A25">
      <w:pPr>
        <w:ind w:left="720" w:hanging="720"/>
      </w:pPr>
      <w:proofErr w:type="spellStart"/>
      <w:r>
        <w:t>Peteraf</w:t>
      </w:r>
      <w:proofErr w:type="spellEnd"/>
      <w:r>
        <w:t>, M., Di Stefano, G. and Verona, G. (2013) ‘</w:t>
      </w:r>
      <w:proofErr w:type="gramStart"/>
      <w:r>
        <w:t>The</w:t>
      </w:r>
      <w:proofErr w:type="gramEnd"/>
      <w:r>
        <w:t xml:space="preserve"> elephant in the room of dynamic capabilities: Bringing two diverging conversations together’, </w:t>
      </w:r>
      <w:r>
        <w:rPr>
          <w:rStyle w:val="Emphasis"/>
        </w:rPr>
        <w:t>Strategic Management Journal</w:t>
      </w:r>
      <w:r>
        <w:t xml:space="preserve">, 34(12), pp. 1389–1410. </w:t>
      </w:r>
      <w:hyperlink r:id="rId24" w:tgtFrame="_new" w:history="1">
        <w:r>
          <w:rPr>
            <w:rStyle w:val="Hyperlink"/>
          </w:rPr>
          <w:t>https://doi.org/10.1002/smj.2078</w:t>
        </w:r>
      </w:hyperlink>
      <w:r>
        <w:t xml:space="preserve"> </w:t>
      </w:r>
    </w:p>
    <w:p w:rsidR="00A33A25" w:rsidRDefault="00A33A25" w:rsidP="00A33A25">
      <w:pPr>
        <w:ind w:left="720" w:hanging="720"/>
      </w:pPr>
      <w:proofErr w:type="spellStart"/>
      <w:r>
        <w:t>Podsakoff</w:t>
      </w:r>
      <w:proofErr w:type="spellEnd"/>
      <w:r>
        <w:t xml:space="preserve">, P.M., </w:t>
      </w:r>
      <w:proofErr w:type="spellStart"/>
      <w:r>
        <w:t>MacKenzie</w:t>
      </w:r>
      <w:proofErr w:type="spellEnd"/>
      <w:r>
        <w:t xml:space="preserve">, S.B., Lee, J.-Y. </w:t>
      </w:r>
      <w:proofErr w:type="gramStart"/>
      <w:r>
        <w:t>and</w:t>
      </w:r>
      <w:proofErr w:type="gramEnd"/>
      <w:r>
        <w:t xml:space="preserve"> </w:t>
      </w:r>
      <w:proofErr w:type="spellStart"/>
      <w:r>
        <w:t>Podsakoff</w:t>
      </w:r>
      <w:proofErr w:type="spellEnd"/>
      <w:r>
        <w:t xml:space="preserve">, N.P. (2003) ‘Common method biases in behavioral research: A critical review of the literature and recommended remedies’, </w:t>
      </w:r>
      <w:r>
        <w:rPr>
          <w:rStyle w:val="Emphasis"/>
        </w:rPr>
        <w:t>Journal of Applied Psychology</w:t>
      </w:r>
      <w:r>
        <w:t xml:space="preserve">, 88(5), pp. 879–903. </w:t>
      </w:r>
      <w:hyperlink r:id="rId25" w:tgtFrame="_new" w:history="1">
        <w:r>
          <w:rPr>
            <w:rStyle w:val="Hyperlink"/>
          </w:rPr>
          <w:t>https://doi.org/10.1037/0021-9010.88.5.879</w:t>
        </w:r>
      </w:hyperlink>
      <w:r>
        <w:t xml:space="preserve"> </w:t>
      </w:r>
    </w:p>
    <w:p w:rsidR="00A33A25" w:rsidRDefault="00A33A25" w:rsidP="00A33A25">
      <w:pPr>
        <w:ind w:left="720" w:hanging="720"/>
      </w:pPr>
      <w:r>
        <w:t xml:space="preserve">Pretorius, L. (2024) ‘Demystifying research paradigms: Navigating ontology, epistemology, and axiology in research’, </w:t>
      </w:r>
      <w:r>
        <w:rPr>
          <w:rStyle w:val="Emphasis"/>
        </w:rPr>
        <w:t>The Qualitative Report</w:t>
      </w:r>
      <w:r>
        <w:t xml:space="preserve">, 29(10), pp. 2698–2715. </w:t>
      </w:r>
      <w:hyperlink r:id="rId26" w:tgtFrame="_new" w:history="1">
        <w:r>
          <w:rPr>
            <w:rStyle w:val="Hyperlink"/>
          </w:rPr>
          <w:t>https://doi.org/10.46743/2160-3715/2024.7632</w:t>
        </w:r>
      </w:hyperlink>
      <w:r>
        <w:t xml:space="preserve"> </w:t>
      </w:r>
    </w:p>
    <w:p w:rsidR="00A33A25" w:rsidRDefault="00A33A25" w:rsidP="00A33A25">
      <w:pPr>
        <w:ind w:left="720" w:hanging="720"/>
      </w:pPr>
      <w:r>
        <w:t xml:space="preserve">Saunders, M., Lewis, P. and Thornhill, A. (2019) </w:t>
      </w:r>
      <w:r>
        <w:rPr>
          <w:rStyle w:val="Emphasis"/>
        </w:rPr>
        <w:t>Research Methods for Business Students</w:t>
      </w:r>
      <w:r>
        <w:t xml:space="preserve">. 8th </w:t>
      </w:r>
      <w:proofErr w:type="spellStart"/>
      <w:r>
        <w:t>edn</w:t>
      </w:r>
      <w:proofErr w:type="spellEnd"/>
      <w:r>
        <w:t xml:space="preserve">. Harlow: Pearson. </w:t>
      </w:r>
    </w:p>
    <w:p w:rsidR="00A33A25" w:rsidRDefault="00A33A25" w:rsidP="00A33A25">
      <w:pPr>
        <w:ind w:left="720" w:hanging="720"/>
      </w:pPr>
      <w:r>
        <w:t xml:space="preserve">Snyder, H. (2019) ‘Literature review as a research methodology: An overview and guidelines’, </w:t>
      </w:r>
      <w:r>
        <w:rPr>
          <w:rStyle w:val="Emphasis"/>
        </w:rPr>
        <w:t>Journal of Business Research</w:t>
      </w:r>
      <w:r>
        <w:t xml:space="preserve">, 104, pp. 333–339. </w:t>
      </w:r>
      <w:hyperlink r:id="rId27" w:tgtFrame="_new" w:history="1">
        <w:r>
          <w:rPr>
            <w:rStyle w:val="Hyperlink"/>
          </w:rPr>
          <w:t>https://doi.org/10.1016/j.jbusres.2019.07.039</w:t>
        </w:r>
      </w:hyperlink>
      <w:r>
        <w:t xml:space="preserve"> </w:t>
      </w:r>
    </w:p>
    <w:p w:rsidR="00A33A25" w:rsidRDefault="00A33A25" w:rsidP="00A33A25">
      <w:pPr>
        <w:ind w:left="720" w:hanging="720"/>
      </w:pPr>
      <w:proofErr w:type="spellStart"/>
      <w:r>
        <w:t>Teece</w:t>
      </w:r>
      <w:proofErr w:type="spellEnd"/>
      <w:r>
        <w:t xml:space="preserve">, D.J. (2007) ‘Explicating dynamic capabilities: The nature and </w:t>
      </w:r>
      <w:proofErr w:type="spellStart"/>
      <w:r>
        <w:t>microfoundations</w:t>
      </w:r>
      <w:proofErr w:type="spellEnd"/>
      <w:r>
        <w:t xml:space="preserve"> of (sustainable) enterprise performance’, </w:t>
      </w:r>
      <w:r>
        <w:rPr>
          <w:rStyle w:val="Emphasis"/>
        </w:rPr>
        <w:t>Strategic Management Journal</w:t>
      </w:r>
      <w:r>
        <w:t xml:space="preserve">, 28(13), pp. 1319–1350. </w:t>
      </w:r>
      <w:hyperlink r:id="rId28" w:tgtFrame="_new" w:history="1">
        <w:r>
          <w:rPr>
            <w:rStyle w:val="Hyperlink"/>
          </w:rPr>
          <w:t>https://doi.org/10.1002/smj.640</w:t>
        </w:r>
      </w:hyperlink>
      <w:r>
        <w:t xml:space="preserve"> </w:t>
      </w:r>
    </w:p>
    <w:p w:rsidR="00A33A25" w:rsidRDefault="00A33A25" w:rsidP="00A33A25">
      <w:pPr>
        <w:ind w:left="720" w:hanging="720"/>
      </w:pPr>
      <w:r>
        <w:lastRenderedPageBreak/>
        <w:t xml:space="preserve">Thomas, J. and Harden, A. (2008) ‘Methods for the thematic synthesis of qualitative research in systematic reviews’, </w:t>
      </w:r>
      <w:r>
        <w:rPr>
          <w:rStyle w:val="Emphasis"/>
        </w:rPr>
        <w:t>BMC Medical Research Methodology</w:t>
      </w:r>
      <w:r>
        <w:t xml:space="preserve">, 8, 45. </w:t>
      </w:r>
      <w:hyperlink r:id="rId29" w:tgtFrame="_new" w:history="1">
        <w:r>
          <w:rPr>
            <w:rStyle w:val="Hyperlink"/>
          </w:rPr>
          <w:t>https://doi.org/10.1186/1471-2288-8-45</w:t>
        </w:r>
      </w:hyperlink>
      <w:r>
        <w:t xml:space="preserve"> </w:t>
      </w:r>
    </w:p>
    <w:p w:rsidR="00A33A25" w:rsidRDefault="00A33A25" w:rsidP="00A33A25">
      <w:pPr>
        <w:ind w:left="720" w:hanging="720"/>
      </w:pPr>
      <w:proofErr w:type="spellStart"/>
      <w:r>
        <w:t>Tornatzky</w:t>
      </w:r>
      <w:proofErr w:type="spellEnd"/>
      <w:r>
        <w:t xml:space="preserve">, L.G. and Fleischer, M. (1990) </w:t>
      </w:r>
      <w:proofErr w:type="gramStart"/>
      <w:r>
        <w:rPr>
          <w:rStyle w:val="Emphasis"/>
        </w:rPr>
        <w:t>The</w:t>
      </w:r>
      <w:proofErr w:type="gramEnd"/>
      <w:r>
        <w:rPr>
          <w:rStyle w:val="Emphasis"/>
        </w:rPr>
        <w:t xml:space="preserve"> Processes of Technological Innovation</w:t>
      </w:r>
      <w:r>
        <w:t xml:space="preserve">. Lexington, MA: Lexington Books. </w:t>
      </w:r>
    </w:p>
    <w:p w:rsidR="00A33A25" w:rsidRDefault="00A33A25" w:rsidP="00A33A25">
      <w:pPr>
        <w:ind w:left="720" w:hanging="720"/>
      </w:pPr>
      <w:proofErr w:type="spellStart"/>
      <w:r>
        <w:t>Tranfield</w:t>
      </w:r>
      <w:proofErr w:type="spellEnd"/>
      <w:r>
        <w:t xml:space="preserve">, D., </w:t>
      </w:r>
      <w:proofErr w:type="spellStart"/>
      <w:r>
        <w:t>Denyer</w:t>
      </w:r>
      <w:proofErr w:type="spellEnd"/>
      <w:r>
        <w:t xml:space="preserve">, D. and Smart, P. (2003) ‘Towards a methodology for developing evidence-informed management knowledge by means of systematic review’, </w:t>
      </w:r>
      <w:r>
        <w:rPr>
          <w:rStyle w:val="Emphasis"/>
        </w:rPr>
        <w:t>British Journal of Management</w:t>
      </w:r>
      <w:r>
        <w:t xml:space="preserve">, 14(3), pp. 207–222. </w:t>
      </w:r>
      <w:hyperlink r:id="rId30" w:tgtFrame="_new" w:history="1">
        <w:r>
          <w:rPr>
            <w:rStyle w:val="Hyperlink"/>
          </w:rPr>
          <w:t>https://doi.org/10.1111/1467-8551.00375</w:t>
        </w:r>
      </w:hyperlink>
      <w:r>
        <w:t xml:space="preserve"> </w:t>
      </w:r>
    </w:p>
    <w:p w:rsidR="00A33A25" w:rsidRDefault="00A33A25" w:rsidP="00A33A25">
      <w:pPr>
        <w:ind w:left="720" w:hanging="720"/>
      </w:pPr>
      <w:proofErr w:type="spellStart"/>
      <w:r>
        <w:t>Verhoef</w:t>
      </w:r>
      <w:proofErr w:type="spellEnd"/>
      <w:r>
        <w:t xml:space="preserve">, P.C., </w:t>
      </w:r>
      <w:proofErr w:type="spellStart"/>
      <w:r>
        <w:t>Broekhuizen</w:t>
      </w:r>
      <w:proofErr w:type="spellEnd"/>
      <w:r>
        <w:t xml:space="preserve">, T., Bart, Y., Bhattacharya, A., Dong, J.Q., Fabian, N. and </w:t>
      </w:r>
      <w:proofErr w:type="spellStart"/>
      <w:r>
        <w:t>Haenlein</w:t>
      </w:r>
      <w:proofErr w:type="spellEnd"/>
      <w:r>
        <w:t xml:space="preserve">, M. (2021) ‘Digital transformation: A multidisciplinary reflection and research agenda’, </w:t>
      </w:r>
      <w:r>
        <w:rPr>
          <w:rStyle w:val="Emphasis"/>
        </w:rPr>
        <w:t>Journal of Business Research</w:t>
      </w:r>
      <w:r>
        <w:t xml:space="preserve">, 122, pp. 889–901. </w:t>
      </w:r>
      <w:hyperlink r:id="rId31" w:tgtFrame="_new" w:history="1">
        <w:r>
          <w:rPr>
            <w:rStyle w:val="Hyperlink"/>
          </w:rPr>
          <w:t>https://doi.org/10.1016/j.jbusres.2019.09.022</w:t>
        </w:r>
      </w:hyperlink>
      <w:r>
        <w:t xml:space="preserve"> </w:t>
      </w:r>
    </w:p>
    <w:p w:rsidR="00A33A25" w:rsidRDefault="00A33A25" w:rsidP="00A33A25">
      <w:pPr>
        <w:ind w:left="720" w:hanging="720"/>
      </w:pPr>
      <w:r>
        <w:t xml:space="preserve">Vial, G. (2019) ‘Understanding digital transformation: A review and a research agenda’, </w:t>
      </w:r>
      <w:r>
        <w:rPr>
          <w:rStyle w:val="Emphasis"/>
        </w:rPr>
        <w:t>Journal of Strategic Information Systems</w:t>
      </w:r>
      <w:r>
        <w:t xml:space="preserve">, 28(2), pp. 118–144. </w:t>
      </w:r>
      <w:hyperlink r:id="rId32" w:tgtFrame="_new" w:history="1">
        <w:r>
          <w:rPr>
            <w:rStyle w:val="Hyperlink"/>
          </w:rPr>
          <w:t>https://doi.org/10.1016/j.jsis.2019.01.003</w:t>
        </w:r>
      </w:hyperlink>
      <w:r>
        <w:t xml:space="preserve"> </w:t>
      </w:r>
    </w:p>
    <w:p w:rsidR="00A33A25" w:rsidRDefault="00A33A25" w:rsidP="00A33A25">
      <w:pPr>
        <w:ind w:left="720" w:hanging="720"/>
      </w:pPr>
      <w:r>
        <w:t xml:space="preserve">Warner, K.S.R. and </w:t>
      </w:r>
      <w:proofErr w:type="spellStart"/>
      <w:r>
        <w:t>Wäger</w:t>
      </w:r>
      <w:proofErr w:type="spellEnd"/>
      <w:r>
        <w:t xml:space="preserve">, M. (2019) ‘Building dynamic capabilities for digital transformation: An ongoing process of strategic renewal’, </w:t>
      </w:r>
      <w:r>
        <w:rPr>
          <w:rStyle w:val="Emphasis"/>
        </w:rPr>
        <w:t>Long Range Planning</w:t>
      </w:r>
      <w:r>
        <w:t xml:space="preserve">, 52(3), pp. 326–349. </w:t>
      </w:r>
      <w:hyperlink r:id="rId33" w:tgtFrame="_new" w:history="1">
        <w:r>
          <w:rPr>
            <w:rStyle w:val="Hyperlink"/>
          </w:rPr>
          <w:t>https://doi.org/10.1016/j.lrp.2018.12.001</w:t>
        </w:r>
      </w:hyperlink>
      <w:r>
        <w:t xml:space="preserve"> </w:t>
      </w:r>
    </w:p>
    <w:p w:rsidR="00A33A25" w:rsidRDefault="00A33A25" w:rsidP="00A33A25">
      <w:pPr>
        <w:ind w:left="720" w:hanging="720"/>
      </w:pPr>
      <w:r>
        <w:t xml:space="preserve">Yu, J., Wang, J. and Moon, T. (2022) ‘Influence of digital transformation capability on operational performance’, </w:t>
      </w:r>
      <w:r>
        <w:rPr>
          <w:rStyle w:val="Emphasis"/>
        </w:rPr>
        <w:t>Sustainability</w:t>
      </w:r>
      <w:r>
        <w:t xml:space="preserve">, 14(13), 7909. </w:t>
      </w:r>
      <w:hyperlink r:id="rId34" w:tgtFrame="_new" w:history="1">
        <w:r>
          <w:rPr>
            <w:rStyle w:val="Hyperlink"/>
          </w:rPr>
          <w:t>https://doi.org/10.3390/su14137909</w:t>
        </w:r>
      </w:hyperlink>
      <w:r>
        <w:t xml:space="preserve"> </w:t>
      </w:r>
    </w:p>
    <w:p w:rsidR="00A33A25" w:rsidRDefault="00A33A25" w:rsidP="00A33A25">
      <w:pPr>
        <w:ind w:left="720" w:hanging="720"/>
      </w:pPr>
      <w:r>
        <w:t xml:space="preserve">Yin, R.K. (2018) </w:t>
      </w:r>
      <w:r>
        <w:rPr>
          <w:rStyle w:val="Emphasis"/>
        </w:rPr>
        <w:t>Case Study Research and Applications: Design and Methods</w:t>
      </w:r>
      <w:r>
        <w:t xml:space="preserve">. 6th </w:t>
      </w:r>
      <w:proofErr w:type="spellStart"/>
      <w:r>
        <w:t>edn</w:t>
      </w:r>
      <w:proofErr w:type="spellEnd"/>
      <w:r>
        <w:t xml:space="preserve">. Thousand Oaks, CA: SAGE. </w:t>
      </w:r>
    </w:p>
    <w:p w:rsidR="00A33A25" w:rsidRPr="005A6A01" w:rsidRDefault="00A33A25" w:rsidP="00A33A25">
      <w:pPr>
        <w:ind w:left="720" w:hanging="720"/>
      </w:pPr>
      <w:r>
        <w:t xml:space="preserve">Zhu, K. and Kraemer, K.L. (2005) ‘Post-adoption variations in usage and value of e-business by organizations: Cross-country evidence from the retail industry’, </w:t>
      </w:r>
      <w:r>
        <w:rPr>
          <w:rStyle w:val="Emphasis"/>
        </w:rPr>
        <w:t>Information Systems Research</w:t>
      </w:r>
      <w:r>
        <w:t xml:space="preserve">, 16(1), pp. 61–84. </w:t>
      </w:r>
      <w:hyperlink r:id="rId35" w:tgtFrame="_new" w:history="1">
        <w:r>
          <w:rPr>
            <w:rStyle w:val="Hyperlink"/>
          </w:rPr>
          <w:t>https://doi.org/10.1287/isre.1050.0045</w:t>
        </w:r>
      </w:hyperlink>
    </w:p>
    <w:p w:rsidR="00C55132" w:rsidRDefault="00C55132"/>
    <w:sectPr w:rsidR="00C55132" w:rsidSect="00034616">
      <w:headerReference w:type="even" r:id="rId36"/>
      <w:headerReference w:type="default" r:id="rId37"/>
      <w:footerReference w:type="even" r:id="rId38"/>
      <w:footerReference w:type="default" r:id="rId39"/>
      <w:headerReference w:type="first" r:id="rId40"/>
      <w:footerReference w:type="first" r:id="rId41"/>
      <w:pgSz w:w="11906" w:h="16838"/>
      <w:pgMar w:top="1304" w:right="1361" w:bottom="1304" w:left="1474"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50039" w:rsidRDefault="00550039" w:rsidP="00AB7AA2">
      <w:pPr>
        <w:spacing w:after="0" w:line="240" w:lineRule="auto"/>
      </w:pPr>
      <w:r>
        <w:separator/>
      </w:r>
    </w:p>
  </w:endnote>
  <w:endnote w:type="continuationSeparator" w:id="0">
    <w:p w:rsidR="00550039" w:rsidRDefault="00550039" w:rsidP="00AB7A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7AA2" w:rsidRDefault="00AB7A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2DE9" w:rsidRDefault="00550039">
    <w:pPr>
      <w:pStyle w:val="Footer"/>
      <w:jc w:val="center"/>
    </w:pPr>
    <w:r>
      <w:rPr>
        <w:color w:val="6B7280"/>
        <w:sz w:val="18"/>
      </w:rPr>
      <w:fldChar w:fldCharType="begin"/>
    </w:r>
    <w:r>
      <w:rPr>
        <w:color w:val="6B7280"/>
        <w:sz w:val="18"/>
      </w:rPr>
      <w:instrText>PAGE</w:instrText>
    </w:r>
    <w:r>
      <w:rPr>
        <w:color w:val="6B7280"/>
        <w:sz w:val="18"/>
      </w:rPr>
      <w:fldChar w:fldCharType="separate"/>
    </w:r>
    <w:r w:rsidR="00AB7AA2">
      <w:rPr>
        <w:noProof/>
        <w:color w:val="6B7280"/>
        <w:sz w:val="18"/>
      </w:rPr>
      <w:t>14</w:t>
    </w:r>
    <w:r>
      <w:rPr>
        <w:color w:val="6B7280"/>
        <w:sz w:val="18"/>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7AA2" w:rsidRDefault="00AB7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50039" w:rsidRDefault="00550039" w:rsidP="00AB7AA2">
      <w:pPr>
        <w:spacing w:after="0" w:line="240" w:lineRule="auto"/>
      </w:pPr>
      <w:r>
        <w:separator/>
      </w:r>
    </w:p>
  </w:footnote>
  <w:footnote w:type="continuationSeparator" w:id="0">
    <w:p w:rsidR="00550039" w:rsidRDefault="00550039" w:rsidP="00AB7A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7AA2" w:rsidRDefault="00AB7A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7AA2" w:rsidRDefault="00AB7A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7AA2" w:rsidRDefault="00AB7AA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05B0"/>
    <w:rsid w:val="002E110E"/>
    <w:rsid w:val="004B05B0"/>
    <w:rsid w:val="00550039"/>
    <w:rsid w:val="00A33A25"/>
    <w:rsid w:val="00AB7AA2"/>
    <w:rsid w:val="00C55132"/>
    <w:rsid w:val="00E674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1FF60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747F"/>
    <w:pPr>
      <w:spacing w:after="120" w:line="360" w:lineRule="auto"/>
      <w:jc w:val="both"/>
    </w:pPr>
    <w:rPr>
      <w:rFonts w:ascii="Arial" w:eastAsiaTheme="minorEastAsia" w:hAnsi="Arial"/>
      <w:sz w:val="24"/>
    </w:rPr>
  </w:style>
  <w:style w:type="paragraph" w:styleId="Heading1">
    <w:name w:val="heading 1"/>
    <w:basedOn w:val="Normal"/>
    <w:next w:val="Normal"/>
    <w:link w:val="Heading1Char"/>
    <w:uiPriority w:val="9"/>
    <w:qFormat/>
    <w:rsid w:val="00E6747F"/>
    <w:pPr>
      <w:keepNext/>
      <w:keepLines/>
      <w:spacing w:before="200"/>
      <w:outlineLvl w:val="0"/>
    </w:pPr>
    <w:rPr>
      <w:rFonts w:eastAsiaTheme="majorEastAsia" w:cstheme="majorBidi"/>
      <w:b/>
      <w:bCs/>
      <w:color w:val="163A5C"/>
      <w:sz w:val="30"/>
      <w:szCs w:val="28"/>
    </w:rPr>
  </w:style>
  <w:style w:type="paragraph" w:styleId="Heading2">
    <w:name w:val="heading 2"/>
    <w:basedOn w:val="Normal"/>
    <w:next w:val="Normal"/>
    <w:link w:val="Heading2Char"/>
    <w:uiPriority w:val="9"/>
    <w:unhideWhenUsed/>
    <w:qFormat/>
    <w:rsid w:val="00A33A25"/>
    <w:pPr>
      <w:keepNext/>
      <w:keepLines/>
      <w:spacing w:before="200"/>
      <w:outlineLvl w:val="1"/>
    </w:pPr>
    <w:rPr>
      <w:rFonts w:eastAsiaTheme="majorEastAsia" w:cstheme="majorBidi"/>
      <w:b/>
      <w:bCs/>
      <w:color w:val="1F4E79"/>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47F"/>
    <w:rPr>
      <w:rFonts w:ascii="Arial" w:eastAsiaTheme="majorEastAsia" w:hAnsi="Arial" w:cstheme="majorBidi"/>
      <w:b/>
      <w:bCs/>
      <w:color w:val="163A5C"/>
      <w:sz w:val="30"/>
      <w:szCs w:val="28"/>
    </w:rPr>
  </w:style>
  <w:style w:type="character" w:customStyle="1" w:styleId="Heading2Char">
    <w:name w:val="Heading 2 Char"/>
    <w:basedOn w:val="DefaultParagraphFont"/>
    <w:link w:val="Heading2"/>
    <w:uiPriority w:val="9"/>
    <w:rsid w:val="00A33A25"/>
    <w:rPr>
      <w:rFonts w:ascii="Arial" w:eastAsiaTheme="majorEastAsia" w:hAnsi="Arial" w:cstheme="majorBidi"/>
      <w:b/>
      <w:bCs/>
      <w:color w:val="1F4E79"/>
      <w:sz w:val="24"/>
      <w:szCs w:val="26"/>
    </w:rPr>
  </w:style>
  <w:style w:type="paragraph" w:styleId="Footer">
    <w:name w:val="footer"/>
    <w:basedOn w:val="Normal"/>
    <w:link w:val="FooterChar"/>
    <w:uiPriority w:val="99"/>
    <w:unhideWhenUsed/>
    <w:rsid w:val="00A33A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3A25"/>
    <w:rPr>
      <w:rFonts w:ascii="Arial" w:eastAsiaTheme="minorEastAsia" w:hAnsi="Arial"/>
    </w:rPr>
  </w:style>
  <w:style w:type="character" w:styleId="Emphasis">
    <w:name w:val="Emphasis"/>
    <w:basedOn w:val="DefaultParagraphFont"/>
    <w:uiPriority w:val="20"/>
    <w:qFormat/>
    <w:rsid w:val="00A33A25"/>
    <w:rPr>
      <w:i/>
      <w:iCs/>
    </w:rPr>
  </w:style>
  <w:style w:type="paragraph" w:styleId="TOCHeading">
    <w:name w:val="TOC Heading"/>
    <w:basedOn w:val="Heading1"/>
    <w:next w:val="Normal"/>
    <w:uiPriority w:val="39"/>
    <w:unhideWhenUsed/>
    <w:qFormat/>
    <w:rsid w:val="00A33A25"/>
    <w:pPr>
      <w:outlineLvl w:val="9"/>
    </w:pPr>
  </w:style>
  <w:style w:type="table" w:styleId="TableGrid">
    <w:name w:val="Table Grid"/>
    <w:basedOn w:val="TableNormal"/>
    <w:uiPriority w:val="59"/>
    <w:rsid w:val="00A33A25"/>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gureCaption">
    <w:name w:val="Figure Caption"/>
    <w:rsid w:val="00A33A25"/>
    <w:pPr>
      <w:spacing w:before="80" w:after="40" w:line="276" w:lineRule="auto"/>
      <w:jc w:val="center"/>
    </w:pPr>
    <w:rPr>
      <w:rFonts w:ascii="Arial" w:eastAsiaTheme="minorEastAsia" w:hAnsi="Arial"/>
      <w:b/>
      <w:color w:val="374151"/>
      <w:sz w:val="19"/>
    </w:rPr>
  </w:style>
  <w:style w:type="paragraph" w:customStyle="1" w:styleId="FigureSource">
    <w:name w:val="Figure Source"/>
    <w:rsid w:val="00A33A25"/>
    <w:pPr>
      <w:spacing w:line="276" w:lineRule="auto"/>
      <w:jc w:val="center"/>
    </w:pPr>
    <w:rPr>
      <w:rFonts w:ascii="Arial" w:eastAsiaTheme="minorEastAsia" w:hAnsi="Arial"/>
      <w:i/>
      <w:color w:val="5B6573"/>
      <w:sz w:val="17"/>
    </w:rPr>
  </w:style>
  <w:style w:type="paragraph" w:styleId="TOC1">
    <w:name w:val="toc 1"/>
    <w:basedOn w:val="Normal"/>
    <w:next w:val="Normal"/>
    <w:autoRedefine/>
    <w:uiPriority w:val="39"/>
    <w:unhideWhenUsed/>
    <w:rsid w:val="00A33A25"/>
    <w:pPr>
      <w:spacing w:after="100"/>
    </w:pPr>
  </w:style>
  <w:style w:type="paragraph" w:styleId="TOC2">
    <w:name w:val="toc 2"/>
    <w:basedOn w:val="Normal"/>
    <w:next w:val="Normal"/>
    <w:autoRedefine/>
    <w:uiPriority w:val="39"/>
    <w:unhideWhenUsed/>
    <w:rsid w:val="00A33A25"/>
    <w:pPr>
      <w:spacing w:after="100"/>
      <w:ind w:left="220"/>
    </w:pPr>
  </w:style>
  <w:style w:type="character" w:styleId="Hyperlink">
    <w:name w:val="Hyperlink"/>
    <w:basedOn w:val="DefaultParagraphFont"/>
    <w:uiPriority w:val="99"/>
    <w:unhideWhenUsed/>
    <w:rsid w:val="00A33A25"/>
    <w:rPr>
      <w:color w:val="0563C1" w:themeColor="hyperlink"/>
      <w:u w:val="single"/>
    </w:rPr>
  </w:style>
  <w:style w:type="paragraph" w:styleId="Header">
    <w:name w:val="header"/>
    <w:basedOn w:val="Normal"/>
    <w:link w:val="HeaderChar"/>
    <w:uiPriority w:val="99"/>
    <w:unhideWhenUsed/>
    <w:rsid w:val="00AB7A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AA2"/>
    <w:rPr>
      <w:rFonts w:ascii="Arial" w:eastAsiaTheme="minorEastAsia"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3645579.2016.1144401" TargetMode="External"/><Relationship Id="rId18" Type="http://schemas.openxmlformats.org/officeDocument/2006/relationships/hyperlink" Target="https://doi.org/10.1016/j.jbusres.2020.10.033" TargetMode="External"/><Relationship Id="rId26" Type="http://schemas.openxmlformats.org/officeDocument/2006/relationships/hyperlink" Target="https://doi.org/10.46743/2160-3715/2024.7632" TargetMode="External"/><Relationship Id="rId39" Type="http://schemas.openxmlformats.org/officeDocument/2006/relationships/footer" Target="footer2.xml"/><Relationship Id="rId21" Type="http://schemas.openxmlformats.org/officeDocument/2006/relationships/hyperlink" Target="https://doi.org/10.1177/1077800413513733" TargetMode="External"/><Relationship Id="rId34" Type="http://schemas.openxmlformats.org/officeDocument/2006/relationships/hyperlink" Target="https://doi.org/10.3390/su14137909" TargetMode="External"/><Relationship Id="rId42"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doi.org/10.1007/s10660-023-09692-7" TargetMode="External"/><Relationship Id="rId20" Type="http://schemas.openxmlformats.org/officeDocument/2006/relationships/hyperlink" Target="https://doi.org/10.2307/25148636" TargetMode="External"/><Relationship Id="rId29" Type="http://schemas.openxmlformats.org/officeDocument/2006/relationships/hyperlink" Target="https://doi.org/10.1186/1471-2288-8-45" TargetMode="External"/><Relationship Id="rId41"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2307/249008" TargetMode="External"/><Relationship Id="rId24" Type="http://schemas.openxmlformats.org/officeDocument/2006/relationships/hyperlink" Target="https://doi.org/10.1002/smj.2078" TargetMode="External"/><Relationship Id="rId32" Type="http://schemas.openxmlformats.org/officeDocument/2006/relationships/hyperlink" Target="https://doi.org/10.1016/j.jsis.2019.01.003"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endnotes" Target="endnotes.xml"/><Relationship Id="rId15" Type="http://schemas.openxmlformats.org/officeDocument/2006/relationships/hyperlink" Target="https://doi.org/10.1111/joms.12639" TargetMode="External"/><Relationship Id="rId23" Type="http://schemas.openxmlformats.org/officeDocument/2006/relationships/hyperlink" Target="https://doi.org/10.1136/bmj.n71" TargetMode="External"/><Relationship Id="rId28" Type="http://schemas.openxmlformats.org/officeDocument/2006/relationships/hyperlink" Target="https://doi.org/10.1002/smj.640" TargetMode="External"/><Relationship Id="rId36" Type="http://schemas.openxmlformats.org/officeDocument/2006/relationships/header" Target="header1.xml"/><Relationship Id="rId10" Type="http://schemas.openxmlformats.org/officeDocument/2006/relationships/hyperlink" Target="https://doi.org/10.3390/su15129361" TargetMode="External"/><Relationship Id="rId19" Type="http://schemas.openxmlformats.org/officeDocument/2006/relationships/hyperlink" Target="https://doi.org/10.1108/JKM-02-2023-0121" TargetMode="External"/><Relationship Id="rId31" Type="http://schemas.openxmlformats.org/officeDocument/2006/relationships/hyperlink" Target="https://doi.org/10.1016/j.jbusres.2019.09.022" TargetMode="External"/><Relationship Id="rId4" Type="http://schemas.openxmlformats.org/officeDocument/2006/relationships/footnotes" Target="footnotes.xml"/><Relationship Id="rId9" Type="http://schemas.openxmlformats.org/officeDocument/2006/relationships/hyperlink" Target="https://doi.org/10.1177/014920639101700108" TargetMode="External"/><Relationship Id="rId14" Type="http://schemas.openxmlformats.org/officeDocument/2006/relationships/hyperlink" Target="https://doi.org/10.3390/su15021594" TargetMode="External"/><Relationship Id="rId22" Type="http://schemas.openxmlformats.org/officeDocument/2006/relationships/hyperlink" Target="https://doi.org/10.3390/joitmc8040200" TargetMode="External"/><Relationship Id="rId27" Type="http://schemas.openxmlformats.org/officeDocument/2006/relationships/hyperlink" Target="https://doi.org/10.1016/j.jbusres.2019.07.039" TargetMode="External"/><Relationship Id="rId30" Type="http://schemas.openxmlformats.org/officeDocument/2006/relationships/hyperlink" Target="https://doi.org/10.1111/1467-8551.00375" TargetMode="External"/><Relationship Id="rId35" Type="http://schemas.openxmlformats.org/officeDocument/2006/relationships/hyperlink" Target="https://doi.org/10.1287/isre.1050.0045" TargetMode="External"/><Relationship Id="rId43" Type="http://schemas.openxmlformats.org/officeDocument/2006/relationships/theme" Target="theme/theme1.xml"/><Relationship Id="rId8" Type="http://schemas.openxmlformats.org/officeDocument/2006/relationships/hyperlink" Target="https://doi.org/10.1016/j.ijinfomgt.2023.102649" TargetMode="External"/><Relationship Id="rId3" Type="http://schemas.openxmlformats.org/officeDocument/2006/relationships/webSettings" Target="webSettings.xml"/><Relationship Id="rId12" Type="http://schemas.openxmlformats.org/officeDocument/2006/relationships/hyperlink" Target="https://doi.org/10.1016/j.techsoc.2024.102728" TargetMode="External"/><Relationship Id="rId17" Type="http://schemas.openxmlformats.org/officeDocument/2006/relationships/hyperlink" Target="https://doi.org/10.1057/s41599-025-04952-3" TargetMode="External"/><Relationship Id="rId25" Type="http://schemas.openxmlformats.org/officeDocument/2006/relationships/hyperlink" Target="https://doi.org/10.1037/0021-9010.88.5.879" TargetMode="External"/><Relationship Id="rId33" Type="http://schemas.openxmlformats.org/officeDocument/2006/relationships/hyperlink" Target="https://doi.org/10.1016/j.lrp.2018.12.001"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32</Pages>
  <Words>10433</Words>
  <Characters>59470</Characters>
  <Application>Microsoft Office Word</Application>
  <DocSecurity>0</DocSecurity>
  <Lines>495</Lines>
  <Paragraphs>139</Paragraphs>
  <ScaleCrop>false</ScaleCrop>
  <Company/>
  <LinksUpToDate>false</LinksUpToDate>
  <CharactersWithSpaces>69764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2026-08-19T00:00:00Z</dcterms:created>
  <dcterms:modified xsi:type="dcterms:W3CDTF">2026-08-19T00:00:00Z</dcterms:modified>
</cp:coreProperties>
</file>