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B2B95CA" w:rsidR="00986B43" w:rsidRPr="00642B4E" w:rsidRDefault="00986B43" w:rsidP="005D3F07">
            <w:pPr>
              <w:overflowPunct/>
              <w:autoSpaceDE/>
              <w:autoSpaceDN/>
              <w:adjustRightInd/>
              <w:ind w:right="-957"/>
              <w:textAlignment w:val="auto"/>
              <w:rPr>
                <w:rFonts w:ascii="Times New Roman" w:hAnsi="Times New Roman" w:cs="Times New Roman"/>
                <w:color w:val="auto"/>
                <w:sz w:val="40"/>
                <w:szCs w:val="40"/>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42B4E">
              <w:rPr>
                <w:rFonts w:ascii="Times New Roman" w:hAnsi="Times New Roman" w:cs="Times New Roman"/>
                <w:color w:val="auto"/>
                <w:sz w:val="40"/>
                <w:szCs w:val="40"/>
              </w:rPr>
              <w:t>Sian Jelly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85033A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42B4E">
              <w:rPr>
                <w:rFonts w:ascii="Times New Roman" w:hAnsi="Times New Roman" w:cs="Times New Roman"/>
                <w:sz w:val="40"/>
                <w:szCs w:val="40"/>
              </w:rPr>
              <w:t xml:space="preserve"> 2317728@student.uwtsd.ac.uk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9D1FDA2" w:rsidR="0085230E" w:rsidRDefault="00642B4E" w:rsidP="005D3F07">
            <w:pPr>
              <w:overflowPunct/>
              <w:autoSpaceDE/>
              <w:autoSpaceDN/>
              <w:adjustRightInd/>
              <w:ind w:right="-957"/>
              <w:textAlignment w:val="auto"/>
              <w:rPr>
                <w:rFonts w:ascii="Times New Roman" w:hAnsi="Times New Roman" w:cs="Times New Roman"/>
                <w:sz w:val="40"/>
                <w:szCs w:val="40"/>
              </w:rPr>
            </w:pPr>
            <w:r>
              <w:rPr>
                <w:rFonts w:ascii="Times New Roman" w:hAnsi="Times New Roman" w:cs="Times New Roman"/>
                <w:sz w:val="40"/>
                <w:szCs w:val="40"/>
              </w:rPr>
              <w:t>2317728</w:t>
            </w:r>
          </w:p>
          <w:p w14:paraId="47FBF6CF" w14:textId="77777777" w:rsidR="00642B4E" w:rsidRPr="005D3F07" w:rsidRDefault="00642B4E" w:rsidP="005D3F07">
            <w:pPr>
              <w:overflowPunct/>
              <w:autoSpaceDE/>
              <w:autoSpaceDN/>
              <w:adjustRightInd/>
              <w:ind w:right="-957"/>
              <w:textAlignment w:val="auto"/>
              <w:rPr>
                <w:rFonts w:ascii="Times New Roman" w:hAnsi="Times New Roman" w:cs="Times New Roman"/>
                <w:b/>
                <w:color w:val="auto"/>
                <w:sz w:val="48"/>
              </w:rPr>
            </w:pPr>
          </w:p>
          <w:p w14:paraId="5F84129B" w14:textId="6B5927E3" w:rsidR="0085230E" w:rsidRPr="005D3F07" w:rsidRDefault="00706BB5" w:rsidP="00642B4E">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642B4E">
              <w:rPr>
                <w:rFonts w:ascii="Times New Roman" w:hAnsi="Times New Roman" w:cs="Times New Roman"/>
                <w:b/>
                <w:color w:val="auto"/>
                <w:sz w:val="48"/>
              </w:rPr>
              <w:t>22</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Pr="00642B4E" w:rsidRDefault="00D3203C" w:rsidP="00EE5BC3">
      <w:pPr>
        <w:jc w:val="center"/>
        <w:rPr>
          <w:rFonts w:asciiTheme="minorHAnsi" w:hAnsiTheme="minorHAnsi" w:cstheme="minorHAnsi"/>
          <w:b/>
          <w:sz w:val="24"/>
          <w:szCs w:val="24"/>
        </w:rPr>
      </w:pPr>
    </w:p>
    <w:p w14:paraId="5A670606" w14:textId="63DC81B5" w:rsidR="00F546D1" w:rsidRPr="00642B4E" w:rsidRDefault="007374EF" w:rsidP="00EE5BC3">
      <w:pPr>
        <w:jc w:val="center"/>
        <w:rPr>
          <w:rFonts w:asciiTheme="minorHAnsi" w:hAnsiTheme="minorHAnsi" w:cstheme="minorHAnsi"/>
          <w:sz w:val="24"/>
          <w:szCs w:val="24"/>
        </w:rPr>
      </w:pPr>
      <w:r w:rsidRPr="00642B4E">
        <w:rPr>
          <w:rFonts w:asciiTheme="minorHAnsi" w:hAnsiTheme="minorHAnsi" w:cstheme="minorHAnsi"/>
          <w:b/>
          <w:sz w:val="24"/>
          <w:szCs w:val="24"/>
        </w:rPr>
        <w:t>Task 3</w:t>
      </w:r>
    </w:p>
    <w:p w14:paraId="3D5F0C24" w14:textId="77777777" w:rsidR="00F546D1" w:rsidRPr="00642B4E" w:rsidRDefault="00F546D1" w:rsidP="00EE5BC3">
      <w:pPr>
        <w:jc w:val="center"/>
        <w:rPr>
          <w:rFonts w:asciiTheme="minorHAnsi" w:hAnsiTheme="minorHAnsi" w:cstheme="minorHAnsi"/>
          <w:b/>
          <w:sz w:val="24"/>
          <w:szCs w:val="24"/>
        </w:rPr>
      </w:pPr>
    </w:p>
    <w:p w14:paraId="02619381" w14:textId="77777777" w:rsidR="00A12F22" w:rsidRPr="00642B4E" w:rsidRDefault="00E559CE" w:rsidP="00EE5BC3">
      <w:pPr>
        <w:jc w:val="center"/>
        <w:rPr>
          <w:rFonts w:asciiTheme="minorHAnsi" w:hAnsiTheme="minorHAnsi" w:cstheme="minorHAnsi"/>
          <w:b/>
          <w:color w:val="auto"/>
          <w:sz w:val="24"/>
          <w:szCs w:val="24"/>
        </w:rPr>
      </w:pPr>
      <w:r w:rsidRPr="00642B4E">
        <w:rPr>
          <w:rFonts w:asciiTheme="minorHAnsi" w:hAnsiTheme="minorHAnsi" w:cstheme="minorHAnsi"/>
          <w:b/>
          <w:color w:val="auto"/>
          <w:sz w:val="24"/>
          <w:szCs w:val="24"/>
        </w:rPr>
        <w:t>Safeguarding and working in complex situations</w:t>
      </w:r>
      <w:r w:rsidR="00002C7A" w:rsidRPr="00642B4E">
        <w:rPr>
          <w:rFonts w:asciiTheme="minorHAnsi" w:hAnsiTheme="minorHAnsi" w:cstheme="minorHAnsi"/>
          <w:b/>
          <w:color w:val="auto"/>
          <w:sz w:val="24"/>
          <w:szCs w:val="24"/>
        </w:rPr>
        <w:t xml:space="preserve"> – Case Study</w:t>
      </w:r>
    </w:p>
    <w:p w14:paraId="746467D8" w14:textId="77777777" w:rsidR="007C5ABE" w:rsidRPr="00642B4E" w:rsidRDefault="007C5ABE" w:rsidP="0093018C">
      <w:pPr>
        <w:rPr>
          <w:rFonts w:asciiTheme="minorHAnsi" w:hAnsiTheme="minorHAnsi" w:cstheme="minorHAnsi"/>
          <w:b/>
          <w:color w:val="auto"/>
          <w:sz w:val="24"/>
          <w:szCs w:val="24"/>
        </w:rPr>
      </w:pPr>
    </w:p>
    <w:p w14:paraId="4AF0BB36" w14:textId="77777777" w:rsidR="00D0503D" w:rsidRPr="00642B4E" w:rsidRDefault="00D0503D" w:rsidP="0093018C">
      <w:pPr>
        <w:rPr>
          <w:rFonts w:asciiTheme="minorHAnsi" w:hAnsiTheme="minorHAnsi" w:cstheme="minorHAnsi"/>
          <w:b/>
          <w:color w:val="auto"/>
          <w:sz w:val="24"/>
          <w:szCs w:val="24"/>
        </w:rPr>
      </w:pPr>
      <w:r w:rsidRPr="00642B4E">
        <w:rPr>
          <w:rFonts w:asciiTheme="minorHAnsi" w:hAnsiTheme="minorHAnsi" w:cstheme="minorHAnsi"/>
          <w:b/>
          <w:color w:val="auto"/>
          <w:sz w:val="24"/>
          <w:szCs w:val="24"/>
        </w:rPr>
        <w:t>Guidance</w:t>
      </w:r>
      <w:r w:rsidR="00084DA6" w:rsidRPr="00642B4E">
        <w:rPr>
          <w:rFonts w:asciiTheme="minorHAnsi" w:hAnsiTheme="minorHAnsi" w:cstheme="minorHAnsi"/>
          <w:b/>
          <w:color w:val="auto"/>
          <w:sz w:val="24"/>
          <w:szCs w:val="24"/>
        </w:rPr>
        <w:t>;</w:t>
      </w:r>
    </w:p>
    <w:p w14:paraId="104AED32" w14:textId="7E0942CD" w:rsidR="007C5ABE" w:rsidRPr="00642B4E" w:rsidRDefault="00084DA6">
      <w:pPr>
        <w:jc w:val="both"/>
        <w:rPr>
          <w:rFonts w:asciiTheme="minorHAnsi" w:hAnsiTheme="minorHAnsi" w:cstheme="minorHAnsi"/>
          <w:i/>
          <w:iCs/>
          <w:sz w:val="24"/>
          <w:szCs w:val="24"/>
        </w:rPr>
      </w:pPr>
      <w:r w:rsidRPr="00642B4E">
        <w:rPr>
          <w:rFonts w:asciiTheme="minorHAnsi" w:hAnsiTheme="minorHAnsi" w:cstheme="minorHAnsi"/>
          <w:i/>
          <w:iCs/>
          <w:sz w:val="24"/>
          <w:szCs w:val="24"/>
        </w:rPr>
        <w:t xml:space="preserve">Please ensure that you </w:t>
      </w:r>
      <w:r w:rsidR="00F45521" w:rsidRPr="00642B4E">
        <w:rPr>
          <w:rFonts w:asciiTheme="minorHAnsi" w:hAnsiTheme="minorHAnsi" w:cstheme="minorHAnsi"/>
          <w:i/>
          <w:iCs/>
          <w:sz w:val="24"/>
          <w:szCs w:val="24"/>
        </w:rPr>
        <w:t>meet</w:t>
      </w:r>
      <w:r w:rsidRPr="00642B4E">
        <w:rPr>
          <w:rFonts w:asciiTheme="minorHAnsi" w:hAnsiTheme="minorHAnsi" w:cstheme="minorHAnsi"/>
          <w:i/>
          <w:iCs/>
          <w:sz w:val="24"/>
          <w:szCs w:val="24"/>
        </w:rPr>
        <w:t xml:space="preserve"> the </w:t>
      </w:r>
      <w:r w:rsidR="00AA7960" w:rsidRPr="00642B4E">
        <w:rPr>
          <w:rFonts w:asciiTheme="minorHAnsi" w:hAnsiTheme="minorHAnsi" w:cstheme="minorHAnsi"/>
          <w:i/>
          <w:iCs/>
          <w:sz w:val="24"/>
          <w:szCs w:val="24"/>
        </w:rPr>
        <w:t xml:space="preserve">National Occupational Standards and assigned </w:t>
      </w:r>
      <w:r w:rsidRPr="00642B4E">
        <w:rPr>
          <w:rFonts w:asciiTheme="minorHAnsi" w:hAnsiTheme="minorHAnsi" w:cstheme="minorHAnsi"/>
          <w:i/>
          <w:iCs/>
          <w:sz w:val="24"/>
          <w:szCs w:val="24"/>
        </w:rPr>
        <w:t>Learning Outcomes for this task</w:t>
      </w:r>
      <w:r w:rsidR="00AA7960" w:rsidRPr="00642B4E">
        <w:rPr>
          <w:rFonts w:asciiTheme="minorHAnsi" w:hAnsiTheme="minorHAnsi" w:cstheme="minorHAnsi"/>
          <w:i/>
          <w:iCs/>
          <w:sz w:val="24"/>
          <w:szCs w:val="24"/>
        </w:rPr>
        <w:t xml:space="preserve"> (s</w:t>
      </w:r>
      <w:r w:rsidRPr="00642B4E">
        <w:rPr>
          <w:rFonts w:asciiTheme="minorHAnsi" w:hAnsiTheme="minorHAnsi" w:cstheme="minorHAnsi"/>
          <w:i/>
          <w:iCs/>
          <w:sz w:val="24"/>
          <w:szCs w:val="24"/>
        </w:rPr>
        <w:t xml:space="preserve">ee appendix </w:t>
      </w:r>
      <w:r w:rsidR="6D1B720D" w:rsidRPr="00642B4E">
        <w:rPr>
          <w:rFonts w:asciiTheme="minorHAnsi" w:hAnsiTheme="minorHAnsi" w:cstheme="minorHAnsi"/>
          <w:i/>
          <w:iCs/>
          <w:sz w:val="24"/>
          <w:szCs w:val="24"/>
        </w:rPr>
        <w:t>5 and 6 of the handbook</w:t>
      </w:r>
      <w:r w:rsidR="00AA7960" w:rsidRPr="00642B4E">
        <w:rPr>
          <w:rFonts w:asciiTheme="minorHAnsi" w:hAnsiTheme="minorHAnsi" w:cstheme="minorHAnsi"/>
          <w:i/>
          <w:iCs/>
          <w:sz w:val="24"/>
          <w:szCs w:val="24"/>
        </w:rPr>
        <w:t>)</w:t>
      </w:r>
      <w:r w:rsidR="007374EF" w:rsidRPr="00642B4E">
        <w:rPr>
          <w:rFonts w:asciiTheme="minorHAnsi" w:hAnsiTheme="minorHAnsi" w:cstheme="minorHAnsi"/>
          <w:i/>
          <w:iCs/>
          <w:sz w:val="24"/>
          <w:szCs w:val="24"/>
        </w:rPr>
        <w:t>.</w:t>
      </w:r>
      <w:r w:rsidR="00540EEC" w:rsidRPr="00642B4E">
        <w:rPr>
          <w:rFonts w:asciiTheme="minorHAnsi" w:hAnsiTheme="minorHAnsi" w:cstheme="minorHAnsi"/>
          <w:i/>
          <w:iCs/>
          <w:sz w:val="24"/>
          <w:szCs w:val="24"/>
        </w:rPr>
        <w:t xml:space="preserve"> </w:t>
      </w:r>
    </w:p>
    <w:p w14:paraId="257A6431" w14:textId="77777777" w:rsidR="008B28E7" w:rsidRPr="00642B4E" w:rsidRDefault="008B28E7" w:rsidP="00FF7EBB">
      <w:pPr>
        <w:jc w:val="both"/>
        <w:rPr>
          <w:rFonts w:asciiTheme="minorHAnsi" w:hAnsiTheme="minorHAnsi" w:cstheme="minorHAnsi"/>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642B4E" w14:paraId="2E129DEE" w14:textId="77777777" w:rsidTr="7B2CF1A9">
        <w:tc>
          <w:tcPr>
            <w:tcW w:w="10031" w:type="dxa"/>
            <w:shd w:val="clear" w:color="auto" w:fill="auto"/>
          </w:tcPr>
          <w:p w14:paraId="63627B26" w14:textId="64A7A177" w:rsidR="006872A0" w:rsidRPr="00642B4E" w:rsidRDefault="006872A0" w:rsidP="00064063">
            <w:pPr>
              <w:jc w:val="both"/>
              <w:rPr>
                <w:rFonts w:asciiTheme="minorHAnsi" w:hAnsiTheme="minorHAnsi" w:cstheme="minorHAnsi"/>
                <w:b/>
                <w:sz w:val="24"/>
                <w:szCs w:val="24"/>
              </w:rPr>
            </w:pPr>
            <w:r w:rsidRPr="00642B4E">
              <w:rPr>
                <w:rFonts w:asciiTheme="minorHAnsi" w:hAnsiTheme="minorHAnsi" w:cstheme="minorHAnsi"/>
                <w:b/>
                <w:sz w:val="24"/>
                <w:szCs w:val="24"/>
              </w:rPr>
              <w:t>Question</w:t>
            </w:r>
            <w:r w:rsidR="007A628F" w:rsidRPr="00642B4E">
              <w:rPr>
                <w:rFonts w:asciiTheme="minorHAnsi" w:hAnsiTheme="minorHAnsi" w:cstheme="minorHAnsi"/>
                <w:b/>
                <w:sz w:val="24"/>
                <w:szCs w:val="24"/>
              </w:rPr>
              <w:t>:</w:t>
            </w:r>
          </w:p>
          <w:p w14:paraId="541B485B" w14:textId="4CB44B06" w:rsidR="00C77FA5" w:rsidRPr="00642B4E" w:rsidRDefault="000A584A">
            <w:pPr>
              <w:jc w:val="both"/>
              <w:rPr>
                <w:rFonts w:asciiTheme="minorHAnsi" w:hAnsiTheme="minorHAnsi" w:cstheme="minorHAnsi"/>
                <w:sz w:val="24"/>
                <w:szCs w:val="24"/>
              </w:rPr>
            </w:pPr>
            <w:r w:rsidRPr="00642B4E">
              <w:rPr>
                <w:rFonts w:asciiTheme="minorHAnsi" w:hAnsiTheme="minorHAnsi" w:cstheme="minorHAnsi"/>
                <w:sz w:val="24"/>
                <w:szCs w:val="24"/>
              </w:rPr>
              <w:t xml:space="preserve">Complete a critically reflective case study </w:t>
            </w:r>
            <w:r w:rsidR="00D0503D" w:rsidRPr="00642B4E">
              <w:rPr>
                <w:rFonts w:asciiTheme="minorHAnsi" w:hAnsiTheme="minorHAnsi" w:cstheme="minorHAnsi"/>
                <w:sz w:val="24"/>
                <w:szCs w:val="24"/>
              </w:rPr>
              <w:t>based</w:t>
            </w:r>
            <w:r w:rsidRPr="00642B4E">
              <w:rPr>
                <w:rFonts w:asciiTheme="minorHAnsi" w:hAnsiTheme="minorHAnsi" w:cstheme="minorHAnsi"/>
                <w:sz w:val="24"/>
                <w:szCs w:val="24"/>
              </w:rPr>
              <w:t xml:space="preserve"> on</w:t>
            </w:r>
            <w:r w:rsidR="00696A88" w:rsidRPr="00642B4E">
              <w:rPr>
                <w:rFonts w:asciiTheme="minorHAnsi" w:hAnsiTheme="minorHAnsi" w:cstheme="minorHAnsi"/>
                <w:sz w:val="24"/>
                <w:szCs w:val="24"/>
              </w:rPr>
              <w:t xml:space="preserve"> </w:t>
            </w:r>
            <w:r w:rsidR="00411EF7" w:rsidRPr="00642B4E">
              <w:rPr>
                <w:rFonts w:asciiTheme="minorHAnsi" w:hAnsiTheme="minorHAnsi" w:cstheme="minorHAnsi"/>
                <w:sz w:val="24"/>
                <w:szCs w:val="24"/>
              </w:rPr>
              <w:t>an assessment</w:t>
            </w:r>
            <w:r w:rsidR="007F312E" w:rsidRPr="00642B4E">
              <w:rPr>
                <w:rFonts w:asciiTheme="minorHAnsi" w:hAnsiTheme="minorHAnsi" w:cstheme="minorHAnsi"/>
                <w:sz w:val="24"/>
                <w:szCs w:val="24"/>
              </w:rPr>
              <w:t xml:space="preserve"> </w:t>
            </w:r>
            <w:r w:rsidR="007C5ABE" w:rsidRPr="00642B4E">
              <w:rPr>
                <w:rFonts w:asciiTheme="minorHAnsi" w:hAnsiTheme="minorHAnsi" w:cstheme="minorHAnsi"/>
                <w:sz w:val="24"/>
                <w:szCs w:val="24"/>
              </w:rPr>
              <w:t xml:space="preserve">that you have </w:t>
            </w:r>
            <w:r w:rsidRPr="00642B4E">
              <w:rPr>
                <w:rFonts w:asciiTheme="minorHAnsi" w:hAnsiTheme="minorHAnsi" w:cstheme="minorHAnsi"/>
                <w:sz w:val="24"/>
                <w:szCs w:val="24"/>
              </w:rPr>
              <w:t xml:space="preserve">undertaken with </w:t>
            </w:r>
            <w:r w:rsidR="00D0503D" w:rsidRPr="00642B4E">
              <w:rPr>
                <w:rFonts w:asciiTheme="minorHAnsi" w:hAnsiTheme="minorHAnsi" w:cstheme="minorHAnsi"/>
                <w:sz w:val="24"/>
                <w:szCs w:val="24"/>
              </w:rPr>
              <w:t>others,</w:t>
            </w:r>
            <w:r w:rsidR="00D0503D" w:rsidRPr="00642B4E">
              <w:rPr>
                <w:rFonts w:asciiTheme="minorHAnsi" w:hAnsiTheme="minorHAnsi" w:cstheme="minorHAnsi"/>
                <w:b/>
                <w:bCs/>
                <w:sz w:val="24"/>
                <w:szCs w:val="24"/>
              </w:rPr>
              <w:t xml:space="preserve"> </w:t>
            </w:r>
            <w:r w:rsidR="00D0503D" w:rsidRPr="00642B4E">
              <w:rPr>
                <w:rFonts w:asciiTheme="minorHAnsi" w:hAnsiTheme="minorHAnsi" w:cstheme="minorHAnsi"/>
                <w:sz w:val="24"/>
                <w:szCs w:val="24"/>
              </w:rPr>
              <w:t>in</w:t>
            </w:r>
            <w:r w:rsidR="0002440E" w:rsidRPr="00642B4E">
              <w:rPr>
                <w:rFonts w:asciiTheme="minorHAnsi" w:hAnsiTheme="minorHAnsi" w:cstheme="minorHAnsi"/>
                <w:sz w:val="24"/>
                <w:szCs w:val="24"/>
              </w:rPr>
              <w:t xml:space="preserve"> your own area of work</w:t>
            </w:r>
            <w:r w:rsidR="00D0503D" w:rsidRPr="00642B4E">
              <w:rPr>
                <w:rFonts w:asciiTheme="minorHAnsi" w:hAnsiTheme="minorHAnsi" w:cstheme="minorHAnsi"/>
                <w:sz w:val="24"/>
                <w:szCs w:val="24"/>
              </w:rPr>
              <w:t xml:space="preserve">, </w:t>
            </w:r>
            <w:r w:rsidR="00587923" w:rsidRPr="00642B4E">
              <w:rPr>
                <w:rFonts w:asciiTheme="minorHAnsi" w:hAnsiTheme="minorHAnsi" w:cstheme="minorHAnsi"/>
                <w:sz w:val="24"/>
                <w:szCs w:val="24"/>
              </w:rPr>
              <w:t>c</w:t>
            </w:r>
            <w:r w:rsidR="008B28E7" w:rsidRPr="00642B4E">
              <w:rPr>
                <w:rFonts w:asciiTheme="minorHAnsi" w:hAnsiTheme="minorHAnsi" w:cstheme="minorHAnsi"/>
                <w:sz w:val="24"/>
                <w:szCs w:val="24"/>
              </w:rPr>
              <w:t>oncerning the safeguarding of either an adult or a child</w:t>
            </w:r>
            <w:r w:rsidRPr="00642B4E">
              <w:rPr>
                <w:rFonts w:asciiTheme="minorHAnsi" w:hAnsiTheme="minorHAnsi" w:cstheme="minorHAnsi"/>
                <w:sz w:val="24"/>
                <w:szCs w:val="24"/>
              </w:rPr>
              <w:t xml:space="preserve">. </w:t>
            </w:r>
            <w:r w:rsidR="00216563" w:rsidRPr="00642B4E">
              <w:rPr>
                <w:rFonts w:asciiTheme="minorHAnsi" w:hAnsiTheme="minorHAnsi" w:cstheme="minorHAnsi"/>
                <w:sz w:val="24"/>
                <w:szCs w:val="24"/>
              </w:rPr>
              <w:t xml:space="preserve">You must demonstrate how </w:t>
            </w:r>
            <w:r w:rsidR="00F34C86" w:rsidRPr="00642B4E">
              <w:rPr>
                <w:rFonts w:asciiTheme="minorHAnsi" w:hAnsiTheme="minorHAnsi" w:cstheme="minorHAnsi"/>
                <w:sz w:val="24"/>
                <w:szCs w:val="24"/>
              </w:rPr>
              <w:t xml:space="preserve">the case relates to or could relate to safeguarding </w:t>
            </w:r>
            <w:r w:rsidR="00216563" w:rsidRPr="00642B4E">
              <w:rPr>
                <w:rFonts w:asciiTheme="minorHAnsi" w:hAnsiTheme="minorHAnsi" w:cstheme="minorHAnsi"/>
                <w:sz w:val="24"/>
                <w:szCs w:val="24"/>
              </w:rPr>
              <w:t>legislation, policies</w:t>
            </w:r>
            <w:r w:rsidR="00F34C86" w:rsidRPr="00642B4E">
              <w:rPr>
                <w:rFonts w:asciiTheme="minorHAnsi" w:hAnsiTheme="minorHAnsi" w:cstheme="minorHAnsi"/>
                <w:sz w:val="24"/>
                <w:szCs w:val="24"/>
              </w:rPr>
              <w:t>, strategies and procedures</w:t>
            </w:r>
            <w:r w:rsidR="7AAB400D" w:rsidRPr="00642B4E">
              <w:rPr>
                <w:rFonts w:asciiTheme="minorHAnsi" w:hAnsiTheme="minorHAnsi" w:cstheme="minorHAnsi"/>
                <w:sz w:val="24"/>
                <w:szCs w:val="24"/>
              </w:rPr>
              <w:t xml:space="preserve"> </w:t>
            </w:r>
            <w:r w:rsidR="623F2A43" w:rsidRPr="00642B4E">
              <w:rPr>
                <w:rFonts w:asciiTheme="minorHAnsi" w:hAnsiTheme="minorHAnsi" w:cstheme="minorHAnsi"/>
                <w:sz w:val="24"/>
                <w:szCs w:val="24"/>
              </w:rPr>
              <w:t>(</w:t>
            </w:r>
            <w:r w:rsidR="7AAB400D" w:rsidRPr="00642B4E">
              <w:rPr>
                <w:rFonts w:asciiTheme="minorHAnsi" w:hAnsiTheme="minorHAnsi" w:cstheme="minorHAnsi"/>
                <w:sz w:val="24"/>
                <w:szCs w:val="24"/>
              </w:rPr>
              <w:t>i</w:t>
            </w:r>
            <w:r w:rsidR="623F2A43" w:rsidRPr="00642B4E">
              <w:rPr>
                <w:rFonts w:asciiTheme="minorHAnsi" w:hAnsiTheme="minorHAnsi" w:cstheme="minorHAnsi"/>
                <w:sz w:val="24"/>
                <w:szCs w:val="24"/>
              </w:rPr>
              <w:t xml:space="preserve">ncluding </w:t>
            </w:r>
            <w:r w:rsidR="322513AD" w:rsidRPr="00642B4E">
              <w:rPr>
                <w:rFonts w:asciiTheme="minorHAnsi" w:hAnsiTheme="minorHAnsi" w:cstheme="minorHAnsi"/>
                <w:sz w:val="24"/>
                <w:szCs w:val="24"/>
              </w:rPr>
              <w:t>d</w:t>
            </w:r>
            <w:r w:rsidR="7E97696C" w:rsidRPr="00642B4E">
              <w:rPr>
                <w:rFonts w:asciiTheme="minorHAnsi" w:hAnsiTheme="minorHAnsi" w:cstheme="minorHAnsi"/>
                <w:sz w:val="24"/>
                <w:szCs w:val="24"/>
              </w:rPr>
              <w:t xml:space="preserve">emonstrating an understanding of </w:t>
            </w:r>
            <w:r w:rsidR="623F2A43" w:rsidRPr="00642B4E">
              <w:rPr>
                <w:rFonts w:asciiTheme="minorHAnsi" w:hAnsiTheme="minorHAnsi" w:cstheme="minorHAnsi"/>
                <w:sz w:val="24"/>
                <w:szCs w:val="24"/>
              </w:rPr>
              <w:t>the</w:t>
            </w:r>
            <w:r w:rsidR="350F702B" w:rsidRPr="00642B4E">
              <w:rPr>
                <w:rFonts w:asciiTheme="minorHAnsi" w:hAnsiTheme="minorHAnsi" w:cstheme="minorHAnsi"/>
                <w:sz w:val="24"/>
                <w:szCs w:val="24"/>
              </w:rPr>
              <w:t xml:space="preserve"> </w:t>
            </w:r>
            <w:r w:rsidR="3B2446CA" w:rsidRPr="00642B4E">
              <w:rPr>
                <w:rFonts w:asciiTheme="minorHAnsi" w:eastAsia="Arial" w:hAnsiTheme="minorHAnsi" w:cstheme="minorHAnsi"/>
                <w:color w:val="000000" w:themeColor="text1"/>
                <w:sz w:val="24"/>
                <w:szCs w:val="24"/>
              </w:rPr>
              <w:t xml:space="preserve">interface </w:t>
            </w:r>
            <w:r w:rsidR="534A9052" w:rsidRPr="00642B4E">
              <w:rPr>
                <w:rFonts w:asciiTheme="minorHAnsi" w:eastAsia="Arial" w:hAnsiTheme="minorHAnsi" w:cstheme="minorHAnsi"/>
                <w:color w:val="000000" w:themeColor="text1"/>
                <w:sz w:val="24"/>
                <w:szCs w:val="24"/>
              </w:rPr>
              <w:t>between social services provision in Wales with the United Kingdom, the European Union</w:t>
            </w:r>
            <w:r w:rsidR="007A628F" w:rsidRPr="00642B4E">
              <w:rPr>
                <w:rFonts w:asciiTheme="minorHAnsi" w:eastAsia="Arial" w:hAnsiTheme="minorHAnsi" w:cstheme="minorHAnsi"/>
                <w:color w:val="000000" w:themeColor="text1"/>
                <w:sz w:val="24"/>
                <w:szCs w:val="24"/>
              </w:rPr>
              <w:t xml:space="preserve"> (EU)</w:t>
            </w:r>
            <w:r w:rsidR="534A9052" w:rsidRPr="00642B4E">
              <w:rPr>
                <w:rFonts w:asciiTheme="minorHAnsi" w:eastAsia="Arial" w:hAnsiTheme="minorHAnsi" w:cstheme="minorHAnsi"/>
                <w:color w:val="000000" w:themeColor="text1"/>
                <w:sz w:val="24"/>
                <w:szCs w:val="24"/>
              </w:rPr>
              <w:t xml:space="preserve"> and outside the EU</w:t>
            </w:r>
            <w:r w:rsidR="623F2A43" w:rsidRPr="00642B4E">
              <w:rPr>
                <w:rFonts w:asciiTheme="minorHAnsi" w:eastAsia="Arial" w:hAnsiTheme="minorHAnsi" w:cstheme="minorHAnsi"/>
                <w:color w:val="000000" w:themeColor="text1"/>
                <w:sz w:val="24"/>
                <w:szCs w:val="24"/>
              </w:rPr>
              <w:t>)</w:t>
            </w:r>
            <w:r w:rsidR="00411EF7" w:rsidRPr="00642B4E">
              <w:rPr>
                <w:rFonts w:asciiTheme="minorHAnsi" w:hAnsiTheme="minorHAnsi" w:cstheme="minorHAnsi"/>
                <w:sz w:val="24"/>
                <w:szCs w:val="24"/>
              </w:rPr>
              <w:t>.</w:t>
            </w:r>
            <w:r w:rsidR="00354B6D" w:rsidRPr="00642B4E">
              <w:rPr>
                <w:rFonts w:asciiTheme="minorHAnsi" w:hAnsiTheme="minorHAnsi" w:cstheme="minorHAnsi"/>
                <w:sz w:val="24"/>
                <w:szCs w:val="24"/>
              </w:rPr>
              <w:t xml:space="preserve"> </w:t>
            </w:r>
            <w:r w:rsidR="102A3950" w:rsidRPr="00642B4E">
              <w:rPr>
                <w:rFonts w:asciiTheme="minorHAnsi" w:hAnsiTheme="minorHAnsi" w:cstheme="minorHAnsi"/>
                <w:sz w:val="24"/>
                <w:szCs w:val="24"/>
              </w:rPr>
              <w:t>You</w:t>
            </w:r>
            <w:r w:rsidR="00354B6D" w:rsidRPr="00642B4E">
              <w:rPr>
                <w:rFonts w:asciiTheme="minorHAnsi" w:hAnsiTheme="minorHAnsi" w:cstheme="minorHAnsi"/>
                <w:sz w:val="24"/>
                <w:szCs w:val="24"/>
              </w:rPr>
              <w:t xml:space="preserve"> must</w:t>
            </w:r>
            <w:r w:rsidR="00411EF7" w:rsidRPr="00642B4E">
              <w:rPr>
                <w:rFonts w:asciiTheme="minorHAnsi" w:hAnsiTheme="minorHAnsi" w:cstheme="minorHAnsi"/>
                <w:sz w:val="24"/>
                <w:szCs w:val="24"/>
              </w:rPr>
              <w:t xml:space="preserve"> </w:t>
            </w:r>
            <w:r w:rsidR="00354B6D" w:rsidRPr="00642B4E">
              <w:rPr>
                <w:rFonts w:asciiTheme="minorHAnsi" w:hAnsiTheme="minorHAnsi" w:cstheme="minorHAnsi"/>
                <w:sz w:val="24"/>
                <w:szCs w:val="24"/>
              </w:rPr>
              <w:t>demonstrate your understanding of</w:t>
            </w:r>
            <w:r w:rsidR="00F34C86" w:rsidRPr="00642B4E">
              <w:rPr>
                <w:rFonts w:asciiTheme="minorHAnsi" w:hAnsiTheme="minorHAnsi" w:cstheme="minorHAnsi"/>
                <w:sz w:val="24"/>
                <w:szCs w:val="24"/>
              </w:rPr>
              <w:t xml:space="preserve"> </w:t>
            </w:r>
            <w:r w:rsidR="00411EF7" w:rsidRPr="00642B4E">
              <w:rPr>
                <w:rFonts w:asciiTheme="minorHAnsi" w:hAnsiTheme="minorHAnsi" w:cstheme="minorHAnsi"/>
                <w:sz w:val="24"/>
                <w:szCs w:val="24"/>
              </w:rPr>
              <w:t xml:space="preserve">the </w:t>
            </w:r>
            <w:r w:rsidR="00216563" w:rsidRPr="00642B4E">
              <w:rPr>
                <w:rFonts w:asciiTheme="minorHAnsi" w:hAnsiTheme="minorHAnsi" w:cstheme="minorHAnsi"/>
                <w:sz w:val="24"/>
                <w:szCs w:val="24"/>
              </w:rPr>
              <w:t xml:space="preserve">integration of </w:t>
            </w:r>
            <w:r w:rsidR="6A854C79" w:rsidRPr="00642B4E">
              <w:rPr>
                <w:rFonts w:asciiTheme="minorHAnsi" w:hAnsiTheme="minorHAnsi" w:cstheme="minorHAnsi"/>
                <w:sz w:val="24"/>
                <w:szCs w:val="24"/>
              </w:rPr>
              <w:t>analysis in asses</w:t>
            </w:r>
            <w:r w:rsidR="0F77E214" w:rsidRPr="00642B4E">
              <w:rPr>
                <w:rFonts w:asciiTheme="minorHAnsi" w:hAnsiTheme="minorHAnsi" w:cstheme="minorHAnsi"/>
                <w:sz w:val="24"/>
                <w:szCs w:val="24"/>
              </w:rPr>
              <w:t>sment, collabo</w:t>
            </w:r>
            <w:r w:rsidR="6A854C79" w:rsidRPr="00642B4E">
              <w:rPr>
                <w:rFonts w:asciiTheme="minorHAnsi" w:hAnsiTheme="minorHAnsi" w:cstheme="minorHAnsi"/>
                <w:sz w:val="24"/>
                <w:szCs w:val="24"/>
              </w:rPr>
              <w:t>rative work</w:t>
            </w:r>
            <w:r w:rsidR="0F77E214" w:rsidRPr="00642B4E">
              <w:rPr>
                <w:rFonts w:asciiTheme="minorHAnsi" w:hAnsiTheme="minorHAnsi" w:cstheme="minorHAnsi"/>
                <w:sz w:val="24"/>
                <w:szCs w:val="24"/>
              </w:rPr>
              <w:t>ing</w:t>
            </w:r>
            <w:r w:rsidR="6A854C79" w:rsidRPr="00642B4E">
              <w:rPr>
                <w:rFonts w:asciiTheme="minorHAnsi" w:hAnsiTheme="minorHAnsi" w:cstheme="minorHAnsi"/>
                <w:sz w:val="24"/>
                <w:szCs w:val="24"/>
              </w:rPr>
              <w:t xml:space="preserve"> a</w:t>
            </w:r>
            <w:r w:rsidR="0F77E214" w:rsidRPr="00642B4E">
              <w:rPr>
                <w:rFonts w:asciiTheme="minorHAnsi" w:hAnsiTheme="minorHAnsi" w:cstheme="minorHAnsi"/>
                <w:sz w:val="24"/>
                <w:szCs w:val="24"/>
              </w:rPr>
              <w:t xml:space="preserve">nd </w:t>
            </w:r>
            <w:r w:rsidR="6A854C79" w:rsidRPr="00642B4E">
              <w:rPr>
                <w:rFonts w:asciiTheme="minorHAnsi" w:hAnsiTheme="minorHAnsi" w:cstheme="minorHAnsi"/>
                <w:sz w:val="24"/>
                <w:szCs w:val="24"/>
              </w:rPr>
              <w:t>professional</w:t>
            </w:r>
            <w:r w:rsidR="00F34C86" w:rsidRPr="00642B4E">
              <w:rPr>
                <w:rFonts w:asciiTheme="minorHAnsi" w:hAnsiTheme="minorHAnsi" w:cstheme="minorHAnsi"/>
                <w:sz w:val="24"/>
                <w:szCs w:val="24"/>
              </w:rPr>
              <w:t xml:space="preserve"> </w:t>
            </w:r>
            <w:r w:rsidR="00216563" w:rsidRPr="00642B4E">
              <w:rPr>
                <w:rFonts w:asciiTheme="minorHAnsi" w:hAnsiTheme="minorHAnsi" w:cstheme="minorHAnsi"/>
                <w:sz w:val="24"/>
                <w:szCs w:val="24"/>
              </w:rPr>
              <w:t>judgements</w:t>
            </w:r>
            <w:r w:rsidR="0F77E214" w:rsidRPr="00642B4E">
              <w:rPr>
                <w:rFonts w:asciiTheme="minorHAnsi" w:hAnsiTheme="minorHAnsi" w:cstheme="minorHAnsi"/>
                <w:sz w:val="24"/>
                <w:szCs w:val="24"/>
              </w:rPr>
              <w:t xml:space="preserve"> in increasingly complex situations </w:t>
            </w:r>
            <w:r w:rsidR="00E5498A" w:rsidRPr="00642B4E">
              <w:rPr>
                <w:rFonts w:asciiTheme="minorHAnsi" w:hAnsiTheme="minorHAnsi" w:cstheme="minorHAnsi"/>
                <w:sz w:val="24"/>
                <w:szCs w:val="24"/>
              </w:rPr>
              <w:t>and</w:t>
            </w:r>
            <w:r w:rsidR="1D6670C0" w:rsidRPr="00642B4E">
              <w:rPr>
                <w:rFonts w:asciiTheme="minorHAnsi" w:hAnsiTheme="minorHAnsi" w:cstheme="minorHAnsi"/>
                <w:sz w:val="24"/>
                <w:szCs w:val="24"/>
              </w:rPr>
              <w:t xml:space="preserve"> </w:t>
            </w:r>
            <w:r w:rsidR="39C47EB7" w:rsidRPr="00642B4E">
              <w:rPr>
                <w:rFonts w:asciiTheme="minorHAnsi" w:hAnsiTheme="minorHAnsi" w:cstheme="minorHAnsi"/>
                <w:sz w:val="24"/>
                <w:szCs w:val="24"/>
              </w:rPr>
              <w:t>the</w:t>
            </w:r>
            <w:r w:rsidR="25F327FB" w:rsidRPr="00642B4E">
              <w:rPr>
                <w:rFonts w:asciiTheme="minorHAnsi" w:hAnsiTheme="minorHAnsi" w:cstheme="minorHAnsi"/>
                <w:sz w:val="24"/>
                <w:szCs w:val="24"/>
              </w:rPr>
              <w:t xml:space="preserve"> </w:t>
            </w:r>
            <w:r w:rsidR="00F34C86" w:rsidRPr="00642B4E">
              <w:rPr>
                <w:rFonts w:asciiTheme="minorHAnsi" w:hAnsiTheme="minorHAnsi" w:cstheme="minorHAnsi"/>
                <w:sz w:val="24"/>
                <w:szCs w:val="24"/>
              </w:rPr>
              <w:t>use of social work theories</w:t>
            </w:r>
            <w:r w:rsidR="756EEE2D" w:rsidRPr="00642B4E">
              <w:rPr>
                <w:rFonts w:asciiTheme="minorHAnsi" w:hAnsiTheme="minorHAnsi" w:cstheme="minorHAnsi"/>
                <w:sz w:val="24"/>
                <w:szCs w:val="24"/>
              </w:rPr>
              <w:t>.</w:t>
            </w:r>
            <w:r w:rsidR="00216563" w:rsidRPr="00642B4E">
              <w:rPr>
                <w:rFonts w:asciiTheme="minorHAnsi" w:hAnsiTheme="minorHAnsi" w:cstheme="minorHAnsi"/>
                <w:sz w:val="24"/>
                <w:szCs w:val="24"/>
              </w:rPr>
              <w:t xml:space="preserve"> </w:t>
            </w:r>
            <w:r w:rsidR="756EEE2D" w:rsidRPr="00642B4E">
              <w:rPr>
                <w:rFonts w:asciiTheme="minorHAnsi" w:hAnsiTheme="minorHAnsi" w:cstheme="minorHAnsi"/>
                <w:sz w:val="24"/>
                <w:szCs w:val="24"/>
              </w:rPr>
              <w:t>You</w:t>
            </w:r>
            <w:r w:rsidR="00216563" w:rsidRPr="00642B4E">
              <w:rPr>
                <w:rFonts w:asciiTheme="minorHAnsi" w:hAnsiTheme="minorHAnsi" w:cstheme="minorHAnsi"/>
                <w:sz w:val="24"/>
                <w:szCs w:val="24"/>
              </w:rPr>
              <w:t xml:space="preserve"> </w:t>
            </w:r>
            <w:r w:rsidR="00E5498A" w:rsidRPr="00642B4E">
              <w:rPr>
                <w:rFonts w:asciiTheme="minorHAnsi" w:hAnsiTheme="minorHAnsi" w:cstheme="minorHAnsi"/>
                <w:sz w:val="24"/>
                <w:szCs w:val="24"/>
              </w:rPr>
              <w:t xml:space="preserve">must </w:t>
            </w:r>
            <w:r w:rsidR="00F030D4" w:rsidRPr="00642B4E">
              <w:rPr>
                <w:rFonts w:asciiTheme="minorHAnsi" w:hAnsiTheme="minorHAnsi" w:cstheme="minorHAnsi"/>
                <w:sz w:val="24"/>
                <w:szCs w:val="24"/>
              </w:rPr>
              <w:t>refer to</w:t>
            </w:r>
            <w:r w:rsidR="00216563" w:rsidRPr="00642B4E">
              <w:rPr>
                <w:rFonts w:asciiTheme="minorHAnsi" w:hAnsiTheme="minorHAnsi" w:cstheme="minorHAnsi"/>
                <w:sz w:val="24"/>
                <w:szCs w:val="24"/>
              </w:rPr>
              <w:t xml:space="preserve"> </w:t>
            </w:r>
            <w:r w:rsidR="00F34C86" w:rsidRPr="00642B4E">
              <w:rPr>
                <w:rFonts w:asciiTheme="minorHAnsi" w:hAnsiTheme="minorHAnsi" w:cstheme="minorHAnsi"/>
                <w:sz w:val="24"/>
                <w:szCs w:val="24"/>
              </w:rPr>
              <w:t>the specific dimensions of working in Wales</w:t>
            </w:r>
            <w:r w:rsidR="00411EF7" w:rsidRPr="00642B4E">
              <w:rPr>
                <w:rFonts w:asciiTheme="minorHAnsi" w:hAnsiTheme="minorHAnsi" w:cstheme="minorHAnsi"/>
                <w:sz w:val="24"/>
                <w:szCs w:val="24"/>
              </w:rPr>
              <w:t xml:space="preserve">. </w:t>
            </w:r>
          </w:p>
          <w:p w14:paraId="2F8A7CA5" w14:textId="6EDC9DFB" w:rsidR="008D5999" w:rsidRPr="00642B4E" w:rsidRDefault="008D5999" w:rsidP="00064063">
            <w:pPr>
              <w:jc w:val="both"/>
              <w:rPr>
                <w:rFonts w:asciiTheme="minorHAnsi" w:hAnsiTheme="minorHAnsi" w:cstheme="minorHAnsi"/>
                <w:sz w:val="24"/>
                <w:szCs w:val="24"/>
              </w:rPr>
            </w:pPr>
          </w:p>
          <w:p w14:paraId="20A5906F" w14:textId="77777777" w:rsidR="008D5999" w:rsidRPr="00642B4E" w:rsidRDefault="008D5999" w:rsidP="00064063">
            <w:pPr>
              <w:jc w:val="both"/>
              <w:rPr>
                <w:rFonts w:asciiTheme="minorHAnsi" w:hAnsiTheme="minorHAnsi" w:cstheme="minorHAnsi"/>
                <w:sz w:val="24"/>
                <w:szCs w:val="24"/>
              </w:rPr>
            </w:pPr>
          </w:p>
          <w:p w14:paraId="51AF4546" w14:textId="476CB9AF" w:rsidR="00D3203C" w:rsidRPr="00642B4E" w:rsidRDefault="00045C40" w:rsidP="00FF7EBB">
            <w:pPr>
              <w:jc w:val="both"/>
              <w:rPr>
                <w:rFonts w:asciiTheme="minorHAnsi" w:hAnsiTheme="minorHAnsi" w:cstheme="minorHAnsi"/>
                <w:i/>
                <w:sz w:val="24"/>
                <w:szCs w:val="24"/>
              </w:rPr>
            </w:pPr>
            <w:r w:rsidRPr="00642B4E">
              <w:rPr>
                <w:rFonts w:asciiTheme="minorHAnsi" w:hAnsiTheme="minorHAnsi" w:cstheme="minorHAnsi"/>
                <w:i/>
                <w:sz w:val="24"/>
                <w:szCs w:val="24"/>
              </w:rPr>
              <w:t xml:space="preserve">4000 </w:t>
            </w:r>
            <w:r w:rsidR="008B28E7" w:rsidRPr="00642B4E">
              <w:rPr>
                <w:rFonts w:asciiTheme="minorHAnsi" w:hAnsiTheme="minorHAnsi" w:cstheme="minorHAnsi"/>
                <w:i/>
                <w:sz w:val="24"/>
                <w:szCs w:val="24"/>
              </w:rPr>
              <w:t>words</w:t>
            </w:r>
            <w:r w:rsidR="008B28E7" w:rsidRPr="00642B4E">
              <w:rPr>
                <w:rFonts w:asciiTheme="minorHAnsi" w:hAnsiTheme="minorHAnsi" w:cstheme="minorHAnsi"/>
                <w:sz w:val="24"/>
                <w:szCs w:val="24"/>
              </w:rPr>
              <w:t xml:space="preserve"> </w:t>
            </w:r>
            <w:r w:rsidR="008B28E7" w:rsidRPr="00642B4E">
              <w:rPr>
                <w:rFonts w:asciiTheme="minorHAnsi" w:hAnsiTheme="minorHAnsi" w:cstheme="minorHAnsi"/>
                <w:i/>
                <w:sz w:val="24"/>
                <w:szCs w:val="24"/>
              </w:rPr>
              <w:t>(+/- 10%: include your actual word count at the end of each section)</w:t>
            </w:r>
            <w:r w:rsidR="007A628F" w:rsidRPr="00642B4E">
              <w:rPr>
                <w:rFonts w:asciiTheme="minorHAnsi" w:hAnsiTheme="minorHAnsi" w:cstheme="minorHAnsi"/>
                <w:i/>
                <w:sz w:val="24"/>
                <w:szCs w:val="24"/>
              </w:rPr>
              <w:t>.</w:t>
            </w:r>
          </w:p>
          <w:p w14:paraId="701D8D4D" w14:textId="38C2B218" w:rsidR="00D3203C" w:rsidRPr="00642B4E" w:rsidRDefault="00D3203C" w:rsidP="00FF7EBB">
            <w:pPr>
              <w:jc w:val="both"/>
              <w:rPr>
                <w:rFonts w:asciiTheme="minorHAnsi" w:hAnsiTheme="minorHAnsi" w:cstheme="minorHAnsi"/>
                <w:i/>
                <w:sz w:val="24"/>
                <w:szCs w:val="24"/>
              </w:rPr>
            </w:pPr>
          </w:p>
          <w:p w14:paraId="2CBDC1FC" w14:textId="77777777" w:rsidR="00642B4E" w:rsidRPr="00642B4E" w:rsidRDefault="00642B4E" w:rsidP="00642B4E">
            <w:pPr>
              <w:spacing w:line="360" w:lineRule="auto"/>
              <w:rPr>
                <w:rFonts w:asciiTheme="minorHAnsi" w:hAnsiTheme="minorHAnsi" w:cstheme="minorHAnsi"/>
                <w:b/>
                <w:sz w:val="24"/>
                <w:szCs w:val="24"/>
                <w:u w:val="single"/>
              </w:rPr>
            </w:pPr>
            <w:r w:rsidRPr="00642B4E">
              <w:rPr>
                <w:rFonts w:asciiTheme="minorHAnsi" w:hAnsiTheme="minorHAnsi" w:cstheme="minorHAnsi"/>
                <w:b/>
                <w:sz w:val="24"/>
                <w:szCs w:val="24"/>
                <w:u w:val="single"/>
              </w:rPr>
              <w:t>Introduction</w:t>
            </w:r>
          </w:p>
          <w:p w14:paraId="06C79AFF" w14:textId="77777777" w:rsidR="00642B4E" w:rsidRPr="00642B4E" w:rsidRDefault="00642B4E" w:rsidP="00642B4E">
            <w:pPr>
              <w:spacing w:line="360" w:lineRule="auto"/>
              <w:ind w:firstLine="360"/>
              <w:rPr>
                <w:rFonts w:asciiTheme="minorHAnsi" w:hAnsiTheme="minorHAnsi" w:cstheme="minorHAnsi"/>
                <w:sz w:val="24"/>
                <w:szCs w:val="24"/>
              </w:rPr>
            </w:pPr>
            <w:r w:rsidRPr="00642B4E">
              <w:rPr>
                <w:rFonts w:asciiTheme="minorHAnsi" w:hAnsiTheme="minorHAnsi" w:cstheme="minorHAnsi"/>
                <w:sz w:val="24"/>
                <w:szCs w:val="24"/>
              </w:rPr>
              <w:t xml:space="preserve">In the year 2022-2023, there were 5,345 reports of suspected abuse or neglect of adults in Wales (Stats Wales, 2023). Safeguarding Adults Boards (SABs), established under the </w:t>
            </w:r>
            <w:r w:rsidRPr="00B71946">
              <w:rPr>
                <w:rFonts w:asciiTheme="minorHAnsi" w:hAnsiTheme="minorHAnsi" w:cstheme="minorHAnsi"/>
                <w:i/>
                <w:sz w:val="24"/>
                <w:szCs w:val="24"/>
              </w:rPr>
              <w:t>Social Services and Wellbeing (Wales) Act 2014</w:t>
            </w:r>
            <w:r w:rsidRPr="00642B4E">
              <w:rPr>
                <w:rFonts w:asciiTheme="minorHAnsi" w:hAnsiTheme="minorHAnsi" w:cstheme="minorHAnsi"/>
                <w:sz w:val="24"/>
                <w:szCs w:val="24"/>
              </w:rPr>
              <w:t xml:space="preserve">, collaborate with various organisations to enhance adult safeguarding through policy adherence, reviews, training, and partnerships. They ensure effective procedures and recommendations are followed to protect adults’ welfare (National Independent Safeguarding Board Wales, 2021). </w:t>
            </w:r>
          </w:p>
          <w:p w14:paraId="3291CFD3" w14:textId="4EFA9B6E" w:rsidR="00642B4E" w:rsidRPr="00642B4E" w:rsidRDefault="00642B4E" w:rsidP="00642B4E">
            <w:pPr>
              <w:spacing w:line="360" w:lineRule="auto"/>
              <w:ind w:firstLine="360"/>
              <w:rPr>
                <w:rFonts w:asciiTheme="minorHAnsi" w:hAnsiTheme="minorHAnsi" w:cstheme="minorHAnsi"/>
                <w:sz w:val="24"/>
                <w:szCs w:val="24"/>
              </w:rPr>
            </w:pPr>
            <w:r w:rsidRPr="00642B4E">
              <w:rPr>
                <w:rFonts w:asciiTheme="minorHAnsi" w:hAnsiTheme="minorHAnsi" w:cstheme="minorHAnsi"/>
                <w:sz w:val="24"/>
                <w:szCs w:val="24"/>
              </w:rPr>
              <w:t>This essay will be critically reflecting upon a case which relates to the safeguarding of an adult I have worked with. It will be structured using each of the three Social Care Wales Learning Outcomes and Jasper’s (2013) Experience, Reflection, Action (ERA) model of reflection will be applied within each learning outcome (</w:t>
            </w:r>
            <w:proofErr w:type="spellStart"/>
            <w:r w:rsidRPr="00642B4E">
              <w:rPr>
                <w:rFonts w:asciiTheme="minorHAnsi" w:hAnsiTheme="minorHAnsi" w:cstheme="minorHAnsi"/>
                <w:sz w:val="24"/>
                <w:szCs w:val="24"/>
              </w:rPr>
              <w:t>Bassot</w:t>
            </w:r>
            <w:proofErr w:type="spellEnd"/>
            <w:r w:rsidRPr="00642B4E">
              <w:rPr>
                <w:rFonts w:asciiTheme="minorHAnsi" w:hAnsiTheme="minorHAnsi" w:cstheme="minorHAnsi"/>
                <w:sz w:val="24"/>
                <w:szCs w:val="24"/>
              </w:rPr>
              <w:t xml:space="preserve">, 2016). For anonymity purposes, I will be referring to the adult as 1. I have worked with 1 for two years within a statutory Adult Services Complex Disability Team. 1 is an older adult who experiences Generalised Anxiety Disorder, and a mild learning disability. At the time of allocation, 1 was living with her Brother’s and Mother in a rural village in Wales. In supporting 1 </w:t>
            </w:r>
            <w:r w:rsidRPr="00642B4E">
              <w:rPr>
                <w:rFonts w:asciiTheme="minorHAnsi" w:hAnsiTheme="minorHAnsi" w:cstheme="minorHAnsi"/>
                <w:sz w:val="24"/>
                <w:szCs w:val="24"/>
              </w:rPr>
              <w:lastRenderedPageBreak/>
              <w:t xml:space="preserve">through the safeguarding process, intersectionality was considered in relation to 1’s lived experiences of how various factors such as rurality, disability, and her support network may interact to impact on the outcomes for her (Livingstone, </w:t>
            </w:r>
            <w:proofErr w:type="spellStart"/>
            <w:r w:rsidRPr="00642B4E">
              <w:rPr>
                <w:rFonts w:asciiTheme="minorHAnsi" w:hAnsiTheme="minorHAnsi" w:cstheme="minorHAnsi"/>
                <w:sz w:val="24"/>
                <w:szCs w:val="24"/>
              </w:rPr>
              <w:t>Redcliffe</w:t>
            </w:r>
            <w:proofErr w:type="spellEnd"/>
            <w:r w:rsidRPr="00642B4E">
              <w:rPr>
                <w:rFonts w:asciiTheme="minorHAnsi" w:hAnsiTheme="minorHAnsi" w:cstheme="minorHAnsi"/>
                <w:sz w:val="24"/>
                <w:szCs w:val="24"/>
              </w:rPr>
              <w:t xml:space="preserve"> and Quinn </w:t>
            </w:r>
            <w:proofErr w:type="spellStart"/>
            <w:r w:rsidRPr="00642B4E">
              <w:rPr>
                <w:rFonts w:asciiTheme="minorHAnsi" w:hAnsiTheme="minorHAnsi" w:cstheme="minorHAnsi"/>
                <w:sz w:val="24"/>
                <w:szCs w:val="24"/>
              </w:rPr>
              <w:t>Azziz</w:t>
            </w:r>
            <w:proofErr w:type="spellEnd"/>
            <w:r w:rsidRPr="00642B4E">
              <w:rPr>
                <w:rFonts w:asciiTheme="minorHAnsi" w:hAnsiTheme="minorHAnsi" w:cstheme="minorHAnsi"/>
                <w:sz w:val="24"/>
                <w:szCs w:val="24"/>
              </w:rPr>
              <w:t xml:space="preserve">, 2023). </w:t>
            </w:r>
          </w:p>
          <w:p w14:paraId="1EDEAB6B" w14:textId="77777777" w:rsidR="00642B4E" w:rsidRPr="00642B4E" w:rsidRDefault="00642B4E" w:rsidP="00642B4E">
            <w:pPr>
              <w:spacing w:line="360" w:lineRule="auto"/>
              <w:ind w:firstLine="360"/>
              <w:rPr>
                <w:rFonts w:asciiTheme="minorHAnsi" w:hAnsiTheme="minorHAnsi" w:cstheme="minorHAnsi"/>
                <w:sz w:val="24"/>
                <w:szCs w:val="24"/>
              </w:rPr>
            </w:pPr>
            <w:r w:rsidRPr="00642B4E">
              <w:rPr>
                <w:rFonts w:asciiTheme="minorHAnsi" w:hAnsiTheme="minorHAnsi" w:cstheme="minorHAnsi"/>
                <w:sz w:val="24"/>
                <w:szCs w:val="24"/>
              </w:rPr>
              <w:t xml:space="preserve">It was important to consider compliance with </w:t>
            </w:r>
            <w:r w:rsidRPr="00B71946">
              <w:rPr>
                <w:rFonts w:asciiTheme="minorHAnsi" w:hAnsiTheme="minorHAnsi" w:cstheme="minorHAnsi"/>
                <w:i/>
                <w:sz w:val="24"/>
                <w:szCs w:val="24"/>
              </w:rPr>
              <w:t xml:space="preserve">General Data Protection Regulations (GDPR) (2016) </w:t>
            </w:r>
            <w:r w:rsidRPr="00642B4E">
              <w:rPr>
                <w:rFonts w:asciiTheme="minorHAnsi" w:hAnsiTheme="minorHAnsi" w:cstheme="minorHAnsi"/>
                <w:sz w:val="24"/>
                <w:szCs w:val="24"/>
              </w:rPr>
              <w:t xml:space="preserve">which is applicable to all sensitive information relating to an individual such as health or medical records. Article 7 </w:t>
            </w:r>
            <w:r w:rsidRPr="00B71946">
              <w:rPr>
                <w:rFonts w:asciiTheme="minorHAnsi" w:hAnsiTheme="minorHAnsi" w:cstheme="minorHAnsi"/>
                <w:i/>
                <w:sz w:val="24"/>
                <w:szCs w:val="24"/>
              </w:rPr>
              <w:t>GDPR (2016)</w:t>
            </w:r>
            <w:r w:rsidRPr="00642B4E">
              <w:rPr>
                <w:rFonts w:asciiTheme="minorHAnsi" w:hAnsiTheme="minorHAnsi" w:cstheme="minorHAnsi"/>
                <w:sz w:val="24"/>
                <w:szCs w:val="24"/>
              </w:rPr>
              <w:t xml:space="preserve"> which is the principle of consent, meant that I had to obtain 1’s consent prior to discussions taking place with her family members. I also needed to work in adherence to the </w:t>
            </w:r>
            <w:r w:rsidRPr="00B71946">
              <w:rPr>
                <w:rFonts w:asciiTheme="minorHAnsi" w:hAnsiTheme="minorHAnsi" w:cstheme="minorHAnsi"/>
                <w:i/>
                <w:sz w:val="24"/>
                <w:szCs w:val="24"/>
              </w:rPr>
              <w:t>Welsh Language (Wales) Measure 2011</w:t>
            </w:r>
            <w:r w:rsidRPr="00642B4E">
              <w:rPr>
                <w:rFonts w:asciiTheme="minorHAnsi" w:hAnsiTheme="minorHAnsi" w:cstheme="minorHAnsi"/>
                <w:sz w:val="24"/>
                <w:szCs w:val="24"/>
              </w:rPr>
              <w:t xml:space="preserve"> and the “active offer” which ensures Welsh speaking individuals receive services in their preferred language. This approach respects an individual’s cultural and linguistic identity and enhances the quality of care and support provided. An individual whose first language is Welsh, may feel more comfortable discussing personal information in Welsh and this will build stronger relationships between the individual and their Social Worker. The “active offer” sets out the requirement for Social Workers to automatically offer services in Welsh. At the beginning of my involvement with 1, I offered her the opportunity to receive services in Welsh, however as English is her first language, she declined this offer. </w:t>
            </w:r>
          </w:p>
          <w:p w14:paraId="5F62F293" w14:textId="77777777" w:rsidR="00642B4E" w:rsidRPr="00642B4E" w:rsidRDefault="00642B4E" w:rsidP="00642B4E">
            <w:pPr>
              <w:spacing w:line="360" w:lineRule="auto"/>
              <w:ind w:firstLine="360"/>
              <w:rPr>
                <w:rFonts w:asciiTheme="minorHAnsi" w:hAnsiTheme="minorHAnsi" w:cstheme="minorHAnsi"/>
                <w:sz w:val="24"/>
                <w:szCs w:val="24"/>
              </w:rPr>
            </w:pPr>
            <w:r w:rsidRPr="00642B4E">
              <w:rPr>
                <w:rFonts w:asciiTheme="minorHAnsi" w:hAnsiTheme="minorHAnsi" w:cstheme="minorHAnsi"/>
                <w:sz w:val="24"/>
                <w:szCs w:val="24"/>
              </w:rPr>
              <w:t xml:space="preserve">A further consideration whilst safeguarding 1 as a vulnerable adult, was to ensure that she was protected against discrimination. Under the </w:t>
            </w:r>
            <w:r w:rsidRPr="00B71946">
              <w:rPr>
                <w:rFonts w:asciiTheme="minorHAnsi" w:hAnsiTheme="minorHAnsi" w:cstheme="minorHAnsi"/>
                <w:i/>
                <w:sz w:val="24"/>
                <w:szCs w:val="24"/>
              </w:rPr>
              <w:t>Equality Act 2010</w:t>
            </w:r>
            <w:r w:rsidRPr="00642B4E">
              <w:rPr>
                <w:rFonts w:asciiTheme="minorHAnsi" w:hAnsiTheme="minorHAnsi" w:cstheme="minorHAnsi"/>
                <w:sz w:val="24"/>
                <w:szCs w:val="24"/>
              </w:rPr>
              <w:t xml:space="preserve">, disability is a protected characteristic. </w:t>
            </w:r>
            <w:r w:rsidRPr="00B71946">
              <w:rPr>
                <w:rFonts w:asciiTheme="minorHAnsi" w:hAnsiTheme="minorHAnsi" w:cstheme="minorHAnsi"/>
                <w:i/>
                <w:sz w:val="24"/>
                <w:szCs w:val="24"/>
              </w:rPr>
              <w:t>The Well-being of Future Generations (Wales) Act 2015</w:t>
            </w:r>
            <w:r w:rsidRPr="00642B4E">
              <w:rPr>
                <w:rFonts w:asciiTheme="minorHAnsi" w:hAnsiTheme="minorHAnsi" w:cstheme="minorHAnsi"/>
                <w:sz w:val="24"/>
                <w:szCs w:val="24"/>
              </w:rPr>
              <w:t xml:space="preserve"> also influences safeguarding adults by promoting long-term, preventive, and collaborative approaches, ensuring adults at risk are involved in decisions affecting them and contributing to overall well-being goals. </w:t>
            </w:r>
          </w:p>
          <w:p w14:paraId="7200CEE9" w14:textId="77777777" w:rsidR="00642B4E" w:rsidRPr="00642B4E" w:rsidRDefault="00642B4E" w:rsidP="00642B4E">
            <w:pPr>
              <w:spacing w:line="360" w:lineRule="auto"/>
              <w:ind w:firstLine="360"/>
              <w:rPr>
                <w:rFonts w:asciiTheme="minorHAnsi" w:hAnsiTheme="minorHAnsi" w:cstheme="minorHAnsi"/>
                <w:sz w:val="24"/>
                <w:szCs w:val="24"/>
              </w:rPr>
            </w:pPr>
          </w:p>
          <w:p w14:paraId="240EB4DC" w14:textId="77777777" w:rsidR="00642B4E" w:rsidRPr="00642B4E" w:rsidRDefault="00642B4E" w:rsidP="00642B4E">
            <w:pPr>
              <w:spacing w:line="360" w:lineRule="auto"/>
              <w:rPr>
                <w:rFonts w:asciiTheme="minorHAnsi" w:hAnsiTheme="minorHAnsi" w:cstheme="minorHAnsi"/>
                <w:b/>
                <w:sz w:val="24"/>
                <w:szCs w:val="24"/>
                <w:u w:val="single"/>
              </w:rPr>
            </w:pPr>
            <w:r w:rsidRPr="00642B4E">
              <w:rPr>
                <w:rFonts w:asciiTheme="minorHAnsi" w:hAnsiTheme="minorHAnsi" w:cstheme="minorHAnsi"/>
                <w:b/>
                <w:sz w:val="24"/>
                <w:szCs w:val="24"/>
                <w:u w:val="single"/>
              </w:rPr>
              <w:t>Applying analysis in assessment to inform interventions</w:t>
            </w:r>
          </w:p>
          <w:p w14:paraId="633D2B45" w14:textId="77777777" w:rsidR="00642B4E" w:rsidRPr="00642B4E" w:rsidRDefault="00642B4E" w:rsidP="00642B4E">
            <w:pPr>
              <w:spacing w:line="360" w:lineRule="auto"/>
              <w:rPr>
                <w:rFonts w:asciiTheme="minorHAnsi" w:hAnsiTheme="minorHAnsi" w:cstheme="minorHAnsi"/>
                <w:color w:val="FF0000"/>
                <w:sz w:val="24"/>
                <w:szCs w:val="24"/>
                <w:u w:val="single"/>
              </w:rPr>
            </w:pPr>
            <w:r w:rsidRPr="00642B4E">
              <w:rPr>
                <w:rFonts w:asciiTheme="minorHAnsi" w:hAnsiTheme="minorHAnsi" w:cstheme="minorHAnsi"/>
                <w:sz w:val="24"/>
                <w:szCs w:val="24"/>
                <w:u w:val="single"/>
              </w:rPr>
              <w:t>Experience</w:t>
            </w:r>
          </w:p>
          <w:p w14:paraId="3CB1DD9E"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I carried out a reassessment with 1 in adherence to the </w:t>
            </w:r>
            <w:r w:rsidRPr="00B71946">
              <w:rPr>
                <w:rFonts w:asciiTheme="minorHAnsi" w:hAnsiTheme="minorHAnsi" w:cstheme="minorHAnsi"/>
                <w:i/>
                <w:sz w:val="24"/>
                <w:szCs w:val="24"/>
              </w:rPr>
              <w:t>Social Services and Wellbeing (Wales) Act 2014</w:t>
            </w:r>
            <w:r w:rsidRPr="00642B4E">
              <w:rPr>
                <w:rFonts w:asciiTheme="minorHAnsi" w:hAnsiTheme="minorHAnsi" w:cstheme="minorHAnsi"/>
                <w:sz w:val="24"/>
                <w:szCs w:val="24"/>
              </w:rPr>
              <w:t xml:space="preserve">, s19, the duty to assess the needs of an adult for care and support. In carrying out this reassessment of 1’s needs, and analysing all information gathered as part of the assessment process, it was evident she met the eligibility criteria for a care and support plan from Social Services. This is in adherence to the </w:t>
            </w:r>
            <w:r w:rsidRPr="00B71946">
              <w:rPr>
                <w:rFonts w:asciiTheme="minorHAnsi" w:hAnsiTheme="minorHAnsi" w:cstheme="minorHAnsi"/>
                <w:i/>
                <w:sz w:val="24"/>
                <w:szCs w:val="24"/>
              </w:rPr>
              <w:t>Social Services and Wellbeing (Wales) Act 2014</w:t>
            </w:r>
            <w:r w:rsidRPr="00642B4E">
              <w:rPr>
                <w:rFonts w:asciiTheme="minorHAnsi" w:hAnsiTheme="minorHAnsi" w:cstheme="minorHAnsi"/>
                <w:sz w:val="24"/>
                <w:szCs w:val="24"/>
              </w:rPr>
              <w:t xml:space="preserve">, as well as </w:t>
            </w:r>
            <w:r w:rsidRPr="00B71946">
              <w:rPr>
                <w:rFonts w:asciiTheme="minorHAnsi" w:hAnsiTheme="minorHAnsi" w:cstheme="minorHAnsi"/>
                <w:i/>
                <w:sz w:val="24"/>
                <w:szCs w:val="24"/>
              </w:rPr>
              <w:t>The Care and Support (Eligibility) (Wales) Regulations 2015</w:t>
            </w:r>
            <w:r w:rsidRPr="00642B4E">
              <w:rPr>
                <w:rFonts w:asciiTheme="minorHAnsi" w:hAnsiTheme="minorHAnsi" w:cstheme="minorHAnsi"/>
                <w:sz w:val="24"/>
                <w:szCs w:val="24"/>
              </w:rPr>
              <w:t xml:space="preserve">. During the reassessment, it was identified 1 </w:t>
            </w:r>
            <w:r w:rsidRPr="00642B4E">
              <w:rPr>
                <w:rFonts w:asciiTheme="minorHAnsi" w:hAnsiTheme="minorHAnsi" w:cstheme="minorHAnsi"/>
                <w:sz w:val="24"/>
                <w:szCs w:val="24"/>
              </w:rPr>
              <w:lastRenderedPageBreak/>
              <w:t xml:space="preserve">wished to consider her options for moving out of the family home. With the Housing Options Co-ordinator, the range of accommodation options were explained to 1. In analysing how each would meet her needs, it was evident she would be best suited to a supported living placement, which she was agreeable to. However, throughout the process of exploring a move, 1 changed her mind and decided she no longer wished to move. Due to tensions within the home, it was explained to 1 that should she withdraw from the process and later decide that she did wish to move, this specific placement would likely no longer be available. </w:t>
            </w:r>
          </w:p>
          <w:p w14:paraId="0E8FD14A" w14:textId="77777777" w:rsidR="00642B4E" w:rsidRPr="00642B4E" w:rsidRDefault="00642B4E" w:rsidP="00642B4E">
            <w:pPr>
              <w:spacing w:line="360" w:lineRule="auto"/>
              <w:rPr>
                <w:rFonts w:asciiTheme="minorHAnsi" w:hAnsiTheme="minorHAnsi" w:cstheme="minorHAnsi"/>
                <w:color w:val="FF0000"/>
                <w:sz w:val="24"/>
                <w:szCs w:val="24"/>
                <w:u w:val="single"/>
              </w:rPr>
            </w:pPr>
            <w:r w:rsidRPr="00642B4E">
              <w:rPr>
                <w:rFonts w:asciiTheme="minorHAnsi" w:hAnsiTheme="minorHAnsi" w:cstheme="minorHAnsi"/>
                <w:sz w:val="24"/>
                <w:szCs w:val="24"/>
                <w:u w:val="single"/>
              </w:rPr>
              <w:t>Reflection</w:t>
            </w:r>
          </w:p>
          <w:p w14:paraId="3E5CC406"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I felt frustrated when 1 changed her mind about moving, as I had completed the reassessment and analysed information from those involved in 1’s care and support, including her family and Support Workers, and it was clear that the current arrangements were not working for 1 or her brothers. As a professional working with many individuals, we have an insight into the potential outcomes within any given scenario, and this can cause a power imbalance. Individuals who have an intellectual disability may struggle to make sudden decisions relating to life choices such as moving (</w:t>
            </w:r>
            <w:proofErr w:type="spellStart"/>
            <w:r w:rsidRPr="00642B4E">
              <w:rPr>
                <w:rFonts w:asciiTheme="minorHAnsi" w:hAnsiTheme="minorHAnsi" w:cstheme="minorHAnsi"/>
                <w:sz w:val="24"/>
                <w:szCs w:val="24"/>
              </w:rPr>
              <w:t>Tencza</w:t>
            </w:r>
            <w:proofErr w:type="spellEnd"/>
            <w:r w:rsidRPr="00642B4E">
              <w:rPr>
                <w:rFonts w:asciiTheme="minorHAnsi" w:hAnsiTheme="minorHAnsi" w:cstheme="minorHAnsi"/>
                <w:sz w:val="24"/>
                <w:szCs w:val="24"/>
              </w:rPr>
              <w:t xml:space="preserve"> and Forsythe, 2019). Therefore, in order to manage this power imbalance I ensured 1 had ample time to consider her choices, and supported with this as much as possible by giving information on what the options would involve. I also found it difficult knowing that 1 had stated her wish for a placement close to her home in a small rural village, and if she withdrew from the process and later changed her mind again, it would be unlikely for there to be a vacancy in the same village due to a lack of services. </w:t>
            </w:r>
          </w:p>
          <w:p w14:paraId="07D8E03E" w14:textId="77777777" w:rsidR="00642B4E" w:rsidRPr="00642B4E" w:rsidRDefault="00642B4E" w:rsidP="00642B4E">
            <w:pPr>
              <w:spacing w:line="360" w:lineRule="auto"/>
              <w:ind w:firstLine="720"/>
              <w:rPr>
                <w:rFonts w:asciiTheme="minorHAnsi" w:hAnsiTheme="minorHAnsi" w:cstheme="minorHAnsi"/>
                <w:sz w:val="24"/>
                <w:szCs w:val="24"/>
              </w:rPr>
            </w:pPr>
            <w:r w:rsidRPr="00B71946">
              <w:rPr>
                <w:rFonts w:asciiTheme="minorHAnsi" w:hAnsiTheme="minorHAnsi" w:cstheme="minorHAnsi"/>
                <w:i/>
                <w:sz w:val="24"/>
                <w:szCs w:val="24"/>
              </w:rPr>
              <w:t>The Wales Safeguarding Procedures (2019)</w:t>
            </w:r>
            <w:r w:rsidRPr="00642B4E">
              <w:rPr>
                <w:rFonts w:asciiTheme="minorHAnsi" w:hAnsiTheme="minorHAnsi" w:cstheme="minorHAnsi"/>
                <w:sz w:val="24"/>
                <w:szCs w:val="24"/>
              </w:rPr>
              <w:t xml:space="preserve"> and the </w:t>
            </w:r>
            <w:r w:rsidRPr="00B71946">
              <w:rPr>
                <w:rFonts w:asciiTheme="minorHAnsi" w:hAnsiTheme="minorHAnsi" w:cstheme="minorHAnsi"/>
                <w:i/>
                <w:sz w:val="24"/>
                <w:szCs w:val="24"/>
              </w:rPr>
              <w:t>Social Services and Wellbeing Wales Act (2014)</w:t>
            </w:r>
            <w:r w:rsidRPr="00642B4E">
              <w:rPr>
                <w:rFonts w:asciiTheme="minorHAnsi" w:hAnsiTheme="minorHAnsi" w:cstheme="minorHAnsi"/>
                <w:sz w:val="24"/>
                <w:szCs w:val="24"/>
              </w:rPr>
              <w:t xml:space="preserve"> principle of prevention and intervention, require professionals to collaborate with individuals and their carers to prevent risks of abuse or neglect for vulnerable adults. If prevention is not possible, they must address issues as they arise to avoid potential abuse or neglect.  This was the aim of my intervention with 1 as I could identify potential risk to her from remaining in the house whilst there were frequent arguments and escalating emotions. Despite long term involvement with 1, she remained wanting to live with her family and the arguments continued. I feel the main reason why I was unable to prevent this individual becoming an Adult At Risk, is because I was listening to her wishes and feelings. </w:t>
            </w:r>
          </w:p>
          <w:p w14:paraId="261F57A2"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lastRenderedPageBreak/>
              <w:t xml:space="preserve">It may be argued that it would have been advantageous to carry out a Mental Capacity Assessment, in line with the </w:t>
            </w:r>
            <w:r w:rsidRPr="00B71946">
              <w:rPr>
                <w:rFonts w:asciiTheme="minorHAnsi" w:hAnsiTheme="minorHAnsi" w:cstheme="minorHAnsi"/>
                <w:i/>
                <w:sz w:val="24"/>
                <w:szCs w:val="24"/>
              </w:rPr>
              <w:t>Mental Capacity Act 2005</w:t>
            </w:r>
            <w:r w:rsidRPr="00642B4E">
              <w:rPr>
                <w:rFonts w:asciiTheme="minorHAnsi" w:hAnsiTheme="minorHAnsi" w:cstheme="minorHAnsi"/>
                <w:sz w:val="24"/>
                <w:szCs w:val="24"/>
              </w:rPr>
              <w:t xml:space="preserve"> at the start of my involvement. I did not assess 1 as lacking in capacity in relation to her care and support until a few months later. Assessing her earlier may have changed my intervention as it would have led on to a Best Interests decision. However, this must be balanced with the need as a Social Worker to practice in a way which promotes autonomy and independence, and does not go against an individual’s wishes unless legally and ethically justified. It is preferable to address issues in partnership (British Association of Social Workers, 2021; Social Care Wales 2022 SCDSW14). </w:t>
            </w:r>
          </w:p>
          <w:p w14:paraId="1B71A2AB" w14:textId="77777777" w:rsidR="00642B4E" w:rsidRPr="00642B4E" w:rsidRDefault="00642B4E" w:rsidP="00642B4E">
            <w:pPr>
              <w:spacing w:line="360" w:lineRule="auto"/>
              <w:rPr>
                <w:rFonts w:asciiTheme="minorHAnsi" w:hAnsiTheme="minorHAnsi" w:cstheme="minorHAnsi"/>
                <w:color w:val="FF0000"/>
                <w:sz w:val="24"/>
                <w:szCs w:val="24"/>
                <w:u w:val="single"/>
              </w:rPr>
            </w:pPr>
            <w:r w:rsidRPr="00642B4E">
              <w:rPr>
                <w:rFonts w:asciiTheme="minorHAnsi" w:hAnsiTheme="minorHAnsi" w:cstheme="minorHAnsi"/>
                <w:sz w:val="24"/>
                <w:szCs w:val="24"/>
                <w:u w:val="single"/>
              </w:rPr>
              <w:t>Action</w:t>
            </w:r>
          </w:p>
          <w:p w14:paraId="717A322A" w14:textId="77777777" w:rsidR="00642B4E" w:rsidRPr="00642B4E" w:rsidRDefault="00642B4E" w:rsidP="00642B4E">
            <w:pPr>
              <w:spacing w:line="360" w:lineRule="auto"/>
              <w:ind w:firstLine="720"/>
              <w:rPr>
                <w:rFonts w:asciiTheme="minorHAnsi" w:hAnsiTheme="minorHAnsi" w:cstheme="minorHAnsi"/>
                <w:sz w:val="24"/>
                <w:szCs w:val="24"/>
              </w:rPr>
            </w:pPr>
            <w:proofErr w:type="spellStart"/>
            <w:r w:rsidRPr="00642B4E">
              <w:rPr>
                <w:rFonts w:asciiTheme="minorHAnsi" w:hAnsiTheme="minorHAnsi" w:cstheme="minorHAnsi"/>
                <w:sz w:val="24"/>
                <w:szCs w:val="24"/>
              </w:rPr>
              <w:t>Schon’s</w:t>
            </w:r>
            <w:proofErr w:type="spellEnd"/>
            <w:r w:rsidRPr="00642B4E">
              <w:rPr>
                <w:rFonts w:asciiTheme="minorHAnsi" w:hAnsiTheme="minorHAnsi" w:cstheme="minorHAnsi"/>
                <w:sz w:val="24"/>
                <w:szCs w:val="24"/>
              </w:rPr>
              <w:t xml:space="preserve"> (1983) model of reflection on action and reflection in action, allows practitioners to analyse our interventions as we work a case, and to assess whether the current approach is working, or whether we need to adapt our approach (</w:t>
            </w:r>
            <w:proofErr w:type="spellStart"/>
            <w:r w:rsidRPr="00642B4E">
              <w:rPr>
                <w:rFonts w:asciiTheme="minorHAnsi" w:hAnsiTheme="minorHAnsi" w:cstheme="minorHAnsi"/>
                <w:sz w:val="24"/>
                <w:szCs w:val="24"/>
              </w:rPr>
              <w:t>Bassot</w:t>
            </w:r>
            <w:proofErr w:type="spellEnd"/>
            <w:r w:rsidRPr="00642B4E">
              <w:rPr>
                <w:rFonts w:asciiTheme="minorHAnsi" w:hAnsiTheme="minorHAnsi" w:cstheme="minorHAnsi"/>
                <w:sz w:val="24"/>
                <w:szCs w:val="24"/>
              </w:rPr>
              <w:t xml:space="preserve">, 2016). Reflecting in action on the circumstances, the risk of remaining at home, and the fact she no longer wished to move, it was considered that respite may be a gradual way of introducing 1 to spending time outside of the family home on an overnight basis. It would also provide 1 with an idea of the care and support typical of a placement. The respite was also hoped to alleviate the strain on 1’s Brothers who were caring for 1 and her Mother as well as working part time. Carers UK (2023) highlight the struggles placed on unpaid carers who often experience a decline in their own mental and physical health as a result of meeting the needs of the individual they care for above their own. Over a third of carers do not have a break from their caring responsibilities, this increases the strain they are under. Carer strain and burnout is a key contributing factor in the abuse of vulnerable adults (Cooper and Livingstone, 2016).  </w:t>
            </w:r>
          </w:p>
          <w:p w14:paraId="77E3705D" w14:textId="61E4AF82"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Should this situation arise again in future, I would ensure that I consider the theory that is underpinning the case. In this instance, attachment theory (Maclean and Harrison, 2015) can be drawn on to explain why 1 may have wished to remain in the family home despite the frequent arguments. 1’s Mother had been her primary caregiver for 56 years. Following the move into her brother’s home, 1 needed to adapt to her primary caregiver no longer providing the care and support that she needs, as well as the change in dynamics of competing with her brothers for her Mother’s attention, and the difficulties that witnessing her Mother’s decline in health has brought. </w:t>
            </w:r>
          </w:p>
          <w:p w14:paraId="6B5A8A68"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lastRenderedPageBreak/>
              <w:t xml:space="preserve">Working in partnership with the family sooner potentially could have changed the outcome. The majority of visits took place outside of the home due to 1’s Mother’s ill health and an aggressive dog, it was her preference to meet at the Civic Centre. Phone discussions were challenging as 1’s Mother and Brothers were often reluctant to speak and her Mother did not want her to move out initially. Social Care Wales Code of Professional Practice (COPP) (2017) S.1.2 sets out that an individual and their carer’s wishes must be considered and upheld whenever possible (Social Care Wales (SCW), 2017). However, home visits earlier in my involvement which could have included family group conferencing to address the issues and  for long term accommodation needs may have ensured all were supporting 1 to explore the move. </w:t>
            </w:r>
          </w:p>
          <w:p w14:paraId="0B7CA3E8" w14:textId="77777777" w:rsidR="00642B4E" w:rsidRPr="00642B4E" w:rsidRDefault="00642B4E" w:rsidP="00642B4E">
            <w:pPr>
              <w:spacing w:line="360" w:lineRule="auto"/>
              <w:ind w:firstLine="720"/>
              <w:rPr>
                <w:rFonts w:asciiTheme="minorHAnsi" w:hAnsiTheme="minorHAnsi" w:cstheme="minorHAnsi"/>
                <w:sz w:val="24"/>
                <w:szCs w:val="24"/>
              </w:rPr>
            </w:pPr>
          </w:p>
          <w:p w14:paraId="47A8B2F4" w14:textId="77777777" w:rsidR="00642B4E" w:rsidRPr="00642B4E" w:rsidRDefault="00642B4E" w:rsidP="00642B4E">
            <w:pPr>
              <w:spacing w:line="360" w:lineRule="auto"/>
              <w:rPr>
                <w:rFonts w:asciiTheme="minorHAnsi" w:hAnsiTheme="minorHAnsi" w:cstheme="minorHAnsi"/>
                <w:b/>
                <w:sz w:val="24"/>
                <w:szCs w:val="24"/>
                <w:u w:val="single"/>
              </w:rPr>
            </w:pPr>
            <w:r w:rsidRPr="00642B4E">
              <w:rPr>
                <w:rFonts w:asciiTheme="minorHAnsi" w:hAnsiTheme="minorHAnsi" w:cstheme="minorHAnsi"/>
                <w:b/>
                <w:sz w:val="24"/>
                <w:szCs w:val="24"/>
                <w:u w:val="single"/>
              </w:rPr>
              <w:t xml:space="preserve">Working collaboratively with people in need, their </w:t>
            </w:r>
            <w:proofErr w:type="spellStart"/>
            <w:r w:rsidRPr="00642B4E">
              <w:rPr>
                <w:rFonts w:asciiTheme="minorHAnsi" w:hAnsiTheme="minorHAnsi" w:cstheme="minorHAnsi"/>
                <w:b/>
                <w:sz w:val="24"/>
                <w:szCs w:val="24"/>
                <w:u w:val="single"/>
              </w:rPr>
              <w:t>carers</w:t>
            </w:r>
            <w:proofErr w:type="spellEnd"/>
            <w:r w:rsidRPr="00642B4E">
              <w:rPr>
                <w:rFonts w:asciiTheme="minorHAnsi" w:hAnsiTheme="minorHAnsi" w:cstheme="minorHAnsi"/>
                <w:b/>
                <w:sz w:val="24"/>
                <w:szCs w:val="24"/>
                <w:u w:val="single"/>
              </w:rPr>
              <w:t xml:space="preserve"> and other professionals</w:t>
            </w:r>
          </w:p>
          <w:p w14:paraId="2DE612E8" w14:textId="77777777" w:rsidR="00642B4E" w:rsidRPr="00642B4E" w:rsidRDefault="00642B4E" w:rsidP="00642B4E">
            <w:pPr>
              <w:spacing w:line="360" w:lineRule="auto"/>
              <w:rPr>
                <w:rFonts w:asciiTheme="minorHAnsi" w:hAnsiTheme="minorHAnsi" w:cstheme="minorHAnsi"/>
                <w:sz w:val="24"/>
                <w:szCs w:val="24"/>
                <w:u w:val="single"/>
              </w:rPr>
            </w:pPr>
            <w:r w:rsidRPr="00642B4E">
              <w:rPr>
                <w:rFonts w:asciiTheme="minorHAnsi" w:hAnsiTheme="minorHAnsi" w:cstheme="minorHAnsi"/>
                <w:sz w:val="24"/>
                <w:szCs w:val="24"/>
                <w:u w:val="single"/>
              </w:rPr>
              <w:t>Experience</w:t>
            </w:r>
          </w:p>
          <w:p w14:paraId="6E702712"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Whilst periods of respite initially alleviated tensions within the home, it became apparent the arguments were continuing frequently and also escalating in terms of risk. 1 informed me she was throwing and breaking items within the home. Subsequently, 1 reported to her Support Worker that one of her Brothers had threatened to stab her whilst holding a knife. </w:t>
            </w:r>
            <w:r w:rsidRPr="00B71946">
              <w:rPr>
                <w:rFonts w:asciiTheme="minorHAnsi" w:hAnsiTheme="minorHAnsi" w:cstheme="minorHAnsi"/>
                <w:i/>
                <w:sz w:val="24"/>
                <w:szCs w:val="24"/>
              </w:rPr>
              <w:t>Under the Wales Safeguarding Procedures (2019)</w:t>
            </w:r>
            <w:r w:rsidRPr="00642B4E">
              <w:rPr>
                <w:rFonts w:asciiTheme="minorHAnsi" w:hAnsiTheme="minorHAnsi" w:cstheme="minorHAnsi"/>
                <w:sz w:val="24"/>
                <w:szCs w:val="24"/>
              </w:rPr>
              <w:t xml:space="preserve"> and the </w:t>
            </w:r>
            <w:r w:rsidRPr="00B71946">
              <w:rPr>
                <w:rFonts w:asciiTheme="minorHAnsi" w:hAnsiTheme="minorHAnsi" w:cstheme="minorHAnsi"/>
                <w:i/>
                <w:sz w:val="24"/>
                <w:szCs w:val="24"/>
              </w:rPr>
              <w:t>Social Services Wellbeing Wales Act (SSWWA) (2014)</w:t>
            </w:r>
            <w:r w:rsidRPr="00642B4E">
              <w:rPr>
                <w:rFonts w:asciiTheme="minorHAnsi" w:hAnsiTheme="minorHAnsi" w:cstheme="minorHAnsi"/>
                <w:sz w:val="24"/>
                <w:szCs w:val="24"/>
              </w:rPr>
              <w:t xml:space="preserve"> s126, the Support Worker had a statutory duty to report her concerns relating to the alleged incident as 1 was at risk of abuse. This was also reported to South Wales Police as a potential crime. In England, the </w:t>
            </w:r>
            <w:r w:rsidRPr="00B71946">
              <w:rPr>
                <w:rFonts w:asciiTheme="minorHAnsi" w:hAnsiTheme="minorHAnsi" w:cstheme="minorHAnsi"/>
                <w:i/>
                <w:sz w:val="24"/>
                <w:szCs w:val="24"/>
              </w:rPr>
              <w:t>Care Act (2014)</w:t>
            </w:r>
            <w:r w:rsidRPr="00642B4E">
              <w:rPr>
                <w:rFonts w:asciiTheme="minorHAnsi" w:hAnsiTheme="minorHAnsi" w:cstheme="minorHAnsi"/>
                <w:sz w:val="24"/>
                <w:szCs w:val="24"/>
              </w:rPr>
              <w:t xml:space="preserve"> is the legislative framework for safeguarding vulnerable adults. This differs from </w:t>
            </w:r>
            <w:r w:rsidRPr="00B71946">
              <w:rPr>
                <w:rFonts w:asciiTheme="minorHAnsi" w:hAnsiTheme="minorHAnsi" w:cstheme="minorHAnsi"/>
                <w:i/>
                <w:sz w:val="24"/>
                <w:szCs w:val="24"/>
              </w:rPr>
              <w:t>The Social Services and Wellbeing (Wales) Act (2014)</w:t>
            </w:r>
            <w:r w:rsidRPr="00642B4E">
              <w:rPr>
                <w:rFonts w:asciiTheme="minorHAnsi" w:hAnsiTheme="minorHAnsi" w:cstheme="minorHAnsi"/>
                <w:sz w:val="24"/>
                <w:szCs w:val="24"/>
              </w:rPr>
              <w:t xml:space="preserve"> which provides a duty to make enquiries regarding a child or adult in need of support. </w:t>
            </w:r>
          </w:p>
          <w:p w14:paraId="5F97C0BE"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Under the </w:t>
            </w:r>
            <w:r w:rsidRPr="00B71946">
              <w:rPr>
                <w:rFonts w:asciiTheme="minorHAnsi" w:hAnsiTheme="minorHAnsi" w:cstheme="minorHAnsi"/>
                <w:i/>
                <w:sz w:val="24"/>
                <w:szCs w:val="24"/>
              </w:rPr>
              <w:t>Wales Safeguarding Procedures (2019)</w:t>
            </w:r>
            <w:r w:rsidRPr="00642B4E">
              <w:rPr>
                <w:rFonts w:asciiTheme="minorHAnsi" w:hAnsiTheme="minorHAnsi" w:cstheme="minorHAnsi"/>
                <w:sz w:val="24"/>
                <w:szCs w:val="24"/>
              </w:rPr>
              <w:t xml:space="preserve"> collaborative working with people in need, their </w:t>
            </w:r>
            <w:proofErr w:type="spellStart"/>
            <w:r w:rsidRPr="00642B4E">
              <w:rPr>
                <w:rFonts w:asciiTheme="minorHAnsi" w:hAnsiTheme="minorHAnsi" w:cstheme="minorHAnsi"/>
                <w:sz w:val="24"/>
                <w:szCs w:val="24"/>
              </w:rPr>
              <w:t>carers</w:t>
            </w:r>
            <w:proofErr w:type="spellEnd"/>
            <w:r w:rsidRPr="00642B4E">
              <w:rPr>
                <w:rFonts w:asciiTheme="minorHAnsi" w:hAnsiTheme="minorHAnsi" w:cstheme="minorHAnsi"/>
                <w:sz w:val="24"/>
                <w:szCs w:val="24"/>
              </w:rPr>
              <w:t xml:space="preserve"> and other professionals is emphasised through this legislative framework. In comparison in Germany, whilst interagency collaboration is encouraged through various frameworks such as </w:t>
            </w:r>
            <w:r w:rsidRPr="00B71946">
              <w:rPr>
                <w:rFonts w:asciiTheme="minorHAnsi" w:hAnsiTheme="minorHAnsi" w:cstheme="minorHAnsi"/>
                <w:i/>
                <w:sz w:val="24"/>
                <w:szCs w:val="24"/>
              </w:rPr>
              <w:t>The Act on the Protection of Vulnerable Adults (2018)</w:t>
            </w:r>
            <w:r w:rsidRPr="00642B4E">
              <w:rPr>
                <w:rFonts w:asciiTheme="minorHAnsi" w:hAnsiTheme="minorHAnsi" w:cstheme="minorHAnsi"/>
                <w:sz w:val="24"/>
                <w:szCs w:val="24"/>
              </w:rPr>
              <w:t xml:space="preserve">, practical implementation can be inconsistent due to varying state laws. </w:t>
            </w:r>
          </w:p>
          <w:p w14:paraId="5BCA25BE" w14:textId="77777777" w:rsidR="00642B4E" w:rsidRPr="00642B4E" w:rsidRDefault="00642B4E" w:rsidP="00642B4E">
            <w:pPr>
              <w:spacing w:line="360" w:lineRule="auto"/>
              <w:rPr>
                <w:rFonts w:asciiTheme="minorHAnsi" w:hAnsiTheme="minorHAnsi" w:cstheme="minorHAnsi"/>
                <w:sz w:val="24"/>
                <w:szCs w:val="24"/>
                <w:u w:val="single"/>
              </w:rPr>
            </w:pPr>
            <w:r w:rsidRPr="00642B4E">
              <w:rPr>
                <w:rFonts w:asciiTheme="minorHAnsi" w:hAnsiTheme="minorHAnsi" w:cstheme="minorHAnsi"/>
                <w:sz w:val="24"/>
                <w:szCs w:val="24"/>
                <w:u w:val="single"/>
              </w:rPr>
              <w:t>Reflection</w:t>
            </w:r>
          </w:p>
          <w:p w14:paraId="7516D95D" w14:textId="26334E52"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lastRenderedPageBreak/>
              <w:t>Whilst as a Social Worker we always strive to avoid vulnerable individuals reaching crisis point and becoming an Adult At Risk, I was able to reflect on the advantages of 1 now being referred as an Adult At Risk, having the input of the Safeguarding team and sharing the responsibility. The referral led to a Safeguarding Strategy meeting with a Safeguarding Co-ordinator and the Manager of the care provider who support 1. It also led to discussions with the police. When addressing complex issues and matters of safeguarding, collaborative working can be beneficial for sharing expertise but also sharing responsibility. When done well, it can lead to a more effective approach (</w:t>
            </w:r>
            <w:proofErr w:type="spellStart"/>
            <w:r w:rsidRPr="00642B4E">
              <w:rPr>
                <w:rFonts w:asciiTheme="minorHAnsi" w:hAnsiTheme="minorHAnsi" w:cstheme="minorHAnsi"/>
                <w:sz w:val="24"/>
                <w:szCs w:val="24"/>
              </w:rPr>
              <w:t>Mantell</w:t>
            </w:r>
            <w:proofErr w:type="spellEnd"/>
            <w:r w:rsidRPr="00642B4E">
              <w:rPr>
                <w:rFonts w:asciiTheme="minorHAnsi" w:hAnsiTheme="minorHAnsi" w:cstheme="minorHAnsi"/>
                <w:sz w:val="24"/>
                <w:szCs w:val="24"/>
              </w:rPr>
              <w:t xml:space="preserve"> and </w:t>
            </w:r>
            <w:proofErr w:type="spellStart"/>
            <w:r w:rsidRPr="00642B4E">
              <w:rPr>
                <w:rFonts w:asciiTheme="minorHAnsi" w:hAnsiTheme="minorHAnsi" w:cstheme="minorHAnsi"/>
                <w:sz w:val="24"/>
                <w:szCs w:val="24"/>
              </w:rPr>
              <w:t>Scragg</w:t>
            </w:r>
            <w:proofErr w:type="spellEnd"/>
            <w:r w:rsidRPr="00642B4E">
              <w:rPr>
                <w:rFonts w:asciiTheme="minorHAnsi" w:hAnsiTheme="minorHAnsi" w:cstheme="minorHAnsi"/>
                <w:sz w:val="24"/>
                <w:szCs w:val="24"/>
              </w:rPr>
              <w:t xml:space="preserve">, 2008). We had a duty to work to reduce risk of violence towards 1 under </w:t>
            </w:r>
            <w:proofErr w:type="gramStart"/>
            <w:r w:rsidRPr="00642B4E">
              <w:rPr>
                <w:rFonts w:asciiTheme="minorHAnsi" w:hAnsiTheme="minorHAnsi" w:cstheme="minorHAnsi"/>
                <w:sz w:val="24"/>
                <w:szCs w:val="24"/>
              </w:rPr>
              <w:t>s.2(</w:t>
            </w:r>
            <w:proofErr w:type="gramEnd"/>
            <w:r w:rsidRPr="00642B4E">
              <w:rPr>
                <w:rFonts w:asciiTheme="minorHAnsi" w:hAnsiTheme="minorHAnsi" w:cstheme="minorHAnsi"/>
                <w:sz w:val="24"/>
                <w:szCs w:val="24"/>
              </w:rPr>
              <w:t xml:space="preserve">1)(a) of the </w:t>
            </w:r>
            <w:r w:rsidRPr="000578EF">
              <w:rPr>
                <w:rFonts w:asciiTheme="minorHAnsi" w:hAnsiTheme="minorHAnsi" w:cstheme="minorHAnsi"/>
                <w:i/>
                <w:sz w:val="24"/>
                <w:szCs w:val="24"/>
              </w:rPr>
              <w:t>Violence against Women, Domestic Abuse and Sexual Violence (Wales) Act 2015</w:t>
            </w:r>
            <w:r w:rsidRPr="00642B4E">
              <w:rPr>
                <w:rFonts w:asciiTheme="minorHAnsi" w:hAnsiTheme="minorHAnsi" w:cstheme="minorHAnsi"/>
                <w:sz w:val="24"/>
                <w:szCs w:val="24"/>
              </w:rPr>
              <w:t xml:space="preserve">. Therefore, working collaboratively with other professionals involved in supporting 1 and creating a robust safety plan of how to respond to incidents was important in minimising the risk to her. </w:t>
            </w:r>
          </w:p>
          <w:p w14:paraId="089DC1D8" w14:textId="77777777" w:rsidR="00642B4E" w:rsidRPr="00642B4E" w:rsidRDefault="00642B4E" w:rsidP="00642B4E">
            <w:pPr>
              <w:spacing w:line="360" w:lineRule="auto"/>
              <w:ind w:firstLine="720"/>
              <w:rPr>
                <w:rFonts w:asciiTheme="minorHAnsi" w:hAnsiTheme="minorHAnsi" w:cstheme="minorHAnsi"/>
                <w:sz w:val="24"/>
                <w:szCs w:val="24"/>
              </w:rPr>
            </w:pPr>
            <w:r w:rsidRPr="000578EF">
              <w:rPr>
                <w:rFonts w:asciiTheme="minorHAnsi" w:hAnsiTheme="minorHAnsi" w:cstheme="minorHAnsi"/>
                <w:i/>
                <w:sz w:val="24"/>
                <w:szCs w:val="24"/>
              </w:rPr>
              <w:t>The Human Rights Act (ECHR, 2018)</w:t>
            </w:r>
            <w:r w:rsidRPr="00642B4E">
              <w:rPr>
                <w:rFonts w:asciiTheme="minorHAnsi" w:hAnsiTheme="minorHAnsi" w:cstheme="minorHAnsi"/>
                <w:sz w:val="24"/>
                <w:szCs w:val="24"/>
              </w:rPr>
              <w:t xml:space="preserve"> article 8 makes reference to an individual’s right to a private family life, it could be argued 1 and her family have a right to live their life privately without Local Authority intervention. In instances such as this where there is tension and conflict between legislation, the risks must be considered and balanced and action taken should be proportionate. Due to the escalation into threats of physical harm, we had to intervene to ensure the safety of 1 as a vulnerable adult. The proportionate response in this instance, was for respite to be offered, which 1 declined. Therefore, collaborating to create a safety plan for 1 to remain at the home was necessary. I also ensured this safety plan was communicated to all involved including the individual and other professionals supporting 1, including the Police and the Care Provider. </w:t>
            </w:r>
          </w:p>
          <w:p w14:paraId="27223517"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It was essential for me to practice effective communication skills within this scenario to successfully work in collaboration with 1. Effective communication skills can strengthen relationships and improve outcomes for individuals, even in times of challenge (Healy, 2018). I ensured I displayed empathy for her circumstances, was open and honest with her throughout, and explained information in a way which was accessible for her. On reflection, it may have been beneficial to conduct my interactions in person rather than over the phone during this scenario, as non-verbal communication is missing on the phone. Community Care (2008) informs non-verbal communication can be equally as important as verbal communication. The need to hold these </w:t>
            </w:r>
            <w:r w:rsidRPr="00642B4E">
              <w:rPr>
                <w:rFonts w:asciiTheme="minorHAnsi" w:hAnsiTheme="minorHAnsi" w:cstheme="minorHAnsi"/>
                <w:sz w:val="24"/>
                <w:szCs w:val="24"/>
              </w:rPr>
              <w:lastRenderedPageBreak/>
              <w:t xml:space="preserve">discussions quickly was prioritised over the need to visit, but this is a consideration for future interactions. </w:t>
            </w:r>
          </w:p>
          <w:p w14:paraId="665B80FB" w14:textId="77777777" w:rsidR="00642B4E" w:rsidRPr="00642B4E" w:rsidRDefault="00642B4E" w:rsidP="00642B4E">
            <w:pPr>
              <w:spacing w:line="360" w:lineRule="auto"/>
              <w:rPr>
                <w:rFonts w:asciiTheme="minorHAnsi" w:hAnsiTheme="minorHAnsi" w:cstheme="minorHAnsi"/>
                <w:sz w:val="24"/>
                <w:szCs w:val="24"/>
                <w:u w:val="single"/>
              </w:rPr>
            </w:pPr>
            <w:r w:rsidRPr="00642B4E">
              <w:rPr>
                <w:rFonts w:asciiTheme="minorHAnsi" w:hAnsiTheme="minorHAnsi" w:cstheme="minorHAnsi"/>
                <w:sz w:val="24"/>
                <w:szCs w:val="24"/>
                <w:u w:val="single"/>
              </w:rPr>
              <w:t>Action</w:t>
            </w:r>
          </w:p>
          <w:p w14:paraId="5F6FFDEA" w14:textId="179783A2"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In order to work collaboratively with 1, her carers and other professionals, I considered Bronfenbrenner’s 1979 System’s theory (Maclean and Harrison, 2015). This theory allowed me to look at how the factors around 1 were working together, and how these would be affected by a change to one part of the system. It enabled for a more holistic approach to 1’s case. Having an understanding of this theory also enabled me to think more broadly and consider the various possibilities such as if her brother were to be arrested, how this would impact on the care both 1 and her mother receive and whether placements would need to be considered for both. </w:t>
            </w:r>
          </w:p>
          <w:p w14:paraId="666CE6F4"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Should this situation arise again in future, I believe I would practice in a similar manner of collaborating to form a safety plan with all professionals involved and the individual. This ensures that the risk to the individual is minimised as far as is practicable. Ann Craft Trust (2020) found prior to the implementation of the </w:t>
            </w:r>
            <w:r w:rsidRPr="000578EF">
              <w:rPr>
                <w:rFonts w:asciiTheme="minorHAnsi" w:hAnsiTheme="minorHAnsi" w:cstheme="minorHAnsi"/>
                <w:i/>
                <w:sz w:val="24"/>
                <w:szCs w:val="24"/>
              </w:rPr>
              <w:t>SSWWA 2014</w:t>
            </w:r>
            <w:r w:rsidRPr="00642B4E">
              <w:rPr>
                <w:rFonts w:asciiTheme="minorHAnsi" w:hAnsiTheme="minorHAnsi" w:cstheme="minorHAnsi"/>
                <w:sz w:val="24"/>
                <w:szCs w:val="24"/>
              </w:rPr>
              <w:t xml:space="preserve"> there was a need for advocacy services that could be accessed by individuals with learning disabilities, free of charge. As part of the </w:t>
            </w:r>
            <w:r w:rsidRPr="000578EF">
              <w:rPr>
                <w:rFonts w:asciiTheme="minorHAnsi" w:hAnsiTheme="minorHAnsi" w:cstheme="minorHAnsi"/>
                <w:i/>
                <w:sz w:val="24"/>
                <w:szCs w:val="24"/>
              </w:rPr>
              <w:t>SSWWA 2014</w:t>
            </w:r>
            <w:r w:rsidRPr="00642B4E">
              <w:rPr>
                <w:rFonts w:asciiTheme="minorHAnsi" w:hAnsiTheme="minorHAnsi" w:cstheme="minorHAnsi"/>
                <w:sz w:val="24"/>
                <w:szCs w:val="24"/>
              </w:rPr>
              <w:t xml:space="preserve">, the provisions for accessing advocacy services was included within the Act. In future, it would be beneficial in line with the provisions of the </w:t>
            </w:r>
            <w:r w:rsidRPr="000578EF">
              <w:rPr>
                <w:rFonts w:asciiTheme="minorHAnsi" w:hAnsiTheme="minorHAnsi" w:cstheme="minorHAnsi"/>
                <w:i/>
                <w:sz w:val="24"/>
                <w:szCs w:val="24"/>
              </w:rPr>
              <w:t>SSWWA 2014</w:t>
            </w:r>
            <w:r w:rsidRPr="00642B4E">
              <w:rPr>
                <w:rFonts w:asciiTheme="minorHAnsi" w:hAnsiTheme="minorHAnsi" w:cstheme="minorHAnsi"/>
                <w:sz w:val="24"/>
                <w:szCs w:val="24"/>
              </w:rPr>
              <w:t xml:space="preserve"> to ensure that any adult at risk I am working with, who meets the criteria for advocacy, is referred at the earliest opportunity. This will ensure their voice is heard which can be particularly beneficial in addressing any potential power imbalance within an MDT meeting. </w:t>
            </w:r>
          </w:p>
          <w:p w14:paraId="7AE4FC86" w14:textId="3B637C21"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This will not be appropriate for all individuals however, as was evident with 1, there will be occasions where the priority is to ensure the individual’s safety. This is in line with stage one of the Roberts 2005 crisis intervention approach, whereby the safety of the individual is assessed. Following this, the practitioner can work through the stages of this model to ensure collaboratively identifying the risks and what changes are necessary, before developing a plan of action together (Maclean and Harrison, 2015). The learning from this case will ensure in future I continue to work collaboratively as the evidence has shown the benefits of working together as an MDT team to manage risks. Had I been managing this risk solely, there may have been aspects within the safety </w:t>
            </w:r>
            <w:r w:rsidRPr="00642B4E">
              <w:rPr>
                <w:rFonts w:asciiTheme="minorHAnsi" w:hAnsiTheme="minorHAnsi" w:cstheme="minorHAnsi"/>
                <w:sz w:val="24"/>
                <w:szCs w:val="24"/>
              </w:rPr>
              <w:lastRenderedPageBreak/>
              <w:t xml:space="preserve">planning that I had missed, the combined expertise of those involved ensured we looked at the circumstances as holistically as possible. </w:t>
            </w:r>
          </w:p>
          <w:p w14:paraId="3DB8915F" w14:textId="77777777" w:rsidR="00642B4E" w:rsidRPr="00642B4E" w:rsidRDefault="00642B4E" w:rsidP="00642B4E">
            <w:pPr>
              <w:spacing w:line="360" w:lineRule="auto"/>
              <w:ind w:firstLine="720"/>
              <w:rPr>
                <w:rFonts w:asciiTheme="minorHAnsi" w:hAnsiTheme="minorHAnsi" w:cstheme="minorHAnsi"/>
                <w:sz w:val="24"/>
                <w:szCs w:val="24"/>
              </w:rPr>
            </w:pPr>
          </w:p>
          <w:p w14:paraId="6CADCA8B" w14:textId="77777777" w:rsidR="00642B4E" w:rsidRPr="00642B4E" w:rsidRDefault="00642B4E" w:rsidP="00642B4E">
            <w:pPr>
              <w:spacing w:line="360" w:lineRule="auto"/>
              <w:rPr>
                <w:rFonts w:asciiTheme="minorHAnsi" w:hAnsiTheme="minorHAnsi" w:cstheme="minorHAnsi"/>
                <w:b/>
                <w:sz w:val="24"/>
                <w:szCs w:val="24"/>
                <w:u w:val="single"/>
              </w:rPr>
            </w:pPr>
            <w:r w:rsidRPr="00642B4E">
              <w:rPr>
                <w:rFonts w:asciiTheme="minorHAnsi" w:hAnsiTheme="minorHAnsi" w:cstheme="minorHAnsi"/>
                <w:b/>
                <w:sz w:val="24"/>
                <w:szCs w:val="24"/>
                <w:u w:val="single"/>
              </w:rPr>
              <w:t>Intervention and application of professional judgement in increasingly complex situations</w:t>
            </w:r>
          </w:p>
          <w:p w14:paraId="624018F3" w14:textId="77777777" w:rsidR="00642B4E" w:rsidRPr="00642B4E" w:rsidRDefault="00642B4E" w:rsidP="00642B4E">
            <w:pPr>
              <w:spacing w:line="360" w:lineRule="auto"/>
              <w:rPr>
                <w:rFonts w:asciiTheme="minorHAnsi" w:hAnsiTheme="minorHAnsi" w:cstheme="minorHAnsi"/>
                <w:color w:val="FF0000"/>
                <w:sz w:val="24"/>
                <w:szCs w:val="24"/>
                <w:u w:val="single"/>
              </w:rPr>
            </w:pPr>
            <w:r w:rsidRPr="00642B4E">
              <w:rPr>
                <w:rFonts w:asciiTheme="minorHAnsi" w:hAnsiTheme="minorHAnsi" w:cstheme="minorHAnsi"/>
                <w:sz w:val="24"/>
                <w:szCs w:val="24"/>
                <w:u w:val="single"/>
              </w:rPr>
              <w:t>Experience</w:t>
            </w:r>
          </w:p>
          <w:p w14:paraId="500A1631" w14:textId="421B8B40" w:rsidR="00642B4E" w:rsidRPr="00642B4E" w:rsidRDefault="00642B4E" w:rsidP="00642B4E">
            <w:pPr>
              <w:spacing w:line="360" w:lineRule="auto"/>
              <w:ind w:firstLine="720"/>
              <w:rPr>
                <w:rFonts w:asciiTheme="minorHAnsi" w:hAnsiTheme="minorHAnsi" w:cstheme="minorHAnsi"/>
                <w:color w:val="FF0000"/>
                <w:sz w:val="24"/>
                <w:szCs w:val="24"/>
                <w:u w:val="single"/>
              </w:rPr>
            </w:pPr>
            <w:r w:rsidRPr="00642B4E">
              <w:rPr>
                <w:rFonts w:asciiTheme="minorHAnsi" w:hAnsiTheme="minorHAnsi" w:cstheme="minorHAnsi"/>
                <w:sz w:val="24"/>
                <w:szCs w:val="24"/>
              </w:rPr>
              <w:t xml:space="preserve">1 remained in her brother’s home, as she declined the offer of respite and stated she did not wish to move out. Tensions continued to escalate, and 1’s brothers explained they were no longer able to tolerate her behaviours. Following continued arguments, they contacted the police and requested that 1 was removed from their home. Police removed 1 and she stayed at her cousin’s house for a night whilst I worked to find an emergency placement. This involved discussions with various care providers, to ensure compatibility with other residents was given due consideration, and that the providers were able to meet 1’s needs for care and support. During these discussions, it was essential for me to apply professional judgement at each stage of the process, to ensure that 1 was moved to appropriate accommodation. As Social Workers, we make numerous decisions and judgements each day, and these many smaller judgements can often be as important as the larger decisions (Taylor and Whittaker, 2018). As the situation for 1 was becoming increasingly complex, it brought with it many smaller judgements within the ultimate overarching decision of where to place her. </w:t>
            </w:r>
          </w:p>
          <w:p w14:paraId="2E022F91" w14:textId="77777777" w:rsidR="00642B4E" w:rsidRPr="00642B4E" w:rsidRDefault="00642B4E" w:rsidP="00642B4E">
            <w:pPr>
              <w:spacing w:line="360" w:lineRule="auto"/>
              <w:rPr>
                <w:rFonts w:asciiTheme="minorHAnsi" w:hAnsiTheme="minorHAnsi" w:cstheme="minorHAnsi"/>
                <w:color w:val="FF0000"/>
                <w:sz w:val="24"/>
                <w:szCs w:val="24"/>
                <w:u w:val="single"/>
              </w:rPr>
            </w:pPr>
            <w:r w:rsidRPr="00642B4E">
              <w:rPr>
                <w:rFonts w:asciiTheme="minorHAnsi" w:hAnsiTheme="minorHAnsi" w:cstheme="minorHAnsi"/>
                <w:sz w:val="24"/>
                <w:szCs w:val="24"/>
                <w:u w:val="single"/>
              </w:rPr>
              <w:t>Reflection</w:t>
            </w:r>
          </w:p>
          <w:p w14:paraId="24E79862"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At this stage, I felt concerned over what would happen if we could not find a suitable placement for 1. There were a lot of factors to consider in ensuring that her needs for care and support were met. I also felt saddened that 1 was not able to participate in the decision making process, due to her continued wish to return home. As Social Workers we always aim to work in co-production, and ensure the individual’s voice is central to decisions and judgements. However, under the </w:t>
            </w:r>
            <w:r w:rsidRPr="000578EF">
              <w:rPr>
                <w:rFonts w:asciiTheme="minorHAnsi" w:hAnsiTheme="minorHAnsi" w:cstheme="minorHAnsi"/>
                <w:i/>
                <w:sz w:val="24"/>
                <w:szCs w:val="24"/>
              </w:rPr>
              <w:t>Mental Capacity Act 2005</w:t>
            </w:r>
            <w:r w:rsidRPr="00642B4E">
              <w:rPr>
                <w:rFonts w:asciiTheme="minorHAnsi" w:hAnsiTheme="minorHAnsi" w:cstheme="minorHAnsi"/>
                <w:sz w:val="24"/>
                <w:szCs w:val="24"/>
              </w:rPr>
              <w:t xml:space="preserve">, as 1 was deemed to be lacking capacity in relation to her accommodation needs, it was necessary for the decision to be made in her best interests. </w:t>
            </w:r>
          </w:p>
          <w:p w14:paraId="63CD9EBF"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National Institute for Health and Care Excellence (NICE) guidelines and the </w:t>
            </w:r>
            <w:r w:rsidRPr="000578EF">
              <w:rPr>
                <w:rFonts w:asciiTheme="minorHAnsi" w:hAnsiTheme="minorHAnsi" w:cstheme="minorHAnsi"/>
                <w:i/>
                <w:sz w:val="24"/>
                <w:szCs w:val="24"/>
              </w:rPr>
              <w:t xml:space="preserve">Mental Capacity Act 2005 </w:t>
            </w:r>
            <w:r w:rsidRPr="00642B4E">
              <w:rPr>
                <w:rFonts w:asciiTheme="minorHAnsi" w:hAnsiTheme="minorHAnsi" w:cstheme="minorHAnsi"/>
                <w:sz w:val="24"/>
                <w:szCs w:val="24"/>
              </w:rPr>
              <w:t xml:space="preserve">Code of Practice set out an individual must be empowered and supported to make their own decisions whenever able to, and if this is not possible then principle 4 states any decisions </w:t>
            </w:r>
            <w:r w:rsidRPr="00642B4E">
              <w:rPr>
                <w:rFonts w:asciiTheme="minorHAnsi" w:hAnsiTheme="minorHAnsi" w:cstheme="minorHAnsi"/>
                <w:sz w:val="24"/>
                <w:szCs w:val="24"/>
              </w:rPr>
              <w:lastRenderedPageBreak/>
              <w:t xml:space="preserve">made on the individual’s behalf, should be done in their best interests (NICE, 2020) Ordinarily, an individual’s wishes, views and feelings should be taken into consideration as much as is reasonable. Therefore, as 1 had strongly expressed her wish to remain living as close to her family as possible, I experienced guilt that the only accommodation with availability which could meet her needs, was one hour away. I did however recognise this was a temporary, short term placement, and it was to ensure her safety and prevent homelessness. I also reflected that when we had discussed the type of support 1 would like during a meeting with the Housing Options Co-ordinator at the start of my involvement, 1 had informed she would like to live in a home where staff were always on hand for support or emotional reassurance. Therefore, the residential placement 1 was moving to took some of her past wishes into account. </w:t>
            </w:r>
          </w:p>
          <w:p w14:paraId="624FF999" w14:textId="7777777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Once 1 was safely in her placement, longer term planning could take place. This included referring 1 for an Independent Mental Capacity Advocate (IMCA) to ensure her voice and wishes were appropriately advocated for. The IMCA would be able to provide representation on 1’s behalf, due to her having no appropriate family or friends who could advocate for 1 independently of Social Services (Social Care Institute for Excellence (SCIE) 2024). The IMCA’S report would aid with the longer term decision making, therefore alleviating the feelings of guilt I may have earlier felt, with the knowledge that her long term placement would be a better planned move. </w:t>
            </w:r>
          </w:p>
          <w:p w14:paraId="31275838" w14:textId="77777777" w:rsidR="00642B4E" w:rsidRPr="00642B4E" w:rsidRDefault="00642B4E" w:rsidP="00642B4E">
            <w:pPr>
              <w:spacing w:line="360" w:lineRule="auto"/>
              <w:rPr>
                <w:rFonts w:asciiTheme="minorHAnsi" w:hAnsiTheme="minorHAnsi" w:cstheme="minorHAnsi"/>
                <w:color w:val="FF0000"/>
                <w:sz w:val="24"/>
                <w:szCs w:val="24"/>
                <w:u w:val="single"/>
              </w:rPr>
            </w:pPr>
            <w:r w:rsidRPr="00642B4E">
              <w:rPr>
                <w:rFonts w:asciiTheme="minorHAnsi" w:hAnsiTheme="minorHAnsi" w:cstheme="minorHAnsi"/>
                <w:sz w:val="24"/>
                <w:szCs w:val="24"/>
                <w:u w:val="single"/>
              </w:rPr>
              <w:t>Action</w:t>
            </w:r>
          </w:p>
          <w:p w14:paraId="4D703CED" w14:textId="765A9C11"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Should a similar scenario arise in future, the evidence from this case has demonstrated that whilst I may have had doubts and concerns regarding whether I had taken appropriate steps at the appropriate times, overall, the outcome was a positive one and I would have more confidence in following a similar route in future. Ultimately, the safety of 1 was paramount, and in placing 1, I was confident in the knowledge that we were able to prevent homelessness and a deterioration of her mental health. We were also able to work together as an effective multi agency team, to do this swiftly, which was not an easy task when there were many factors to consider in sourcing what we judged a suitable placement. Effectively adapting to increasingly complex situations which require an intervention such as this one, will build emotional resilience (Grant and </w:t>
            </w:r>
            <w:proofErr w:type="spellStart"/>
            <w:r w:rsidRPr="00642B4E">
              <w:rPr>
                <w:rFonts w:asciiTheme="minorHAnsi" w:hAnsiTheme="minorHAnsi" w:cstheme="minorHAnsi"/>
                <w:sz w:val="24"/>
                <w:szCs w:val="24"/>
              </w:rPr>
              <w:t>Kinman</w:t>
            </w:r>
            <w:proofErr w:type="spellEnd"/>
            <w:r w:rsidRPr="00642B4E">
              <w:rPr>
                <w:rFonts w:asciiTheme="minorHAnsi" w:hAnsiTheme="minorHAnsi" w:cstheme="minorHAnsi"/>
                <w:sz w:val="24"/>
                <w:szCs w:val="24"/>
              </w:rPr>
              <w:t xml:space="preserve">, 2020). I feel working with 1 throughout this safeguarding process has built on my emotional resilience. The </w:t>
            </w:r>
            <w:r w:rsidRPr="00642B4E">
              <w:rPr>
                <w:rFonts w:asciiTheme="minorHAnsi" w:hAnsiTheme="minorHAnsi" w:cstheme="minorHAnsi"/>
                <w:sz w:val="24"/>
                <w:szCs w:val="24"/>
              </w:rPr>
              <w:lastRenderedPageBreak/>
              <w:t xml:space="preserve">scenario has also taught me to look at the evidence of positive outcomes as a method of managing emotions involved in complex cases. </w:t>
            </w:r>
          </w:p>
          <w:p w14:paraId="65DE2F1B" w14:textId="4F401827" w:rsidR="00642B4E" w:rsidRPr="00642B4E" w:rsidRDefault="00642B4E" w:rsidP="00642B4E">
            <w:pPr>
              <w:spacing w:line="360" w:lineRule="auto"/>
              <w:ind w:firstLine="720"/>
              <w:rPr>
                <w:rFonts w:asciiTheme="minorHAnsi" w:hAnsiTheme="minorHAnsi" w:cstheme="minorHAnsi"/>
                <w:sz w:val="24"/>
                <w:szCs w:val="24"/>
              </w:rPr>
            </w:pPr>
            <w:r w:rsidRPr="00642B4E">
              <w:rPr>
                <w:rFonts w:asciiTheme="minorHAnsi" w:hAnsiTheme="minorHAnsi" w:cstheme="minorHAnsi"/>
                <w:sz w:val="24"/>
                <w:szCs w:val="24"/>
              </w:rPr>
              <w:t xml:space="preserve">The learnings from this case will go forward to impact my practice as a Social Worker by building on my emotional resilience and emotional intelligence; an area which I feel I do require continuous development in. Due to the level of complexity in the cases within my team, it is crucial that this resilience continues to build as I encounter new scenarios. This will prevent burnout and ensure I am working to the best of my ability, and in turn ensure the individuals I work with receive the best support which is based on sound judgements rather than clouded by emotions. Grant and </w:t>
            </w:r>
            <w:proofErr w:type="spellStart"/>
            <w:r w:rsidRPr="00642B4E">
              <w:rPr>
                <w:rFonts w:asciiTheme="minorHAnsi" w:hAnsiTheme="minorHAnsi" w:cstheme="minorHAnsi"/>
                <w:sz w:val="24"/>
                <w:szCs w:val="24"/>
              </w:rPr>
              <w:t>Kinman</w:t>
            </w:r>
            <w:proofErr w:type="spellEnd"/>
            <w:r w:rsidRPr="00642B4E">
              <w:rPr>
                <w:rFonts w:asciiTheme="minorHAnsi" w:hAnsiTheme="minorHAnsi" w:cstheme="minorHAnsi"/>
                <w:sz w:val="24"/>
                <w:szCs w:val="24"/>
              </w:rPr>
              <w:t xml:space="preserve"> (2016) found that a Social Worker’s quality of practice was enhanced through stronger emotional resilience and personal wellbeing. </w:t>
            </w:r>
          </w:p>
          <w:p w14:paraId="17C204F0" w14:textId="77777777" w:rsidR="00642B4E" w:rsidRPr="00642B4E" w:rsidRDefault="00642B4E" w:rsidP="00642B4E">
            <w:pPr>
              <w:spacing w:line="360" w:lineRule="auto"/>
              <w:ind w:firstLine="720"/>
              <w:rPr>
                <w:rFonts w:asciiTheme="minorHAnsi" w:hAnsiTheme="minorHAnsi" w:cstheme="minorHAnsi"/>
                <w:sz w:val="24"/>
                <w:szCs w:val="24"/>
              </w:rPr>
            </w:pPr>
          </w:p>
          <w:p w14:paraId="094434C5" w14:textId="77777777" w:rsidR="00642B4E" w:rsidRPr="00642B4E" w:rsidRDefault="00642B4E" w:rsidP="00642B4E">
            <w:pPr>
              <w:spacing w:line="360" w:lineRule="auto"/>
              <w:rPr>
                <w:rFonts w:asciiTheme="minorHAnsi" w:hAnsiTheme="minorHAnsi" w:cstheme="minorHAnsi"/>
                <w:b/>
                <w:sz w:val="24"/>
                <w:szCs w:val="24"/>
                <w:u w:val="single"/>
              </w:rPr>
            </w:pPr>
            <w:r w:rsidRPr="00642B4E">
              <w:rPr>
                <w:rFonts w:asciiTheme="minorHAnsi" w:hAnsiTheme="minorHAnsi" w:cstheme="minorHAnsi"/>
                <w:b/>
                <w:sz w:val="24"/>
                <w:szCs w:val="24"/>
                <w:u w:val="single"/>
              </w:rPr>
              <w:t xml:space="preserve">Conclusion </w:t>
            </w:r>
          </w:p>
          <w:p w14:paraId="18A92B48" w14:textId="77777777" w:rsidR="00642B4E" w:rsidRPr="00642B4E" w:rsidRDefault="00642B4E" w:rsidP="00642B4E">
            <w:pPr>
              <w:spacing w:line="360" w:lineRule="auto"/>
              <w:rPr>
                <w:rFonts w:asciiTheme="minorHAnsi" w:hAnsiTheme="minorHAnsi" w:cstheme="minorHAnsi"/>
                <w:sz w:val="24"/>
                <w:szCs w:val="24"/>
              </w:rPr>
            </w:pPr>
            <w:r w:rsidRPr="00642B4E">
              <w:rPr>
                <w:rFonts w:asciiTheme="minorHAnsi" w:hAnsiTheme="minorHAnsi" w:cstheme="minorHAnsi"/>
                <w:sz w:val="24"/>
                <w:szCs w:val="24"/>
              </w:rPr>
              <w:tab/>
              <w:t xml:space="preserve">This critical reflection has demonstrated the ways in which a case I have worked with, has been supported through the safeguarding procedures to minimise the risk to her as a vulnerable adult. The essay has considered the legislative context of Wales, including how at each development of the case, the various legislation and policy has been applied. </w:t>
            </w:r>
          </w:p>
          <w:p w14:paraId="2CEE2819" w14:textId="77777777" w:rsidR="00642B4E" w:rsidRPr="00642B4E" w:rsidRDefault="00642B4E" w:rsidP="00642B4E">
            <w:pPr>
              <w:spacing w:line="360" w:lineRule="auto"/>
              <w:rPr>
                <w:rFonts w:asciiTheme="minorHAnsi" w:hAnsiTheme="minorHAnsi" w:cstheme="minorHAnsi"/>
                <w:sz w:val="24"/>
                <w:szCs w:val="24"/>
              </w:rPr>
            </w:pPr>
            <w:r w:rsidRPr="00642B4E">
              <w:rPr>
                <w:rFonts w:asciiTheme="minorHAnsi" w:hAnsiTheme="minorHAnsi" w:cstheme="minorHAnsi"/>
                <w:sz w:val="24"/>
                <w:szCs w:val="24"/>
              </w:rPr>
              <w:tab/>
              <w:t xml:space="preserve">Each of the three Social Care Wales learning outcomes have been discussed within the context of this case. It is evident throughout this essay, that whilst there has been a positive outcome for this individual, there are also several key learning points that I can take forward to impact my practice should I encounter a similar scenario in future. Undertaking this reflection has been crucial to examine how I can continue to develop as a Social Worker, which will in turn impact the individuals I work with positively. </w:t>
            </w:r>
          </w:p>
          <w:p w14:paraId="478510BD" w14:textId="77777777" w:rsidR="00642B4E" w:rsidRPr="00642B4E" w:rsidRDefault="00642B4E" w:rsidP="00642B4E">
            <w:pPr>
              <w:spacing w:line="360" w:lineRule="auto"/>
              <w:rPr>
                <w:rFonts w:asciiTheme="minorHAnsi" w:hAnsiTheme="minorHAnsi" w:cstheme="minorHAnsi"/>
                <w:sz w:val="24"/>
                <w:szCs w:val="24"/>
              </w:rPr>
            </w:pPr>
            <w:r w:rsidRPr="00642B4E">
              <w:rPr>
                <w:rFonts w:asciiTheme="minorHAnsi" w:hAnsiTheme="minorHAnsi" w:cstheme="minorHAnsi"/>
                <w:sz w:val="24"/>
                <w:szCs w:val="24"/>
              </w:rPr>
              <w:tab/>
              <w:t xml:space="preserve">With regards to the learning outcome of applying analysis in assessment to inform interventions, consideration will be given to the theory which can be applied to scenarios in future. In exploring the theory that underpins the circumstances, this will strengthen my understanding and allow me to tailor my approach to the needs of that individual, becoming a more person centred practitioner. </w:t>
            </w:r>
          </w:p>
          <w:p w14:paraId="56DFEB57" w14:textId="77777777" w:rsidR="00642B4E" w:rsidRPr="00642B4E" w:rsidRDefault="00642B4E" w:rsidP="00642B4E">
            <w:pPr>
              <w:spacing w:line="360" w:lineRule="auto"/>
              <w:rPr>
                <w:rFonts w:asciiTheme="minorHAnsi" w:hAnsiTheme="minorHAnsi" w:cstheme="minorHAnsi"/>
                <w:sz w:val="24"/>
                <w:szCs w:val="24"/>
              </w:rPr>
            </w:pPr>
            <w:r w:rsidRPr="00642B4E">
              <w:rPr>
                <w:rFonts w:asciiTheme="minorHAnsi" w:hAnsiTheme="minorHAnsi" w:cstheme="minorHAnsi"/>
                <w:sz w:val="24"/>
                <w:szCs w:val="24"/>
              </w:rPr>
              <w:tab/>
              <w:t xml:space="preserve">For the learning outcome of working collaboratively with people in need, their </w:t>
            </w:r>
            <w:proofErr w:type="spellStart"/>
            <w:r w:rsidRPr="00642B4E">
              <w:rPr>
                <w:rFonts w:asciiTheme="minorHAnsi" w:hAnsiTheme="minorHAnsi" w:cstheme="minorHAnsi"/>
                <w:sz w:val="24"/>
                <w:szCs w:val="24"/>
              </w:rPr>
              <w:t>carers</w:t>
            </w:r>
            <w:proofErr w:type="spellEnd"/>
            <w:r w:rsidRPr="00642B4E">
              <w:rPr>
                <w:rFonts w:asciiTheme="minorHAnsi" w:hAnsiTheme="minorHAnsi" w:cstheme="minorHAnsi"/>
                <w:sz w:val="24"/>
                <w:szCs w:val="24"/>
              </w:rPr>
              <w:t xml:space="preserve"> and other professionals, in future I will continue to work in collaboration with all those who are involved </w:t>
            </w:r>
            <w:r w:rsidRPr="00642B4E">
              <w:rPr>
                <w:rFonts w:asciiTheme="minorHAnsi" w:hAnsiTheme="minorHAnsi" w:cstheme="minorHAnsi"/>
                <w:sz w:val="24"/>
                <w:szCs w:val="24"/>
              </w:rPr>
              <w:lastRenderedPageBreak/>
              <w:t>in supporting the individual. Partnership working is a significant aspect of effective Social Work, and the benefits of this are vast. Information sharing builds a holistic picture of the individual’s circumstances as well as any influencing factors, and sharing the responsibility of safeguarding an adult at risk will minimise the risk.</w:t>
            </w:r>
          </w:p>
          <w:p w14:paraId="675449C9" w14:textId="77777777" w:rsidR="00642B4E" w:rsidRPr="00642B4E" w:rsidRDefault="00642B4E" w:rsidP="00642B4E">
            <w:pPr>
              <w:spacing w:line="360" w:lineRule="auto"/>
              <w:rPr>
                <w:rFonts w:asciiTheme="minorHAnsi" w:hAnsiTheme="minorHAnsi" w:cstheme="minorHAnsi"/>
                <w:sz w:val="24"/>
                <w:szCs w:val="24"/>
              </w:rPr>
            </w:pPr>
            <w:r w:rsidRPr="00642B4E">
              <w:rPr>
                <w:rFonts w:asciiTheme="minorHAnsi" w:hAnsiTheme="minorHAnsi" w:cstheme="minorHAnsi"/>
                <w:sz w:val="24"/>
                <w:szCs w:val="24"/>
              </w:rPr>
              <w:tab/>
              <w:t xml:space="preserve">Finally, for the learning outcome of intervention and application of professional judgement in increasingly complex situations, I will continue to build upon my emotional resilience. Being an emotionally resilient practitioner will ensure decisions and judgements made are based upon evidence rather than being clouded by emotions provoked by complex cases. </w:t>
            </w:r>
          </w:p>
          <w:p w14:paraId="279F946A" w14:textId="77777777" w:rsidR="00642B4E" w:rsidRPr="00642B4E" w:rsidRDefault="00642B4E" w:rsidP="00642B4E">
            <w:pPr>
              <w:spacing w:line="360" w:lineRule="auto"/>
              <w:rPr>
                <w:rFonts w:asciiTheme="minorHAnsi" w:hAnsiTheme="minorHAnsi" w:cstheme="minorHAnsi"/>
                <w:sz w:val="24"/>
                <w:szCs w:val="24"/>
              </w:rPr>
            </w:pPr>
            <w:r w:rsidRPr="00642B4E">
              <w:rPr>
                <w:rFonts w:asciiTheme="minorHAnsi" w:hAnsiTheme="minorHAnsi" w:cstheme="minorHAnsi"/>
                <w:sz w:val="24"/>
                <w:szCs w:val="24"/>
              </w:rPr>
              <w:tab/>
              <w:t xml:space="preserve">Overall, it can be concluded that the outcome for 1 has been positive and the ultimate aim of safeguarding her from the risk of harm has been achieved. Regardless of the areas for my development, it is essential that an individual’s safety is the priority whenever working with adults with disabilities and I am confident that this was the priority in supporting 1. </w:t>
            </w:r>
          </w:p>
          <w:p w14:paraId="20370495" w14:textId="63F02BB1" w:rsidR="00D3203C" w:rsidRPr="00642B4E" w:rsidRDefault="00D3203C" w:rsidP="00642B4E">
            <w:pPr>
              <w:spacing w:line="360" w:lineRule="auto"/>
              <w:jc w:val="both"/>
              <w:rPr>
                <w:rFonts w:asciiTheme="minorHAnsi" w:hAnsiTheme="minorHAnsi" w:cstheme="minorHAnsi"/>
                <w:sz w:val="24"/>
                <w:szCs w:val="24"/>
              </w:rPr>
            </w:pPr>
          </w:p>
          <w:p w14:paraId="0FC90344" w14:textId="2D25F537" w:rsidR="00642B4E" w:rsidRPr="00642B4E" w:rsidRDefault="00642B4E" w:rsidP="00FF7EBB">
            <w:pPr>
              <w:jc w:val="both"/>
              <w:rPr>
                <w:rFonts w:asciiTheme="minorHAnsi" w:hAnsiTheme="minorHAnsi" w:cstheme="minorHAnsi"/>
                <w:i/>
                <w:sz w:val="24"/>
                <w:szCs w:val="24"/>
              </w:rPr>
            </w:pPr>
            <w:r w:rsidRPr="00642B4E">
              <w:rPr>
                <w:rFonts w:asciiTheme="minorHAnsi" w:hAnsiTheme="minorHAnsi" w:cstheme="minorHAnsi"/>
                <w:i/>
                <w:sz w:val="24"/>
                <w:szCs w:val="24"/>
              </w:rPr>
              <w:t>(4007 words)</w:t>
            </w:r>
          </w:p>
          <w:p w14:paraId="12DC2F24" w14:textId="24094196" w:rsidR="00D3203C" w:rsidRPr="00642B4E" w:rsidRDefault="00D3203C" w:rsidP="00FF7EBB">
            <w:pPr>
              <w:jc w:val="both"/>
              <w:rPr>
                <w:rFonts w:asciiTheme="minorHAnsi" w:hAnsiTheme="minorHAnsi" w:cstheme="minorHAnsi"/>
                <w:i/>
                <w:sz w:val="24"/>
                <w:szCs w:val="24"/>
              </w:rPr>
            </w:pPr>
          </w:p>
          <w:p w14:paraId="1225D23D" w14:textId="4FFF3138" w:rsidR="00D3203C" w:rsidRPr="00642B4E" w:rsidRDefault="00D3203C" w:rsidP="00FF7EBB">
            <w:pPr>
              <w:jc w:val="both"/>
              <w:rPr>
                <w:rFonts w:asciiTheme="minorHAnsi" w:hAnsiTheme="minorHAnsi" w:cstheme="minorHAnsi"/>
                <w:i/>
                <w:sz w:val="24"/>
                <w:szCs w:val="24"/>
              </w:rPr>
            </w:pPr>
          </w:p>
          <w:p w14:paraId="0C1020FE" w14:textId="61CE561C" w:rsidR="00D3203C" w:rsidRPr="00642B4E" w:rsidRDefault="00D3203C" w:rsidP="00FF7EBB">
            <w:pPr>
              <w:jc w:val="both"/>
              <w:rPr>
                <w:rFonts w:asciiTheme="minorHAnsi" w:hAnsiTheme="minorHAnsi" w:cstheme="minorHAnsi"/>
                <w:i/>
                <w:sz w:val="24"/>
                <w:szCs w:val="24"/>
              </w:rPr>
            </w:pPr>
          </w:p>
          <w:p w14:paraId="43CA65F6" w14:textId="46B65686" w:rsidR="00D3203C" w:rsidRPr="00642B4E" w:rsidRDefault="00D3203C" w:rsidP="00FF7EBB">
            <w:pPr>
              <w:jc w:val="both"/>
              <w:rPr>
                <w:rFonts w:asciiTheme="minorHAnsi" w:hAnsiTheme="minorHAnsi" w:cstheme="minorHAnsi"/>
                <w:i/>
                <w:sz w:val="24"/>
                <w:szCs w:val="24"/>
              </w:rPr>
            </w:pPr>
          </w:p>
          <w:p w14:paraId="5C222972" w14:textId="259CE14B" w:rsidR="00D3203C" w:rsidRPr="00642B4E" w:rsidRDefault="00D3203C" w:rsidP="00FF7EBB">
            <w:pPr>
              <w:jc w:val="both"/>
              <w:rPr>
                <w:rFonts w:asciiTheme="minorHAnsi" w:hAnsiTheme="minorHAnsi" w:cstheme="minorHAnsi"/>
                <w:i/>
                <w:sz w:val="24"/>
                <w:szCs w:val="24"/>
              </w:rPr>
            </w:pPr>
            <w:bookmarkStart w:id="0" w:name="_GoBack"/>
            <w:bookmarkEnd w:id="0"/>
          </w:p>
          <w:p w14:paraId="0E7BBCC9" w14:textId="77777777" w:rsidR="00D3203C" w:rsidRPr="00642B4E" w:rsidRDefault="00D3203C" w:rsidP="00FF7EBB">
            <w:pPr>
              <w:jc w:val="both"/>
              <w:rPr>
                <w:rFonts w:asciiTheme="minorHAnsi" w:hAnsiTheme="minorHAnsi" w:cstheme="minorHAnsi"/>
                <w:i/>
                <w:sz w:val="24"/>
                <w:szCs w:val="24"/>
              </w:rPr>
            </w:pPr>
          </w:p>
          <w:p w14:paraId="47F21B6A" w14:textId="007FFCCE" w:rsidR="007A628F" w:rsidRPr="00642B4E" w:rsidRDefault="007A628F" w:rsidP="00FF7EBB">
            <w:pPr>
              <w:jc w:val="both"/>
              <w:rPr>
                <w:rFonts w:asciiTheme="minorHAnsi" w:hAnsiTheme="minorHAnsi" w:cstheme="minorHAnsi"/>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6E048B5" w:rsidR="00A5656A" w:rsidRDefault="00A5656A">
    <w:pPr>
      <w:pStyle w:val="Footer"/>
      <w:jc w:val="right"/>
    </w:pPr>
    <w:r>
      <w:fldChar w:fldCharType="begin"/>
    </w:r>
    <w:r>
      <w:instrText xml:space="preserve"> PAGE   \* MERGEFORMAT </w:instrText>
    </w:r>
    <w:r>
      <w:fldChar w:fldCharType="separate"/>
    </w:r>
    <w:r w:rsidR="000578EF">
      <w:rPr>
        <w:noProof/>
      </w:rPr>
      <w:t>12</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578EF"/>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2B4E"/>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DBB"/>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946"/>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3C1F386D-8300-4273-9A5F-BDBA75826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4213</Words>
  <Characters>21860</Characters>
  <Application>Microsoft Office Word</Application>
  <DocSecurity>0</DocSecurity>
  <Lines>182</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Jelly</cp:lastModifiedBy>
  <cp:revision>3</cp:revision>
  <cp:lastPrinted>2020-02-11T19:20:00Z</cp:lastPrinted>
  <dcterms:created xsi:type="dcterms:W3CDTF">2024-10-07T10:35:00Z</dcterms:created>
  <dcterms:modified xsi:type="dcterms:W3CDTF">2024-10-07T13:32:00Z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