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FCB6C" w14:textId="25ABECEF" w:rsidR="00905AA0" w:rsidRDefault="00905AA0" w:rsidP="00905AA0">
      <w:pPr>
        <w:spacing w:line="360" w:lineRule="auto"/>
        <w:rPr>
          <w:rFonts w:ascii="Arial" w:hAnsi="Arial" w:cs="Arial"/>
          <w:sz w:val="24"/>
          <w:szCs w:val="24"/>
        </w:rPr>
      </w:pPr>
      <w:r w:rsidRPr="000D342A">
        <w:rPr>
          <w:rFonts w:ascii="Arial" w:hAnsi="Arial" w:cs="Arial"/>
          <w:noProof/>
        </w:rPr>
        <w:drawing>
          <wp:inline distT="0" distB="0" distL="0" distR="0" wp14:anchorId="1C9B871B" wp14:editId="159ADEAB">
            <wp:extent cx="1914792" cy="714475"/>
            <wp:effectExtent l="0" t="0" r="0" b="9525"/>
            <wp:docPr id="133066918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69187" name="Picture 1" descr="A black text on a white background&#10;&#10;AI-generated content may be incorrect."/>
                    <pic:cNvPicPr/>
                  </pic:nvPicPr>
                  <pic:blipFill>
                    <a:blip r:embed="rId8"/>
                    <a:stretch>
                      <a:fillRect/>
                    </a:stretch>
                  </pic:blipFill>
                  <pic:spPr>
                    <a:xfrm>
                      <a:off x="0" y="0"/>
                      <a:ext cx="1914792" cy="714475"/>
                    </a:xfrm>
                    <a:prstGeom prst="rect">
                      <a:avLst/>
                    </a:prstGeom>
                  </pic:spPr>
                </pic:pic>
              </a:graphicData>
            </a:graphic>
          </wp:inline>
        </w:drawing>
      </w:r>
      <w:r w:rsidRPr="0045647D">
        <w:rPr>
          <w:rFonts w:ascii="Arial" w:hAnsi="Arial" w:cs="Arial"/>
          <w:sz w:val="24"/>
          <w:szCs w:val="24"/>
        </w:rPr>
        <w:br/>
      </w:r>
    </w:p>
    <w:p w14:paraId="2B8B27F2" w14:textId="77777777" w:rsidR="00905AA0" w:rsidRDefault="00905AA0" w:rsidP="00905AA0">
      <w:pPr>
        <w:spacing w:line="360" w:lineRule="auto"/>
        <w:rPr>
          <w:rFonts w:ascii="Arial" w:hAnsi="Arial" w:cs="Arial"/>
          <w:sz w:val="24"/>
          <w:szCs w:val="24"/>
        </w:rPr>
      </w:pPr>
    </w:p>
    <w:p w14:paraId="4B53462C" w14:textId="77777777" w:rsidR="00905AA0" w:rsidRDefault="00905AA0" w:rsidP="00905AA0">
      <w:pPr>
        <w:spacing w:line="360" w:lineRule="auto"/>
        <w:rPr>
          <w:rFonts w:ascii="Arial" w:hAnsi="Arial" w:cs="Arial"/>
          <w:sz w:val="24"/>
          <w:szCs w:val="24"/>
        </w:rPr>
      </w:pPr>
    </w:p>
    <w:p w14:paraId="0FF042F7" w14:textId="77777777" w:rsidR="00905AA0" w:rsidRPr="00905AA0" w:rsidRDefault="00905AA0" w:rsidP="00905AA0">
      <w:pPr>
        <w:spacing w:line="360" w:lineRule="auto"/>
        <w:rPr>
          <w:rFonts w:ascii="Arial" w:hAnsi="Arial" w:cs="Arial"/>
          <w:sz w:val="24"/>
          <w:szCs w:val="24"/>
        </w:rPr>
      </w:pPr>
    </w:p>
    <w:p w14:paraId="0360BC63" w14:textId="0F45B2A2" w:rsidR="00905AA0" w:rsidRDefault="00905AA0" w:rsidP="00905AA0">
      <w:pPr>
        <w:jc w:val="center"/>
        <w:rPr>
          <w:rFonts w:ascii="Arial" w:hAnsi="Arial" w:cs="Arial"/>
          <w:b/>
          <w:bCs/>
          <w:sz w:val="120"/>
          <w:szCs w:val="120"/>
        </w:rPr>
      </w:pPr>
      <w:r w:rsidRPr="00905AA0">
        <w:rPr>
          <w:rFonts w:ascii="Arial" w:hAnsi="Arial" w:cs="Arial"/>
          <w:b/>
          <w:bCs/>
          <w:sz w:val="120"/>
          <w:szCs w:val="120"/>
        </w:rPr>
        <w:t xml:space="preserve">Principles of Human Resource </w:t>
      </w:r>
    </w:p>
    <w:p w14:paraId="38AFA95B" w14:textId="77777777" w:rsidR="00905AA0" w:rsidRDefault="00905AA0" w:rsidP="00905AA0">
      <w:pPr>
        <w:jc w:val="center"/>
        <w:rPr>
          <w:rFonts w:ascii="Arial" w:hAnsi="Arial" w:cs="Arial"/>
          <w:b/>
          <w:bCs/>
        </w:rPr>
      </w:pPr>
    </w:p>
    <w:p w14:paraId="42C76DCF" w14:textId="77777777" w:rsidR="00905AA0" w:rsidRDefault="00905AA0" w:rsidP="00905AA0">
      <w:pPr>
        <w:rPr>
          <w:rFonts w:ascii="Arial" w:hAnsi="Arial" w:cs="Arial"/>
          <w:b/>
          <w:bCs/>
        </w:rPr>
      </w:pPr>
    </w:p>
    <w:p w14:paraId="4987C218" w14:textId="77777777" w:rsidR="00905AA0" w:rsidRDefault="00905AA0" w:rsidP="00905AA0">
      <w:pPr>
        <w:rPr>
          <w:rFonts w:ascii="Arial" w:hAnsi="Arial" w:cs="Arial"/>
          <w:b/>
          <w:bCs/>
        </w:rPr>
      </w:pPr>
    </w:p>
    <w:p w14:paraId="15EA0F57" w14:textId="77777777" w:rsidR="00905AA0" w:rsidRDefault="00905AA0" w:rsidP="00905AA0">
      <w:pPr>
        <w:rPr>
          <w:rFonts w:ascii="Arial" w:hAnsi="Arial" w:cs="Arial"/>
          <w:b/>
          <w:bCs/>
        </w:rPr>
      </w:pPr>
    </w:p>
    <w:p w14:paraId="77CC6381" w14:textId="77777777" w:rsidR="00905AA0" w:rsidRDefault="00905AA0" w:rsidP="00905AA0">
      <w:pPr>
        <w:rPr>
          <w:rFonts w:ascii="Arial" w:hAnsi="Arial" w:cs="Arial"/>
          <w:b/>
          <w:bCs/>
        </w:rPr>
      </w:pPr>
    </w:p>
    <w:p w14:paraId="2BB5FCEB" w14:textId="77777777" w:rsidR="00905AA0" w:rsidRDefault="00905AA0" w:rsidP="00905AA0">
      <w:pPr>
        <w:rPr>
          <w:rFonts w:ascii="Arial" w:hAnsi="Arial" w:cs="Arial"/>
          <w:b/>
          <w:bCs/>
        </w:rPr>
      </w:pPr>
    </w:p>
    <w:p w14:paraId="60E65D71" w14:textId="77777777" w:rsidR="00905AA0" w:rsidRDefault="00905AA0" w:rsidP="00905AA0">
      <w:pPr>
        <w:rPr>
          <w:rFonts w:ascii="Arial" w:hAnsi="Arial" w:cs="Arial"/>
          <w:b/>
          <w:bCs/>
        </w:rPr>
      </w:pPr>
    </w:p>
    <w:p w14:paraId="77124CBD" w14:textId="7C4898BF" w:rsidR="00905AA0" w:rsidRDefault="00905AA0" w:rsidP="00905AA0">
      <w:pPr>
        <w:rPr>
          <w:rFonts w:ascii="Arial" w:hAnsi="Arial" w:cs="Arial"/>
          <w:b/>
          <w:bCs/>
        </w:rPr>
      </w:pPr>
      <w:r w:rsidRPr="00784B78">
        <w:rPr>
          <w:rFonts w:ascii="Arial" w:hAnsi="Arial" w:cs="Arial"/>
          <w:b/>
          <w:bCs/>
        </w:rPr>
        <w:t xml:space="preserve">Module Code: </w:t>
      </w:r>
      <w:r w:rsidRPr="00905AA0">
        <w:rPr>
          <w:rFonts w:ascii="Arial" w:hAnsi="Arial" w:cs="Arial"/>
          <w:b/>
          <w:bCs/>
        </w:rPr>
        <w:t>LCBB5012</w:t>
      </w:r>
    </w:p>
    <w:p w14:paraId="1416D8B0" w14:textId="7816BDF5" w:rsidR="00905AA0" w:rsidRDefault="00905AA0" w:rsidP="00905AA0">
      <w:pPr>
        <w:rPr>
          <w:rFonts w:ascii="Arial" w:hAnsi="Arial" w:cs="Arial"/>
          <w:b/>
          <w:bCs/>
        </w:rPr>
      </w:pPr>
      <w:r w:rsidRPr="00784B78">
        <w:rPr>
          <w:rFonts w:ascii="Arial" w:hAnsi="Arial" w:cs="Arial"/>
          <w:b/>
          <w:bCs/>
        </w:rPr>
        <w:t xml:space="preserve">Module: </w:t>
      </w:r>
      <w:r w:rsidRPr="00905AA0">
        <w:rPr>
          <w:rFonts w:ascii="Arial" w:hAnsi="Arial" w:cs="Arial"/>
          <w:b/>
          <w:bCs/>
        </w:rPr>
        <w:t>Principles of Human Resource Management</w:t>
      </w:r>
    </w:p>
    <w:p w14:paraId="4B838C50" w14:textId="320E0000" w:rsidR="00905AA0" w:rsidRDefault="00905AA0" w:rsidP="00905AA0">
      <w:pPr>
        <w:rPr>
          <w:rFonts w:ascii="Arial" w:hAnsi="Arial" w:cs="Arial"/>
          <w:b/>
          <w:bCs/>
        </w:rPr>
      </w:pPr>
      <w:r w:rsidRPr="00784B78">
        <w:rPr>
          <w:rFonts w:ascii="Arial" w:hAnsi="Arial" w:cs="Arial"/>
          <w:b/>
          <w:bCs/>
        </w:rPr>
        <w:t xml:space="preserve">Module Lecturer: </w:t>
      </w:r>
      <w:r w:rsidRPr="00905AA0">
        <w:rPr>
          <w:rFonts w:ascii="Arial" w:hAnsi="Arial" w:cs="Arial"/>
          <w:b/>
          <w:bCs/>
        </w:rPr>
        <w:t>Dr Ramases Manalang</w:t>
      </w:r>
    </w:p>
    <w:p w14:paraId="10AAB1A2" w14:textId="77777777" w:rsidR="00905AA0" w:rsidRDefault="00905AA0" w:rsidP="00905AA0">
      <w:pPr>
        <w:rPr>
          <w:rFonts w:ascii="Arial" w:hAnsi="Arial" w:cs="Arial"/>
          <w:b/>
          <w:bCs/>
        </w:rPr>
      </w:pPr>
      <w:r w:rsidRPr="00784B78">
        <w:rPr>
          <w:rFonts w:ascii="Arial" w:hAnsi="Arial" w:cs="Arial"/>
          <w:b/>
          <w:bCs/>
        </w:rPr>
        <w:t>Student Name</w:t>
      </w:r>
      <w:r>
        <w:rPr>
          <w:rFonts w:ascii="Arial" w:hAnsi="Arial" w:cs="Arial"/>
          <w:b/>
          <w:bCs/>
        </w:rPr>
        <w:t>:</w:t>
      </w:r>
      <w:r w:rsidRPr="001D4A9C">
        <w:rPr>
          <w:rFonts w:ascii="Arial" w:hAnsi="Arial" w:cs="Arial"/>
          <w:b/>
          <w:bCs/>
        </w:rPr>
        <w:t xml:space="preserve"> </w:t>
      </w:r>
      <w:r w:rsidRPr="00784B78">
        <w:rPr>
          <w:rFonts w:ascii="Arial" w:hAnsi="Arial" w:cs="Arial"/>
          <w:b/>
          <w:bCs/>
        </w:rPr>
        <w:t>Mihai-George Santa</w:t>
      </w:r>
    </w:p>
    <w:p w14:paraId="22C6103E" w14:textId="2369DCB0" w:rsidR="00905AA0" w:rsidRPr="00905AA0" w:rsidRDefault="00905AA0">
      <w:pPr>
        <w:rPr>
          <w:rFonts w:ascii="Arial" w:hAnsi="Arial" w:cs="Arial"/>
          <w:b/>
          <w:bCs/>
        </w:rPr>
      </w:pPr>
      <w:r w:rsidRPr="00784B78">
        <w:rPr>
          <w:rFonts w:ascii="Arial" w:hAnsi="Arial" w:cs="Arial"/>
          <w:b/>
          <w:bCs/>
        </w:rPr>
        <w:t>Student ID</w:t>
      </w:r>
      <w:r>
        <w:rPr>
          <w:rFonts w:ascii="Arial" w:hAnsi="Arial" w:cs="Arial"/>
          <w:b/>
          <w:bCs/>
        </w:rPr>
        <w:t xml:space="preserve">: </w:t>
      </w:r>
      <w:r w:rsidRPr="00784B78">
        <w:rPr>
          <w:rFonts w:ascii="Arial" w:hAnsi="Arial" w:cs="Arial"/>
          <w:b/>
          <w:bCs/>
        </w:rPr>
        <w:t>2030796</w:t>
      </w:r>
    </w:p>
    <w:sdt>
      <w:sdtPr>
        <w:rPr>
          <w:rFonts w:asciiTheme="minorHAnsi" w:eastAsiaTheme="minorHAnsi" w:hAnsiTheme="minorHAnsi" w:cstheme="minorBidi"/>
          <w:color w:val="auto"/>
          <w:kern w:val="2"/>
          <w:sz w:val="22"/>
          <w:szCs w:val="22"/>
          <w:lang w:val="en-GB"/>
          <w14:ligatures w14:val="standardContextual"/>
        </w:rPr>
        <w:id w:val="-311328830"/>
        <w:docPartObj>
          <w:docPartGallery w:val="Table of Contents"/>
          <w:docPartUnique/>
        </w:docPartObj>
      </w:sdtPr>
      <w:sdtEndPr>
        <w:rPr>
          <w:b/>
          <w:bCs/>
          <w:noProof/>
        </w:rPr>
      </w:sdtEndPr>
      <w:sdtContent>
        <w:p w14:paraId="6BA8EB3D" w14:textId="731E914E" w:rsidR="00905AA0" w:rsidRDefault="00905AA0">
          <w:pPr>
            <w:pStyle w:val="TOCHeading"/>
          </w:pPr>
          <w:r>
            <w:t>Contents</w:t>
          </w:r>
        </w:p>
        <w:p w14:paraId="55224590" w14:textId="3CDD7614" w:rsidR="00A6629D" w:rsidRDefault="00905A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383834" w:history="1">
            <w:r w:rsidR="00A6629D" w:rsidRPr="00353027">
              <w:rPr>
                <w:rStyle w:val="Hyperlink"/>
                <w:rFonts w:ascii="Arial" w:hAnsi="Arial" w:cs="Arial"/>
                <w:b/>
                <w:bCs/>
                <w:noProof/>
              </w:rPr>
              <w:t>1. Introduction</w:t>
            </w:r>
            <w:r w:rsidR="00A6629D">
              <w:rPr>
                <w:noProof/>
                <w:webHidden/>
              </w:rPr>
              <w:tab/>
            </w:r>
            <w:r w:rsidR="00A6629D">
              <w:rPr>
                <w:noProof/>
                <w:webHidden/>
              </w:rPr>
              <w:fldChar w:fldCharType="begin"/>
            </w:r>
            <w:r w:rsidR="00A6629D">
              <w:rPr>
                <w:noProof/>
                <w:webHidden/>
              </w:rPr>
              <w:instrText xml:space="preserve"> PAGEREF _Toc228383834 \h </w:instrText>
            </w:r>
            <w:r w:rsidR="00A6629D">
              <w:rPr>
                <w:noProof/>
                <w:webHidden/>
              </w:rPr>
            </w:r>
            <w:r w:rsidR="00A6629D">
              <w:rPr>
                <w:noProof/>
                <w:webHidden/>
              </w:rPr>
              <w:fldChar w:fldCharType="separate"/>
            </w:r>
            <w:r w:rsidR="00A6629D">
              <w:rPr>
                <w:noProof/>
                <w:webHidden/>
              </w:rPr>
              <w:t>3</w:t>
            </w:r>
            <w:r w:rsidR="00A6629D">
              <w:rPr>
                <w:noProof/>
                <w:webHidden/>
              </w:rPr>
              <w:fldChar w:fldCharType="end"/>
            </w:r>
          </w:hyperlink>
        </w:p>
        <w:p w14:paraId="1ED3945C" w14:textId="1E1F5773" w:rsidR="00A6629D" w:rsidRDefault="00A6629D">
          <w:pPr>
            <w:pStyle w:val="TOC1"/>
            <w:tabs>
              <w:tab w:val="right" w:leader="dot" w:pos="9016"/>
            </w:tabs>
            <w:rPr>
              <w:rFonts w:eastAsiaTheme="minorEastAsia"/>
              <w:noProof/>
              <w:sz w:val="24"/>
              <w:szCs w:val="24"/>
              <w:lang w:eastAsia="en-GB"/>
            </w:rPr>
          </w:pPr>
          <w:hyperlink w:anchor="_Toc228383835" w:history="1">
            <w:r w:rsidRPr="00353027">
              <w:rPr>
                <w:rStyle w:val="Hyperlink"/>
                <w:rFonts w:ascii="Arial" w:hAnsi="Arial" w:cs="Arial"/>
                <w:b/>
                <w:bCs/>
                <w:noProof/>
              </w:rPr>
              <w:t>2. Internal and External Environment</w:t>
            </w:r>
            <w:r>
              <w:rPr>
                <w:noProof/>
                <w:webHidden/>
              </w:rPr>
              <w:tab/>
            </w:r>
            <w:r>
              <w:rPr>
                <w:noProof/>
                <w:webHidden/>
              </w:rPr>
              <w:fldChar w:fldCharType="begin"/>
            </w:r>
            <w:r>
              <w:rPr>
                <w:noProof/>
                <w:webHidden/>
              </w:rPr>
              <w:instrText xml:space="preserve"> PAGEREF _Toc228383835 \h </w:instrText>
            </w:r>
            <w:r>
              <w:rPr>
                <w:noProof/>
                <w:webHidden/>
              </w:rPr>
            </w:r>
            <w:r>
              <w:rPr>
                <w:noProof/>
                <w:webHidden/>
              </w:rPr>
              <w:fldChar w:fldCharType="separate"/>
            </w:r>
            <w:r>
              <w:rPr>
                <w:noProof/>
                <w:webHidden/>
              </w:rPr>
              <w:t>4</w:t>
            </w:r>
            <w:r>
              <w:rPr>
                <w:noProof/>
                <w:webHidden/>
              </w:rPr>
              <w:fldChar w:fldCharType="end"/>
            </w:r>
          </w:hyperlink>
        </w:p>
        <w:p w14:paraId="35EF483E" w14:textId="1A0468C1" w:rsidR="00A6629D" w:rsidRDefault="00A6629D">
          <w:pPr>
            <w:pStyle w:val="TOC2"/>
            <w:tabs>
              <w:tab w:val="right" w:leader="dot" w:pos="9016"/>
            </w:tabs>
            <w:rPr>
              <w:rFonts w:eastAsiaTheme="minorEastAsia"/>
              <w:noProof/>
              <w:sz w:val="24"/>
              <w:szCs w:val="24"/>
              <w:lang w:eastAsia="en-GB"/>
            </w:rPr>
          </w:pPr>
          <w:hyperlink w:anchor="_Toc228383836" w:history="1">
            <w:r w:rsidRPr="00353027">
              <w:rPr>
                <w:rStyle w:val="Hyperlink"/>
                <w:rFonts w:ascii="Arial" w:hAnsi="Arial" w:cs="Arial"/>
                <w:b/>
                <w:bCs/>
                <w:noProof/>
              </w:rPr>
              <w:t>2.1 Business Environment Model: Porter’s Five Forces</w:t>
            </w:r>
            <w:r>
              <w:rPr>
                <w:noProof/>
                <w:webHidden/>
              </w:rPr>
              <w:tab/>
            </w:r>
            <w:r>
              <w:rPr>
                <w:noProof/>
                <w:webHidden/>
              </w:rPr>
              <w:fldChar w:fldCharType="begin"/>
            </w:r>
            <w:r>
              <w:rPr>
                <w:noProof/>
                <w:webHidden/>
              </w:rPr>
              <w:instrText xml:space="preserve"> PAGEREF _Toc228383836 \h </w:instrText>
            </w:r>
            <w:r>
              <w:rPr>
                <w:noProof/>
                <w:webHidden/>
              </w:rPr>
            </w:r>
            <w:r>
              <w:rPr>
                <w:noProof/>
                <w:webHidden/>
              </w:rPr>
              <w:fldChar w:fldCharType="separate"/>
            </w:r>
            <w:r>
              <w:rPr>
                <w:noProof/>
                <w:webHidden/>
              </w:rPr>
              <w:t>4</w:t>
            </w:r>
            <w:r>
              <w:rPr>
                <w:noProof/>
                <w:webHidden/>
              </w:rPr>
              <w:fldChar w:fldCharType="end"/>
            </w:r>
          </w:hyperlink>
        </w:p>
        <w:p w14:paraId="37B33C8E" w14:textId="6C846440" w:rsidR="00A6629D" w:rsidRDefault="00A6629D">
          <w:pPr>
            <w:pStyle w:val="TOC2"/>
            <w:tabs>
              <w:tab w:val="right" w:leader="dot" w:pos="9016"/>
            </w:tabs>
            <w:rPr>
              <w:rFonts w:eastAsiaTheme="minorEastAsia"/>
              <w:noProof/>
              <w:sz w:val="24"/>
              <w:szCs w:val="24"/>
              <w:lang w:eastAsia="en-GB"/>
            </w:rPr>
          </w:pPr>
          <w:hyperlink w:anchor="_Toc228383837" w:history="1">
            <w:r w:rsidRPr="00353027">
              <w:rPr>
                <w:rStyle w:val="Hyperlink"/>
                <w:rFonts w:ascii="Arial" w:hAnsi="Arial" w:cs="Arial"/>
                <w:b/>
                <w:bCs/>
                <w:noProof/>
              </w:rPr>
              <w:t>2.2 Usefulness and Limitations</w:t>
            </w:r>
            <w:r>
              <w:rPr>
                <w:noProof/>
                <w:webHidden/>
              </w:rPr>
              <w:tab/>
            </w:r>
            <w:r>
              <w:rPr>
                <w:noProof/>
                <w:webHidden/>
              </w:rPr>
              <w:fldChar w:fldCharType="begin"/>
            </w:r>
            <w:r>
              <w:rPr>
                <w:noProof/>
                <w:webHidden/>
              </w:rPr>
              <w:instrText xml:space="preserve"> PAGEREF _Toc228383837 \h </w:instrText>
            </w:r>
            <w:r>
              <w:rPr>
                <w:noProof/>
                <w:webHidden/>
              </w:rPr>
            </w:r>
            <w:r>
              <w:rPr>
                <w:noProof/>
                <w:webHidden/>
              </w:rPr>
              <w:fldChar w:fldCharType="separate"/>
            </w:r>
            <w:r>
              <w:rPr>
                <w:noProof/>
                <w:webHidden/>
              </w:rPr>
              <w:t>4</w:t>
            </w:r>
            <w:r>
              <w:rPr>
                <w:noProof/>
                <w:webHidden/>
              </w:rPr>
              <w:fldChar w:fldCharType="end"/>
            </w:r>
          </w:hyperlink>
        </w:p>
        <w:p w14:paraId="7226D8BE" w14:textId="5810EF14" w:rsidR="00A6629D" w:rsidRDefault="00A6629D">
          <w:pPr>
            <w:pStyle w:val="TOC2"/>
            <w:tabs>
              <w:tab w:val="right" w:leader="dot" w:pos="9016"/>
            </w:tabs>
            <w:rPr>
              <w:rFonts w:eastAsiaTheme="minorEastAsia"/>
              <w:noProof/>
              <w:sz w:val="24"/>
              <w:szCs w:val="24"/>
              <w:lang w:eastAsia="en-GB"/>
            </w:rPr>
          </w:pPr>
          <w:hyperlink w:anchor="_Toc228383838" w:history="1">
            <w:r w:rsidRPr="00353027">
              <w:rPr>
                <w:rStyle w:val="Hyperlink"/>
                <w:rFonts w:ascii="Arial" w:hAnsi="Arial" w:cs="Arial"/>
                <w:b/>
                <w:bCs/>
                <w:noProof/>
              </w:rPr>
              <w:t>2.3 Link to HR Functions</w:t>
            </w:r>
            <w:r>
              <w:rPr>
                <w:noProof/>
                <w:webHidden/>
              </w:rPr>
              <w:tab/>
            </w:r>
            <w:r>
              <w:rPr>
                <w:noProof/>
                <w:webHidden/>
              </w:rPr>
              <w:fldChar w:fldCharType="begin"/>
            </w:r>
            <w:r>
              <w:rPr>
                <w:noProof/>
                <w:webHidden/>
              </w:rPr>
              <w:instrText xml:space="preserve"> PAGEREF _Toc228383838 \h </w:instrText>
            </w:r>
            <w:r>
              <w:rPr>
                <w:noProof/>
                <w:webHidden/>
              </w:rPr>
            </w:r>
            <w:r>
              <w:rPr>
                <w:noProof/>
                <w:webHidden/>
              </w:rPr>
              <w:fldChar w:fldCharType="separate"/>
            </w:r>
            <w:r>
              <w:rPr>
                <w:noProof/>
                <w:webHidden/>
              </w:rPr>
              <w:t>5</w:t>
            </w:r>
            <w:r>
              <w:rPr>
                <w:noProof/>
                <w:webHidden/>
              </w:rPr>
              <w:fldChar w:fldCharType="end"/>
            </w:r>
          </w:hyperlink>
        </w:p>
        <w:p w14:paraId="5755E3F6" w14:textId="4428928E" w:rsidR="00A6629D" w:rsidRDefault="00A6629D">
          <w:pPr>
            <w:pStyle w:val="TOC1"/>
            <w:tabs>
              <w:tab w:val="right" w:leader="dot" w:pos="9016"/>
            </w:tabs>
            <w:rPr>
              <w:rFonts w:eastAsiaTheme="minorEastAsia"/>
              <w:noProof/>
              <w:sz w:val="24"/>
              <w:szCs w:val="24"/>
              <w:lang w:eastAsia="en-GB"/>
            </w:rPr>
          </w:pPr>
          <w:hyperlink w:anchor="_Toc228383839" w:history="1">
            <w:r w:rsidRPr="00353027">
              <w:rPr>
                <w:rStyle w:val="Hyperlink"/>
                <w:rFonts w:ascii="Arial" w:hAnsi="Arial" w:cs="Arial"/>
                <w:b/>
                <w:bCs/>
                <w:noProof/>
              </w:rPr>
              <w:t>3. Organisation Application</w:t>
            </w:r>
            <w:r>
              <w:rPr>
                <w:noProof/>
                <w:webHidden/>
              </w:rPr>
              <w:tab/>
            </w:r>
            <w:r>
              <w:rPr>
                <w:noProof/>
                <w:webHidden/>
              </w:rPr>
              <w:fldChar w:fldCharType="begin"/>
            </w:r>
            <w:r>
              <w:rPr>
                <w:noProof/>
                <w:webHidden/>
              </w:rPr>
              <w:instrText xml:space="preserve"> PAGEREF _Toc228383839 \h </w:instrText>
            </w:r>
            <w:r>
              <w:rPr>
                <w:noProof/>
                <w:webHidden/>
              </w:rPr>
            </w:r>
            <w:r>
              <w:rPr>
                <w:noProof/>
                <w:webHidden/>
              </w:rPr>
              <w:fldChar w:fldCharType="separate"/>
            </w:r>
            <w:r>
              <w:rPr>
                <w:noProof/>
                <w:webHidden/>
              </w:rPr>
              <w:t>7</w:t>
            </w:r>
            <w:r>
              <w:rPr>
                <w:noProof/>
                <w:webHidden/>
              </w:rPr>
              <w:fldChar w:fldCharType="end"/>
            </w:r>
          </w:hyperlink>
        </w:p>
        <w:p w14:paraId="151746C9" w14:textId="6B10FD28" w:rsidR="00A6629D" w:rsidRDefault="00A6629D">
          <w:pPr>
            <w:pStyle w:val="TOC2"/>
            <w:tabs>
              <w:tab w:val="right" w:leader="dot" w:pos="9016"/>
            </w:tabs>
            <w:rPr>
              <w:rFonts w:eastAsiaTheme="minorEastAsia"/>
              <w:noProof/>
              <w:sz w:val="24"/>
              <w:szCs w:val="24"/>
              <w:lang w:eastAsia="en-GB"/>
            </w:rPr>
          </w:pPr>
          <w:hyperlink w:anchor="_Toc228383840" w:history="1">
            <w:r w:rsidRPr="00353027">
              <w:rPr>
                <w:rStyle w:val="Hyperlink"/>
                <w:rFonts w:ascii="Arial" w:hAnsi="Arial" w:cs="Arial"/>
                <w:b/>
                <w:bCs/>
                <w:noProof/>
              </w:rPr>
              <w:t>3.1 Organisation Introduction: DP World</w:t>
            </w:r>
            <w:r>
              <w:rPr>
                <w:noProof/>
                <w:webHidden/>
              </w:rPr>
              <w:tab/>
            </w:r>
            <w:r>
              <w:rPr>
                <w:noProof/>
                <w:webHidden/>
              </w:rPr>
              <w:fldChar w:fldCharType="begin"/>
            </w:r>
            <w:r>
              <w:rPr>
                <w:noProof/>
                <w:webHidden/>
              </w:rPr>
              <w:instrText xml:space="preserve"> PAGEREF _Toc228383840 \h </w:instrText>
            </w:r>
            <w:r>
              <w:rPr>
                <w:noProof/>
                <w:webHidden/>
              </w:rPr>
            </w:r>
            <w:r>
              <w:rPr>
                <w:noProof/>
                <w:webHidden/>
              </w:rPr>
              <w:fldChar w:fldCharType="separate"/>
            </w:r>
            <w:r>
              <w:rPr>
                <w:noProof/>
                <w:webHidden/>
              </w:rPr>
              <w:t>7</w:t>
            </w:r>
            <w:r>
              <w:rPr>
                <w:noProof/>
                <w:webHidden/>
              </w:rPr>
              <w:fldChar w:fldCharType="end"/>
            </w:r>
          </w:hyperlink>
        </w:p>
        <w:p w14:paraId="39034E82" w14:textId="20E5C8D7" w:rsidR="00A6629D" w:rsidRDefault="00A6629D">
          <w:pPr>
            <w:pStyle w:val="TOC2"/>
            <w:tabs>
              <w:tab w:val="right" w:leader="dot" w:pos="9016"/>
            </w:tabs>
            <w:rPr>
              <w:rFonts w:eastAsiaTheme="minorEastAsia"/>
              <w:noProof/>
              <w:sz w:val="24"/>
              <w:szCs w:val="24"/>
              <w:lang w:eastAsia="en-GB"/>
            </w:rPr>
          </w:pPr>
          <w:hyperlink w:anchor="_Toc228383841" w:history="1">
            <w:r w:rsidRPr="00353027">
              <w:rPr>
                <w:rStyle w:val="Hyperlink"/>
                <w:rFonts w:ascii="Arial" w:hAnsi="Arial" w:cs="Arial"/>
                <w:b/>
                <w:bCs/>
                <w:noProof/>
              </w:rPr>
              <w:t>3.2 HR Practices</w:t>
            </w:r>
            <w:r>
              <w:rPr>
                <w:noProof/>
                <w:webHidden/>
              </w:rPr>
              <w:tab/>
            </w:r>
            <w:r>
              <w:rPr>
                <w:noProof/>
                <w:webHidden/>
              </w:rPr>
              <w:fldChar w:fldCharType="begin"/>
            </w:r>
            <w:r>
              <w:rPr>
                <w:noProof/>
                <w:webHidden/>
              </w:rPr>
              <w:instrText xml:space="preserve"> PAGEREF _Toc228383841 \h </w:instrText>
            </w:r>
            <w:r>
              <w:rPr>
                <w:noProof/>
                <w:webHidden/>
              </w:rPr>
            </w:r>
            <w:r>
              <w:rPr>
                <w:noProof/>
                <w:webHidden/>
              </w:rPr>
              <w:fldChar w:fldCharType="separate"/>
            </w:r>
            <w:r>
              <w:rPr>
                <w:noProof/>
                <w:webHidden/>
              </w:rPr>
              <w:t>7</w:t>
            </w:r>
            <w:r>
              <w:rPr>
                <w:noProof/>
                <w:webHidden/>
              </w:rPr>
              <w:fldChar w:fldCharType="end"/>
            </w:r>
          </w:hyperlink>
        </w:p>
        <w:p w14:paraId="4EE7A1A0" w14:textId="5B78F279" w:rsidR="00A6629D" w:rsidRDefault="00A6629D">
          <w:pPr>
            <w:pStyle w:val="TOC1"/>
            <w:tabs>
              <w:tab w:val="right" w:leader="dot" w:pos="9016"/>
            </w:tabs>
            <w:rPr>
              <w:rFonts w:eastAsiaTheme="minorEastAsia"/>
              <w:noProof/>
              <w:sz w:val="24"/>
              <w:szCs w:val="24"/>
              <w:lang w:eastAsia="en-GB"/>
            </w:rPr>
          </w:pPr>
          <w:hyperlink w:anchor="_Toc228383842" w:history="1">
            <w:r w:rsidRPr="00353027">
              <w:rPr>
                <w:rStyle w:val="Hyperlink"/>
                <w:rFonts w:ascii="Arial" w:hAnsi="Arial" w:cs="Arial"/>
                <w:b/>
                <w:bCs/>
                <w:noProof/>
              </w:rPr>
              <w:t>4. Application of Porter’s Five Forces Model</w:t>
            </w:r>
            <w:r>
              <w:rPr>
                <w:noProof/>
                <w:webHidden/>
              </w:rPr>
              <w:tab/>
            </w:r>
            <w:r>
              <w:rPr>
                <w:noProof/>
                <w:webHidden/>
              </w:rPr>
              <w:fldChar w:fldCharType="begin"/>
            </w:r>
            <w:r>
              <w:rPr>
                <w:noProof/>
                <w:webHidden/>
              </w:rPr>
              <w:instrText xml:space="preserve"> PAGEREF _Toc228383842 \h </w:instrText>
            </w:r>
            <w:r>
              <w:rPr>
                <w:noProof/>
                <w:webHidden/>
              </w:rPr>
            </w:r>
            <w:r>
              <w:rPr>
                <w:noProof/>
                <w:webHidden/>
              </w:rPr>
              <w:fldChar w:fldCharType="separate"/>
            </w:r>
            <w:r>
              <w:rPr>
                <w:noProof/>
                <w:webHidden/>
              </w:rPr>
              <w:t>9</w:t>
            </w:r>
            <w:r>
              <w:rPr>
                <w:noProof/>
                <w:webHidden/>
              </w:rPr>
              <w:fldChar w:fldCharType="end"/>
            </w:r>
          </w:hyperlink>
        </w:p>
        <w:p w14:paraId="27304D25" w14:textId="3C6AD0F5" w:rsidR="00A6629D" w:rsidRDefault="00A6629D">
          <w:pPr>
            <w:pStyle w:val="TOC2"/>
            <w:tabs>
              <w:tab w:val="right" w:leader="dot" w:pos="9016"/>
            </w:tabs>
            <w:rPr>
              <w:rFonts w:eastAsiaTheme="minorEastAsia"/>
              <w:noProof/>
              <w:sz w:val="24"/>
              <w:szCs w:val="24"/>
              <w:lang w:eastAsia="en-GB"/>
            </w:rPr>
          </w:pPr>
          <w:hyperlink w:anchor="_Toc228383843" w:history="1">
            <w:r w:rsidRPr="00353027">
              <w:rPr>
                <w:rStyle w:val="Hyperlink"/>
                <w:rFonts w:ascii="Arial" w:hAnsi="Arial" w:cs="Arial"/>
                <w:b/>
                <w:bCs/>
                <w:noProof/>
              </w:rPr>
              <w:t>4.1 Impact on Organisation</w:t>
            </w:r>
            <w:r>
              <w:rPr>
                <w:noProof/>
                <w:webHidden/>
              </w:rPr>
              <w:tab/>
            </w:r>
            <w:r>
              <w:rPr>
                <w:noProof/>
                <w:webHidden/>
              </w:rPr>
              <w:fldChar w:fldCharType="begin"/>
            </w:r>
            <w:r>
              <w:rPr>
                <w:noProof/>
                <w:webHidden/>
              </w:rPr>
              <w:instrText xml:space="preserve"> PAGEREF _Toc228383843 \h </w:instrText>
            </w:r>
            <w:r>
              <w:rPr>
                <w:noProof/>
                <w:webHidden/>
              </w:rPr>
            </w:r>
            <w:r>
              <w:rPr>
                <w:noProof/>
                <w:webHidden/>
              </w:rPr>
              <w:fldChar w:fldCharType="separate"/>
            </w:r>
            <w:r>
              <w:rPr>
                <w:noProof/>
                <w:webHidden/>
              </w:rPr>
              <w:t>9</w:t>
            </w:r>
            <w:r>
              <w:rPr>
                <w:noProof/>
                <w:webHidden/>
              </w:rPr>
              <w:fldChar w:fldCharType="end"/>
            </w:r>
          </w:hyperlink>
        </w:p>
        <w:p w14:paraId="030C4C01" w14:textId="5451E0C0" w:rsidR="00A6629D" w:rsidRDefault="00A6629D">
          <w:pPr>
            <w:pStyle w:val="TOC2"/>
            <w:tabs>
              <w:tab w:val="right" w:leader="dot" w:pos="9016"/>
            </w:tabs>
            <w:rPr>
              <w:rFonts w:eastAsiaTheme="minorEastAsia"/>
              <w:noProof/>
              <w:sz w:val="24"/>
              <w:szCs w:val="24"/>
              <w:lang w:eastAsia="en-GB"/>
            </w:rPr>
          </w:pPr>
          <w:hyperlink w:anchor="_Toc228383844" w:history="1">
            <w:r w:rsidRPr="00353027">
              <w:rPr>
                <w:rStyle w:val="Hyperlink"/>
                <w:rFonts w:ascii="Arial" w:hAnsi="Arial" w:cs="Arial"/>
                <w:b/>
                <w:bCs/>
                <w:noProof/>
              </w:rPr>
              <w:t>4.2 Country Differences</w:t>
            </w:r>
            <w:r>
              <w:rPr>
                <w:noProof/>
                <w:webHidden/>
              </w:rPr>
              <w:tab/>
            </w:r>
            <w:r>
              <w:rPr>
                <w:noProof/>
                <w:webHidden/>
              </w:rPr>
              <w:fldChar w:fldCharType="begin"/>
            </w:r>
            <w:r>
              <w:rPr>
                <w:noProof/>
                <w:webHidden/>
              </w:rPr>
              <w:instrText xml:space="preserve"> PAGEREF _Toc228383844 \h </w:instrText>
            </w:r>
            <w:r>
              <w:rPr>
                <w:noProof/>
                <w:webHidden/>
              </w:rPr>
            </w:r>
            <w:r>
              <w:rPr>
                <w:noProof/>
                <w:webHidden/>
              </w:rPr>
              <w:fldChar w:fldCharType="separate"/>
            </w:r>
            <w:r>
              <w:rPr>
                <w:noProof/>
                <w:webHidden/>
              </w:rPr>
              <w:t>9</w:t>
            </w:r>
            <w:r>
              <w:rPr>
                <w:noProof/>
                <w:webHidden/>
              </w:rPr>
              <w:fldChar w:fldCharType="end"/>
            </w:r>
          </w:hyperlink>
        </w:p>
        <w:p w14:paraId="09CC6163" w14:textId="6EB2E7F2" w:rsidR="00A6629D" w:rsidRDefault="00A6629D">
          <w:pPr>
            <w:pStyle w:val="TOC1"/>
            <w:tabs>
              <w:tab w:val="right" w:leader="dot" w:pos="9016"/>
            </w:tabs>
            <w:rPr>
              <w:rFonts w:eastAsiaTheme="minorEastAsia"/>
              <w:noProof/>
              <w:sz w:val="24"/>
              <w:szCs w:val="24"/>
              <w:lang w:eastAsia="en-GB"/>
            </w:rPr>
          </w:pPr>
          <w:hyperlink w:anchor="_Toc228383845" w:history="1">
            <w:r w:rsidRPr="00353027">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_Toc228383845 \h </w:instrText>
            </w:r>
            <w:r>
              <w:rPr>
                <w:noProof/>
                <w:webHidden/>
              </w:rPr>
            </w:r>
            <w:r>
              <w:rPr>
                <w:noProof/>
                <w:webHidden/>
              </w:rPr>
              <w:fldChar w:fldCharType="separate"/>
            </w:r>
            <w:r>
              <w:rPr>
                <w:noProof/>
                <w:webHidden/>
              </w:rPr>
              <w:t>11</w:t>
            </w:r>
            <w:r>
              <w:rPr>
                <w:noProof/>
                <w:webHidden/>
              </w:rPr>
              <w:fldChar w:fldCharType="end"/>
            </w:r>
          </w:hyperlink>
        </w:p>
        <w:p w14:paraId="00C0CE17" w14:textId="226516FE" w:rsidR="00A6629D" w:rsidRDefault="00A6629D">
          <w:pPr>
            <w:pStyle w:val="TOC1"/>
            <w:tabs>
              <w:tab w:val="right" w:leader="dot" w:pos="9016"/>
            </w:tabs>
            <w:rPr>
              <w:rFonts w:eastAsiaTheme="minorEastAsia"/>
              <w:noProof/>
              <w:sz w:val="24"/>
              <w:szCs w:val="24"/>
              <w:lang w:eastAsia="en-GB"/>
            </w:rPr>
          </w:pPr>
          <w:hyperlink w:anchor="_Toc228383846" w:history="1">
            <w:r w:rsidRPr="0035302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_Toc228383846 \h </w:instrText>
            </w:r>
            <w:r>
              <w:rPr>
                <w:noProof/>
                <w:webHidden/>
              </w:rPr>
            </w:r>
            <w:r>
              <w:rPr>
                <w:noProof/>
                <w:webHidden/>
              </w:rPr>
              <w:fldChar w:fldCharType="separate"/>
            </w:r>
            <w:r>
              <w:rPr>
                <w:noProof/>
                <w:webHidden/>
              </w:rPr>
              <w:t>12</w:t>
            </w:r>
            <w:r>
              <w:rPr>
                <w:noProof/>
                <w:webHidden/>
              </w:rPr>
              <w:fldChar w:fldCharType="end"/>
            </w:r>
          </w:hyperlink>
        </w:p>
        <w:p w14:paraId="4A557AAC" w14:textId="7FAEF885" w:rsidR="00905AA0" w:rsidRDefault="00905AA0">
          <w:r>
            <w:rPr>
              <w:b/>
              <w:bCs/>
              <w:noProof/>
            </w:rPr>
            <w:fldChar w:fldCharType="end"/>
          </w:r>
        </w:p>
      </w:sdtContent>
    </w:sdt>
    <w:p w14:paraId="27A52DA2" w14:textId="5EB241FA" w:rsidR="00905AA0" w:rsidRDefault="00905AA0" w:rsidP="00BE0546">
      <w:pPr>
        <w:jc w:val="right"/>
        <w:rPr>
          <w:b/>
          <w:bCs/>
          <w:sz w:val="96"/>
          <w:szCs w:val="96"/>
        </w:rPr>
      </w:pPr>
    </w:p>
    <w:p w14:paraId="6EBC6105" w14:textId="77777777" w:rsidR="00905AA0" w:rsidRDefault="00905AA0">
      <w:pPr>
        <w:rPr>
          <w:rFonts w:asciiTheme="majorHAnsi" w:eastAsiaTheme="majorEastAsia" w:hAnsiTheme="majorHAnsi" w:cstheme="majorBidi"/>
          <w:color w:val="0F4761" w:themeColor="accent1" w:themeShade="BF"/>
          <w:sz w:val="40"/>
          <w:szCs w:val="40"/>
        </w:rPr>
      </w:pPr>
      <w:r>
        <w:br w:type="page"/>
      </w:r>
    </w:p>
    <w:p w14:paraId="71F81A0F" w14:textId="009BA959" w:rsidR="00905AA0" w:rsidRPr="00BE0546" w:rsidRDefault="00905AA0" w:rsidP="00905AA0">
      <w:pPr>
        <w:pStyle w:val="Heading1"/>
        <w:spacing w:line="360" w:lineRule="auto"/>
        <w:rPr>
          <w:rFonts w:ascii="Arial" w:hAnsi="Arial" w:cs="Arial"/>
          <w:b/>
          <w:bCs/>
          <w:sz w:val="22"/>
          <w:szCs w:val="22"/>
        </w:rPr>
      </w:pPr>
      <w:bookmarkStart w:id="0" w:name="_Toc228383834"/>
      <w:r w:rsidRPr="00BE0546">
        <w:rPr>
          <w:rFonts w:ascii="Arial" w:hAnsi="Arial" w:cs="Arial"/>
          <w:b/>
          <w:bCs/>
          <w:sz w:val="22"/>
          <w:szCs w:val="22"/>
        </w:rPr>
        <w:lastRenderedPageBreak/>
        <w:t>1. Introduction</w:t>
      </w:r>
      <w:bookmarkEnd w:id="0"/>
    </w:p>
    <w:p w14:paraId="560C969A" w14:textId="77777777" w:rsidR="00905AA0" w:rsidRPr="00905AA0" w:rsidRDefault="00905AA0" w:rsidP="00905AA0">
      <w:pPr>
        <w:spacing w:line="360" w:lineRule="auto"/>
        <w:rPr>
          <w:rFonts w:ascii="Arial" w:hAnsi="Arial" w:cs="Arial"/>
        </w:rPr>
      </w:pPr>
      <w:r w:rsidRPr="00905AA0">
        <w:rPr>
          <w:rFonts w:ascii="Arial" w:hAnsi="Arial" w:cs="Arial"/>
        </w:rPr>
        <w:t>Human Resource Management (HRM) plays a critical role in ensuring organisational effectiveness, particularly in a global business environment characterised by increasing competition and rapid change. Organisations rely on their human capital to achieve strategic objectives, making HR functions essential for maintaining performance, innovation, and sustainability.</w:t>
      </w:r>
    </w:p>
    <w:p w14:paraId="3BFA742D" w14:textId="77777777" w:rsidR="00905AA0" w:rsidRPr="00905AA0" w:rsidRDefault="00905AA0" w:rsidP="00905AA0">
      <w:pPr>
        <w:spacing w:line="360" w:lineRule="auto"/>
        <w:rPr>
          <w:rFonts w:ascii="Arial" w:hAnsi="Arial" w:cs="Arial"/>
        </w:rPr>
      </w:pPr>
      <w:r w:rsidRPr="00905AA0">
        <w:rPr>
          <w:rFonts w:ascii="Arial" w:hAnsi="Arial" w:cs="Arial"/>
        </w:rPr>
        <w:t>Key HR functions include recruitment and selection, training and development, performance management, and employee relations. Recruitment and selection ensure that organisations attract and retain employees with the necessary skills and competencies to achieve competitive advantage. Training and development enhance employees’ knowledge and capabilities, enabling them to adapt to technological advancements and changing business requirements (Armstrong, 2024). Performance management focuses on monitoring and improving employee performance, aligning individual contributions with organisational goals through structured evaluation systems and continuous feedback (</w:t>
      </w:r>
      <w:proofErr w:type="spellStart"/>
      <w:r w:rsidRPr="00905AA0">
        <w:rPr>
          <w:rFonts w:ascii="Arial" w:hAnsi="Arial" w:cs="Arial"/>
        </w:rPr>
        <w:t>Boselie</w:t>
      </w:r>
      <w:proofErr w:type="spellEnd"/>
      <w:r w:rsidRPr="00905AA0">
        <w:rPr>
          <w:rFonts w:ascii="Arial" w:hAnsi="Arial" w:cs="Arial"/>
        </w:rPr>
        <w:t xml:space="preserve"> &amp; Van der Heijden, 2024). Employee relations are equally important, as they promote a positive work environment, improve communication, and support employee engagement and retention.</w:t>
      </w:r>
    </w:p>
    <w:p w14:paraId="1247C136" w14:textId="77777777" w:rsidR="00905AA0" w:rsidRPr="00905AA0" w:rsidRDefault="00905AA0" w:rsidP="00905AA0">
      <w:pPr>
        <w:spacing w:line="360" w:lineRule="auto"/>
        <w:rPr>
          <w:rFonts w:ascii="Arial" w:hAnsi="Arial" w:cs="Arial"/>
        </w:rPr>
      </w:pPr>
      <w:r w:rsidRPr="00905AA0">
        <w:rPr>
          <w:rFonts w:ascii="Arial" w:hAnsi="Arial" w:cs="Arial"/>
        </w:rPr>
        <w:t>These functions are essential because they directly influence organisational productivity, employee satisfaction, and long-term success. Without effective HR practices, organisations may struggle to respond to external pressures and achieve their strategic objectives.</w:t>
      </w:r>
    </w:p>
    <w:p w14:paraId="65CBE671" w14:textId="77777777" w:rsidR="00905AA0" w:rsidRPr="00905AA0" w:rsidRDefault="00905AA0" w:rsidP="00905AA0">
      <w:pPr>
        <w:spacing w:line="360" w:lineRule="auto"/>
        <w:rPr>
          <w:rFonts w:ascii="Arial" w:hAnsi="Arial" w:cs="Arial"/>
        </w:rPr>
      </w:pPr>
      <w:r w:rsidRPr="00905AA0">
        <w:rPr>
          <w:rFonts w:ascii="Arial" w:hAnsi="Arial" w:cs="Arial"/>
        </w:rPr>
        <w:t>This report is structured into five main sections. The Introduction outlines key HR functions and their importance. The Internal and External Environment section analyses Porter’s Five Forces model and its relevance to HRM. The Organisation Application examines DP World and its HR practices. The Application of the Model evaluates how environmental forces influence HR effectiveness across countries. Finally, the Conclusion summarises the key findings and discusses future implications for HR managers in global organisations.</w:t>
      </w:r>
    </w:p>
    <w:p w14:paraId="5A54753C" w14:textId="77777777" w:rsidR="00905AA0" w:rsidRPr="00905AA0" w:rsidRDefault="00905AA0" w:rsidP="00905AA0">
      <w:pPr>
        <w:spacing w:line="360" w:lineRule="auto"/>
        <w:rPr>
          <w:rFonts w:ascii="Arial" w:hAnsi="Arial" w:cs="Arial"/>
        </w:rPr>
      </w:pPr>
    </w:p>
    <w:p w14:paraId="0762C6FF" w14:textId="77777777" w:rsidR="00905AA0" w:rsidRPr="00905AA0" w:rsidRDefault="00905AA0" w:rsidP="00905AA0">
      <w:pPr>
        <w:spacing w:line="360" w:lineRule="auto"/>
        <w:rPr>
          <w:rFonts w:ascii="Arial" w:eastAsiaTheme="majorEastAsia" w:hAnsi="Arial" w:cs="Arial"/>
          <w:color w:val="0F4761" w:themeColor="accent1" w:themeShade="BF"/>
        </w:rPr>
      </w:pPr>
      <w:r w:rsidRPr="00905AA0">
        <w:rPr>
          <w:rFonts w:ascii="Arial" w:hAnsi="Arial" w:cs="Arial"/>
        </w:rPr>
        <w:br w:type="page"/>
      </w:r>
    </w:p>
    <w:p w14:paraId="7522661F" w14:textId="07EC1809" w:rsidR="00905AA0" w:rsidRPr="00BE0546" w:rsidRDefault="00905AA0" w:rsidP="00905AA0">
      <w:pPr>
        <w:pStyle w:val="Heading1"/>
        <w:spacing w:line="360" w:lineRule="auto"/>
        <w:rPr>
          <w:rFonts w:ascii="Arial" w:hAnsi="Arial" w:cs="Arial"/>
          <w:b/>
          <w:bCs/>
          <w:sz w:val="22"/>
          <w:szCs w:val="22"/>
        </w:rPr>
      </w:pPr>
      <w:bookmarkStart w:id="1" w:name="_Toc228383835"/>
      <w:r w:rsidRPr="00BE0546">
        <w:rPr>
          <w:rFonts w:ascii="Arial" w:hAnsi="Arial" w:cs="Arial"/>
          <w:b/>
          <w:bCs/>
          <w:sz w:val="22"/>
          <w:szCs w:val="22"/>
        </w:rPr>
        <w:lastRenderedPageBreak/>
        <w:t>2. Internal and External Environment</w:t>
      </w:r>
      <w:bookmarkEnd w:id="1"/>
      <w:r w:rsidRPr="00BE0546">
        <w:rPr>
          <w:rFonts w:ascii="Arial" w:hAnsi="Arial" w:cs="Arial"/>
          <w:b/>
          <w:bCs/>
          <w:sz w:val="22"/>
          <w:szCs w:val="22"/>
        </w:rPr>
        <w:t xml:space="preserve"> </w:t>
      </w:r>
    </w:p>
    <w:p w14:paraId="43B49F9C" w14:textId="41826338" w:rsidR="00905AA0" w:rsidRPr="00BE0546" w:rsidRDefault="00905AA0" w:rsidP="00905AA0">
      <w:pPr>
        <w:pStyle w:val="Heading2"/>
        <w:spacing w:line="360" w:lineRule="auto"/>
        <w:rPr>
          <w:rFonts w:ascii="Arial" w:hAnsi="Arial" w:cs="Arial"/>
          <w:b/>
          <w:bCs/>
          <w:sz w:val="22"/>
          <w:szCs w:val="22"/>
        </w:rPr>
      </w:pPr>
      <w:bookmarkStart w:id="2" w:name="_Toc228383836"/>
      <w:r w:rsidRPr="00BE0546">
        <w:rPr>
          <w:rFonts w:ascii="Arial" w:hAnsi="Arial" w:cs="Arial"/>
          <w:b/>
          <w:bCs/>
          <w:sz w:val="22"/>
          <w:szCs w:val="22"/>
        </w:rPr>
        <w:t>2.1 Business Environment Model: Porter’s Five Forces</w:t>
      </w:r>
      <w:bookmarkEnd w:id="2"/>
    </w:p>
    <w:p w14:paraId="035BF054" w14:textId="77777777" w:rsidR="00905AA0" w:rsidRPr="00905AA0" w:rsidRDefault="00905AA0" w:rsidP="00905AA0">
      <w:pPr>
        <w:spacing w:line="360" w:lineRule="auto"/>
        <w:rPr>
          <w:rFonts w:ascii="Arial" w:hAnsi="Arial" w:cs="Arial"/>
        </w:rPr>
      </w:pPr>
      <w:r w:rsidRPr="00905AA0">
        <w:rPr>
          <w:rFonts w:ascii="Arial" w:hAnsi="Arial" w:cs="Arial"/>
        </w:rPr>
        <w:t>Porter’s Five Forces model is a widely used framework for analysing the competitive environment of an organisation. Developed by Michael Porter, the model identifies five key forces that shape industry competition: competitive rivalry, threat of new entrants, bargaining power of suppliers, bargaining power of buyers, and threat of substitute products or services. Although originally designed to analyse market competition, the model is also highly relevant for understanding how external pressures influence organisational strategies, including Human Resource Management (HRM) practices (Porter, 2008).</w:t>
      </w:r>
    </w:p>
    <w:p w14:paraId="791F7305" w14:textId="77777777" w:rsidR="00905AA0" w:rsidRPr="00905AA0" w:rsidRDefault="00905AA0" w:rsidP="00905AA0">
      <w:pPr>
        <w:spacing w:line="360" w:lineRule="auto"/>
        <w:rPr>
          <w:rFonts w:ascii="Arial" w:hAnsi="Arial" w:cs="Arial"/>
        </w:rPr>
      </w:pPr>
      <w:r w:rsidRPr="00905AA0">
        <w:rPr>
          <w:rFonts w:ascii="Arial" w:hAnsi="Arial" w:cs="Arial"/>
        </w:rPr>
        <w:t>The first force, competitive rivalry, refers to the intensity of competition among existing firms within an industry. High levels of rivalry often require organisations to focus on efficiency, innovation, and performance, which directly affects HR practices such as performance management and employee productivity. The threat of new entrants highlights how easily new competitors can enter the market. When barriers to entry are low, organisations must invest in talent acquisition and retention strategies to maintain their competitive advantage.</w:t>
      </w:r>
    </w:p>
    <w:p w14:paraId="468C82F9" w14:textId="77777777" w:rsidR="00905AA0" w:rsidRPr="00905AA0" w:rsidRDefault="00905AA0" w:rsidP="00905AA0">
      <w:pPr>
        <w:spacing w:line="360" w:lineRule="auto"/>
        <w:rPr>
          <w:rFonts w:ascii="Arial" w:hAnsi="Arial" w:cs="Arial"/>
        </w:rPr>
      </w:pPr>
      <w:r w:rsidRPr="00905AA0">
        <w:rPr>
          <w:rFonts w:ascii="Arial" w:hAnsi="Arial" w:cs="Arial"/>
        </w:rPr>
        <w:t>The bargaining power of suppliers can also influence HRM, particularly when skilled labour is considered a key resource. In industries where specialised skills are scarce, employees effectively become providers of labour, increasing their bargaining power and encouraging organisations to offer competitive salaries and benefits. Similarly, the bargaining power of buyers affects organisational strategies, as customer demands for quality, price, and innovation can place pressure on employees and HR systems to deliver higher performance.</w:t>
      </w:r>
    </w:p>
    <w:p w14:paraId="1789638D" w14:textId="77777777" w:rsidR="00905AA0" w:rsidRDefault="00905AA0" w:rsidP="00905AA0">
      <w:pPr>
        <w:spacing w:line="360" w:lineRule="auto"/>
        <w:rPr>
          <w:rFonts w:ascii="Arial" w:hAnsi="Arial" w:cs="Arial"/>
        </w:rPr>
      </w:pPr>
      <w:r w:rsidRPr="00905AA0">
        <w:rPr>
          <w:rFonts w:ascii="Arial" w:hAnsi="Arial" w:cs="Arial"/>
        </w:rPr>
        <w:t>Finally, the threat of substitutes refers to the availability of alternative products or services. This force drives organisations to continuously innovate, requiring HR managers to ensure that employees possess the necessary skills and adaptability to respond to changing market conditions.</w:t>
      </w:r>
    </w:p>
    <w:p w14:paraId="66EE3192" w14:textId="77777777" w:rsidR="00A6629D" w:rsidRPr="00905AA0" w:rsidRDefault="00A6629D" w:rsidP="00905AA0">
      <w:pPr>
        <w:spacing w:line="360" w:lineRule="auto"/>
        <w:rPr>
          <w:rFonts w:ascii="Arial" w:hAnsi="Arial" w:cs="Arial"/>
        </w:rPr>
      </w:pPr>
    </w:p>
    <w:p w14:paraId="6F5514C5" w14:textId="7799F541" w:rsidR="00A6629D" w:rsidRPr="00A6629D" w:rsidRDefault="00A6629D" w:rsidP="00A6629D">
      <w:pPr>
        <w:pStyle w:val="Heading2"/>
        <w:spacing w:line="360" w:lineRule="auto"/>
        <w:rPr>
          <w:rFonts w:ascii="Arial" w:hAnsi="Arial" w:cs="Arial"/>
          <w:b/>
          <w:bCs/>
          <w:sz w:val="22"/>
          <w:szCs w:val="22"/>
        </w:rPr>
      </w:pPr>
      <w:bookmarkStart w:id="3" w:name="_Toc228383837"/>
      <w:r w:rsidRPr="00A6629D">
        <w:rPr>
          <w:rFonts w:ascii="Arial" w:hAnsi="Arial" w:cs="Arial"/>
          <w:b/>
          <w:bCs/>
          <w:sz w:val="22"/>
          <w:szCs w:val="22"/>
        </w:rPr>
        <w:t>2.2 Usefulness and Limitations</w:t>
      </w:r>
      <w:bookmarkEnd w:id="3"/>
      <w:r w:rsidRPr="00A6629D">
        <w:rPr>
          <w:rFonts w:ascii="Arial" w:hAnsi="Arial" w:cs="Arial"/>
          <w:b/>
          <w:bCs/>
          <w:sz w:val="22"/>
          <w:szCs w:val="22"/>
        </w:rPr>
        <w:t xml:space="preserve"> </w:t>
      </w:r>
    </w:p>
    <w:p w14:paraId="6EA37F9E" w14:textId="1541C1E0" w:rsidR="00A6629D" w:rsidRPr="00A6629D" w:rsidRDefault="00A6629D" w:rsidP="00A6629D">
      <w:pPr>
        <w:spacing w:line="360" w:lineRule="auto"/>
        <w:rPr>
          <w:rFonts w:ascii="Arial" w:hAnsi="Arial" w:cs="Arial"/>
        </w:rPr>
      </w:pPr>
      <w:r w:rsidRPr="00A6629D">
        <w:rPr>
          <w:rFonts w:ascii="Arial" w:hAnsi="Arial" w:cs="Arial"/>
        </w:rPr>
        <w:t xml:space="preserve">Porter’s Five Forces model provides a valuable framework for analysing the competitive pressures that influence organisational strategy. In the context of Human Resource Management (HRM), the model helps identify how external market dynamics shape workforce-related decisions. For example, high levels of competition may push organisations to invest in employee performance, innovation, and retention strategies </w:t>
      </w:r>
      <w:proofErr w:type="gramStart"/>
      <w:r w:rsidRPr="00A6629D">
        <w:rPr>
          <w:rFonts w:ascii="Arial" w:hAnsi="Arial" w:cs="Arial"/>
        </w:rPr>
        <w:t>in order to</w:t>
      </w:r>
      <w:proofErr w:type="gramEnd"/>
      <w:r w:rsidRPr="00A6629D">
        <w:rPr>
          <w:rFonts w:ascii="Arial" w:hAnsi="Arial" w:cs="Arial"/>
        </w:rPr>
        <w:t xml:space="preserve"> sustain competitive advantage.</w:t>
      </w:r>
    </w:p>
    <w:p w14:paraId="3D7D134F" w14:textId="5AF0A3AD" w:rsidR="00A6629D" w:rsidRPr="00A6629D" w:rsidRDefault="00A6629D" w:rsidP="00A6629D">
      <w:pPr>
        <w:spacing w:line="360" w:lineRule="auto"/>
        <w:rPr>
          <w:rFonts w:ascii="Arial" w:hAnsi="Arial" w:cs="Arial"/>
        </w:rPr>
      </w:pPr>
      <w:r w:rsidRPr="00A6629D">
        <w:rPr>
          <w:rFonts w:ascii="Arial" w:hAnsi="Arial" w:cs="Arial"/>
        </w:rPr>
        <w:lastRenderedPageBreak/>
        <w:t>However, while the model offers useful insights, it has important limitations when applied to HRM. One key weakness is its strong focus on external competitive forces, with limited consideration of internal organisational factors such as leadership, culture, and employee engagement. These internal elements are often critical in determining HR effectiveness and cannot be fully explained by external pressures alone.</w:t>
      </w:r>
    </w:p>
    <w:p w14:paraId="6A3D663D" w14:textId="5CC4046E" w:rsidR="00A6629D" w:rsidRPr="00A6629D" w:rsidRDefault="00A6629D" w:rsidP="00A6629D">
      <w:pPr>
        <w:spacing w:line="360" w:lineRule="auto"/>
        <w:rPr>
          <w:rFonts w:ascii="Arial" w:hAnsi="Arial" w:cs="Arial"/>
        </w:rPr>
      </w:pPr>
      <w:r w:rsidRPr="00A6629D">
        <w:rPr>
          <w:rFonts w:ascii="Arial" w:hAnsi="Arial" w:cs="Arial"/>
        </w:rPr>
        <w:t>Additionally, the model assumes relatively stable market conditions, which does not reflect the rapidly changing nature of modern business environments. Technological advancements and globalisation have introduced new dynamics that are not fully captured by the traditional Five Forces framework. As a result, relying solely on this model may lead to an incomplete understanding of HR challenges.</w:t>
      </w:r>
    </w:p>
    <w:p w14:paraId="50882ED8" w14:textId="77777777" w:rsidR="00A6629D" w:rsidRPr="00A6629D" w:rsidRDefault="00A6629D" w:rsidP="00A6629D">
      <w:pPr>
        <w:spacing w:line="360" w:lineRule="auto"/>
        <w:rPr>
          <w:rFonts w:ascii="Arial" w:hAnsi="Arial" w:cs="Arial"/>
        </w:rPr>
      </w:pPr>
      <w:r w:rsidRPr="00A6629D">
        <w:rPr>
          <w:rFonts w:ascii="Arial" w:hAnsi="Arial" w:cs="Arial"/>
        </w:rPr>
        <w:t>Despite these limitations, the model remains useful as a starting point for analysis, particularly when combined with other frameworks that consider internal organisational dynamics.</w:t>
      </w:r>
    </w:p>
    <w:p w14:paraId="1379E88B" w14:textId="77777777" w:rsidR="00A6629D" w:rsidRPr="00A6629D" w:rsidRDefault="00A6629D" w:rsidP="00A6629D">
      <w:pPr>
        <w:spacing w:line="360" w:lineRule="auto"/>
        <w:rPr>
          <w:rFonts w:ascii="Arial" w:hAnsi="Arial" w:cs="Arial"/>
        </w:rPr>
      </w:pPr>
    </w:p>
    <w:p w14:paraId="52442252" w14:textId="59604123" w:rsidR="00A6629D" w:rsidRPr="00A6629D" w:rsidRDefault="00A6629D" w:rsidP="00A6629D">
      <w:pPr>
        <w:pStyle w:val="Heading2"/>
        <w:spacing w:line="360" w:lineRule="auto"/>
        <w:rPr>
          <w:rFonts w:ascii="Arial" w:hAnsi="Arial" w:cs="Arial"/>
          <w:b/>
          <w:bCs/>
          <w:sz w:val="22"/>
          <w:szCs w:val="22"/>
        </w:rPr>
      </w:pPr>
      <w:r w:rsidRPr="00A6629D">
        <w:rPr>
          <w:rFonts w:ascii="Arial" w:hAnsi="Arial" w:cs="Arial"/>
          <w:b/>
          <w:bCs/>
          <w:sz w:val="22"/>
          <w:szCs w:val="22"/>
        </w:rPr>
        <w:t xml:space="preserve"> </w:t>
      </w:r>
      <w:bookmarkStart w:id="4" w:name="_Toc228383838"/>
      <w:r w:rsidRPr="00A6629D">
        <w:rPr>
          <w:rFonts w:ascii="Arial" w:hAnsi="Arial" w:cs="Arial"/>
          <w:b/>
          <w:bCs/>
          <w:sz w:val="22"/>
          <w:szCs w:val="22"/>
        </w:rPr>
        <w:t>2.3 Link to HR Functions</w:t>
      </w:r>
      <w:bookmarkEnd w:id="4"/>
      <w:r w:rsidRPr="00A6629D">
        <w:rPr>
          <w:rFonts w:ascii="Arial" w:hAnsi="Arial" w:cs="Arial"/>
          <w:b/>
          <w:bCs/>
          <w:sz w:val="22"/>
          <w:szCs w:val="22"/>
        </w:rPr>
        <w:t xml:space="preserve"> </w:t>
      </w:r>
    </w:p>
    <w:p w14:paraId="70C0DEC7" w14:textId="0D1FBA7B" w:rsidR="00A6629D" w:rsidRPr="00A6629D" w:rsidRDefault="00A6629D" w:rsidP="00A6629D">
      <w:pPr>
        <w:spacing w:line="360" w:lineRule="auto"/>
        <w:rPr>
          <w:rFonts w:ascii="Arial" w:hAnsi="Arial" w:cs="Arial"/>
        </w:rPr>
      </w:pPr>
      <w:r w:rsidRPr="00A6629D">
        <w:rPr>
          <w:rFonts w:ascii="Arial" w:hAnsi="Arial" w:cs="Arial"/>
        </w:rPr>
        <w:t>Porter’s Five Forces model can be directly linked to HR functions, as competitive pressures influence how organisations attract, develop, and manage employees.</w:t>
      </w:r>
    </w:p>
    <w:p w14:paraId="6228B224" w14:textId="6ACC3D0F" w:rsidR="00A6629D" w:rsidRPr="00A6629D" w:rsidRDefault="00A6629D" w:rsidP="00A6629D">
      <w:pPr>
        <w:spacing w:line="360" w:lineRule="auto"/>
        <w:rPr>
          <w:rFonts w:ascii="Arial" w:hAnsi="Arial" w:cs="Arial"/>
        </w:rPr>
      </w:pPr>
      <w:r w:rsidRPr="00A6629D">
        <w:rPr>
          <w:rFonts w:ascii="Arial" w:hAnsi="Arial" w:cs="Arial"/>
        </w:rPr>
        <w:t>Recruitment and selection are strongly affected by the threat of new entrants and the bargaining power of labour. In highly competitive industries, organisations must differentiate themselves to attract skilled employees. This often requires offering competitive salaries, strong employer branding, and career development opportunities. When skilled labour is scarce, employees gain greater bargaining power, making recruitment more challenging.</w:t>
      </w:r>
    </w:p>
    <w:p w14:paraId="13989792" w14:textId="03F50BA4" w:rsidR="00A6629D" w:rsidRPr="00A6629D" w:rsidRDefault="00A6629D" w:rsidP="00A6629D">
      <w:pPr>
        <w:spacing w:line="360" w:lineRule="auto"/>
        <w:rPr>
          <w:rFonts w:ascii="Arial" w:hAnsi="Arial" w:cs="Arial"/>
        </w:rPr>
      </w:pPr>
      <w:r w:rsidRPr="00A6629D">
        <w:rPr>
          <w:rFonts w:ascii="Arial" w:hAnsi="Arial" w:cs="Arial"/>
        </w:rPr>
        <w:t>Training and development are influenced by competitive rivalry and the threat of substitutes. Organisations must continuously enhance employee skills to remain innovative and competitive. This creates a shift towards continuous learning and development, which is essential in dynamic industries such as logistics.</w:t>
      </w:r>
    </w:p>
    <w:p w14:paraId="3EB369F7" w14:textId="77777777" w:rsidR="00A6629D" w:rsidRDefault="00A6629D" w:rsidP="00A6629D">
      <w:pPr>
        <w:spacing w:line="360" w:lineRule="auto"/>
        <w:rPr>
          <w:rFonts w:ascii="Arial" w:hAnsi="Arial" w:cs="Arial"/>
        </w:rPr>
      </w:pPr>
      <w:r w:rsidRPr="00A6629D">
        <w:rPr>
          <w:rFonts w:ascii="Arial" w:hAnsi="Arial" w:cs="Arial"/>
        </w:rPr>
        <w:t>Performance management is shaped by both competitive rivalry and buyer power. High competition and demanding customers require organisations to maintain high performance standards. As a result, HR systems increasingly focus on productivity, efficiency, and measurable outcomes. However, excessive performance pressure may negatively impact employee well-being if not managed carefully.</w:t>
      </w:r>
    </w:p>
    <w:p w14:paraId="1979A722" w14:textId="0CA20556" w:rsidR="00A6629D" w:rsidRPr="00A6629D" w:rsidRDefault="00A6629D" w:rsidP="00A6629D">
      <w:pPr>
        <w:spacing w:line="360" w:lineRule="auto"/>
        <w:rPr>
          <w:rFonts w:ascii="Arial" w:hAnsi="Arial" w:cs="Arial"/>
        </w:rPr>
      </w:pPr>
      <w:r w:rsidRPr="00A6629D">
        <w:rPr>
          <w:rFonts w:ascii="Arial" w:hAnsi="Arial" w:cs="Arial"/>
        </w:rPr>
        <w:t xml:space="preserve">Employee relations are closely linked to the bargaining power of employees. When employees possess critical skills, they have greater influence over working conditions and </w:t>
      </w:r>
      <w:r w:rsidRPr="00A6629D">
        <w:rPr>
          <w:rFonts w:ascii="Arial" w:hAnsi="Arial" w:cs="Arial"/>
        </w:rPr>
        <w:lastRenderedPageBreak/>
        <w:t>organisational policies. HR managers must therefore focus on engagement, retention, and well-being to maintain a stable workforce.</w:t>
      </w:r>
    </w:p>
    <w:p w14:paraId="3CECF55A" w14:textId="6B0D959F" w:rsidR="00905AA0" w:rsidRPr="00A6629D" w:rsidRDefault="00A6629D" w:rsidP="00A6629D">
      <w:pPr>
        <w:spacing w:line="360" w:lineRule="auto"/>
        <w:rPr>
          <w:rFonts w:ascii="Arial" w:hAnsi="Arial" w:cs="Arial"/>
        </w:rPr>
      </w:pPr>
      <w:r w:rsidRPr="00A6629D">
        <w:rPr>
          <w:rFonts w:ascii="Arial" w:hAnsi="Arial" w:cs="Arial"/>
        </w:rPr>
        <w:t>Overall, the model highlights the strategic importance of HRM in responding to competitive pressures.</w:t>
      </w:r>
    </w:p>
    <w:p w14:paraId="698D5BF4" w14:textId="77777777" w:rsidR="00905AA0" w:rsidRPr="00905AA0" w:rsidRDefault="00905AA0" w:rsidP="00905AA0">
      <w:pPr>
        <w:spacing w:line="360" w:lineRule="auto"/>
        <w:rPr>
          <w:rFonts w:ascii="Arial" w:hAnsi="Arial" w:cs="Arial"/>
        </w:rPr>
      </w:pPr>
    </w:p>
    <w:p w14:paraId="7F63728E" w14:textId="77777777" w:rsidR="00905AA0" w:rsidRPr="00905AA0" w:rsidRDefault="00905AA0" w:rsidP="00905AA0">
      <w:pPr>
        <w:spacing w:line="360" w:lineRule="auto"/>
        <w:rPr>
          <w:rFonts w:ascii="Arial" w:eastAsiaTheme="majorEastAsia" w:hAnsi="Arial" w:cs="Arial"/>
          <w:color w:val="0F4761" w:themeColor="accent1" w:themeShade="BF"/>
        </w:rPr>
      </w:pPr>
      <w:r w:rsidRPr="00905AA0">
        <w:rPr>
          <w:rFonts w:ascii="Arial" w:hAnsi="Arial" w:cs="Arial"/>
        </w:rPr>
        <w:br w:type="page"/>
      </w:r>
    </w:p>
    <w:p w14:paraId="6F0D8CCF" w14:textId="7378E12D" w:rsidR="00905AA0" w:rsidRPr="00BE0546" w:rsidRDefault="00905AA0" w:rsidP="00905AA0">
      <w:pPr>
        <w:pStyle w:val="Heading1"/>
        <w:spacing w:line="360" w:lineRule="auto"/>
        <w:rPr>
          <w:rFonts w:ascii="Arial" w:hAnsi="Arial" w:cs="Arial"/>
          <w:b/>
          <w:bCs/>
          <w:sz w:val="22"/>
          <w:szCs w:val="22"/>
        </w:rPr>
      </w:pPr>
      <w:bookmarkStart w:id="5" w:name="_Toc228383839"/>
      <w:r w:rsidRPr="00BE0546">
        <w:rPr>
          <w:rFonts w:ascii="Arial" w:hAnsi="Arial" w:cs="Arial"/>
          <w:b/>
          <w:bCs/>
          <w:sz w:val="22"/>
          <w:szCs w:val="22"/>
        </w:rPr>
        <w:lastRenderedPageBreak/>
        <w:t>3. Organisation Application</w:t>
      </w:r>
      <w:bookmarkEnd w:id="5"/>
      <w:r w:rsidRPr="00BE0546">
        <w:rPr>
          <w:rFonts w:ascii="Arial" w:hAnsi="Arial" w:cs="Arial"/>
          <w:b/>
          <w:bCs/>
          <w:sz w:val="22"/>
          <w:szCs w:val="22"/>
        </w:rPr>
        <w:t xml:space="preserve"> </w:t>
      </w:r>
    </w:p>
    <w:p w14:paraId="75DFD3FD" w14:textId="1AA09867" w:rsidR="00905AA0" w:rsidRPr="00BE0546" w:rsidRDefault="00905AA0" w:rsidP="00905AA0">
      <w:pPr>
        <w:pStyle w:val="Heading2"/>
        <w:spacing w:line="360" w:lineRule="auto"/>
        <w:rPr>
          <w:rFonts w:ascii="Arial" w:hAnsi="Arial" w:cs="Arial"/>
          <w:b/>
          <w:bCs/>
          <w:sz w:val="22"/>
          <w:szCs w:val="22"/>
        </w:rPr>
      </w:pPr>
      <w:bookmarkStart w:id="6" w:name="_Toc228383840"/>
      <w:r w:rsidRPr="00BE0546">
        <w:rPr>
          <w:rFonts w:ascii="Arial" w:hAnsi="Arial" w:cs="Arial"/>
          <w:b/>
          <w:bCs/>
          <w:sz w:val="22"/>
          <w:szCs w:val="22"/>
        </w:rPr>
        <w:t>3.1 Organisation Introduction: DP World</w:t>
      </w:r>
      <w:bookmarkEnd w:id="6"/>
    </w:p>
    <w:p w14:paraId="26D4753E" w14:textId="77777777" w:rsidR="00905AA0" w:rsidRPr="00905AA0" w:rsidRDefault="00905AA0" w:rsidP="00905AA0">
      <w:pPr>
        <w:spacing w:line="360" w:lineRule="auto"/>
        <w:rPr>
          <w:rFonts w:ascii="Arial" w:hAnsi="Arial" w:cs="Arial"/>
        </w:rPr>
      </w:pPr>
      <w:r w:rsidRPr="00905AA0">
        <w:rPr>
          <w:rFonts w:ascii="Arial" w:hAnsi="Arial" w:cs="Arial"/>
        </w:rPr>
        <w:t>DP World is a leading global logistics and supply chain solutions provider headquartered in Dubai, United Arab Emirates. The company operates across six continents and employs more than 100,000 people worldwide. DP World specialises in port operations, terminal management, marine services, inland logistics, and digital trade solutions, playing a crucial role in facilitating global trade. Its extensive network of ports and logistics hubs enables the efficient movement of goods across international markets, making it a key player in the global supply chain industry.</w:t>
      </w:r>
    </w:p>
    <w:p w14:paraId="3FA28764" w14:textId="77777777" w:rsidR="00905AA0" w:rsidRPr="00905AA0" w:rsidRDefault="00905AA0" w:rsidP="00905AA0">
      <w:pPr>
        <w:spacing w:line="360" w:lineRule="auto"/>
        <w:rPr>
          <w:rFonts w:ascii="Arial" w:hAnsi="Arial" w:cs="Arial"/>
        </w:rPr>
      </w:pPr>
      <w:r w:rsidRPr="00905AA0">
        <w:rPr>
          <w:rFonts w:ascii="Arial" w:hAnsi="Arial" w:cs="Arial"/>
        </w:rPr>
        <w:t>The organisation follows a “global integration with local responsiveness” strategy, which allows it to maintain consistent operational standards while adapting to regional economic, legal, and cultural differences. This approach is essential given the diverse environments in which DP World operates, including both developed and emerging markets. As a result, managing human resources effectively across multiple countries is critical to maintaining operational efficiency and competitive advantage (Sergio et al., 2022).</w:t>
      </w:r>
    </w:p>
    <w:p w14:paraId="5930E630" w14:textId="7B111809" w:rsidR="00905AA0" w:rsidRPr="00BE0546" w:rsidRDefault="00905AA0" w:rsidP="00905AA0">
      <w:pPr>
        <w:pStyle w:val="Heading2"/>
        <w:spacing w:line="360" w:lineRule="auto"/>
        <w:rPr>
          <w:rFonts w:ascii="Arial" w:hAnsi="Arial" w:cs="Arial"/>
          <w:b/>
          <w:bCs/>
          <w:sz w:val="22"/>
          <w:szCs w:val="22"/>
        </w:rPr>
      </w:pPr>
      <w:bookmarkStart w:id="7" w:name="_Toc228383841"/>
      <w:r w:rsidRPr="00BE0546">
        <w:rPr>
          <w:rFonts w:ascii="Arial" w:hAnsi="Arial" w:cs="Arial"/>
          <w:b/>
          <w:bCs/>
          <w:sz w:val="22"/>
          <w:szCs w:val="22"/>
        </w:rPr>
        <w:t>3.2 HR Practices</w:t>
      </w:r>
      <w:bookmarkEnd w:id="7"/>
    </w:p>
    <w:p w14:paraId="43FB97A1" w14:textId="77777777" w:rsidR="00905AA0" w:rsidRPr="00905AA0" w:rsidRDefault="00905AA0" w:rsidP="00905AA0">
      <w:pPr>
        <w:spacing w:line="360" w:lineRule="auto"/>
        <w:rPr>
          <w:rFonts w:ascii="Arial" w:hAnsi="Arial" w:cs="Arial"/>
        </w:rPr>
      </w:pPr>
      <w:r w:rsidRPr="00905AA0">
        <w:rPr>
          <w:rFonts w:ascii="Arial" w:hAnsi="Arial" w:cs="Arial"/>
        </w:rPr>
        <w:t>DP World adopts a strategic and integrated approach to Human Resource Management (HRM), ensuring alignment between its global business objectives and local workforce needs.</w:t>
      </w:r>
    </w:p>
    <w:p w14:paraId="25F4CD50" w14:textId="77777777" w:rsidR="00905AA0" w:rsidRPr="00905AA0" w:rsidRDefault="00905AA0" w:rsidP="00905AA0">
      <w:pPr>
        <w:spacing w:line="360" w:lineRule="auto"/>
        <w:rPr>
          <w:rFonts w:ascii="Arial" w:hAnsi="Arial" w:cs="Arial"/>
        </w:rPr>
      </w:pPr>
      <w:r w:rsidRPr="00905AA0">
        <w:rPr>
          <w:rFonts w:ascii="Arial" w:hAnsi="Arial" w:cs="Arial"/>
        </w:rPr>
        <w:t>In terms of recruitment and selection, the company uses digital recruitment platforms and structured selection processes to attract skilled professionals globally. It focuses on hiring talent with both technical expertise and adaptability to multicultural environments. DP World also promotes diversity and inclusion, recognising the importance of a diverse workforce in enhancing innovation and organisational performance.</w:t>
      </w:r>
    </w:p>
    <w:p w14:paraId="3B753707" w14:textId="77777777" w:rsidR="00905AA0" w:rsidRPr="00905AA0" w:rsidRDefault="00905AA0" w:rsidP="00905AA0">
      <w:pPr>
        <w:spacing w:line="360" w:lineRule="auto"/>
        <w:rPr>
          <w:rFonts w:ascii="Arial" w:hAnsi="Arial" w:cs="Arial"/>
        </w:rPr>
      </w:pPr>
      <w:r w:rsidRPr="00905AA0">
        <w:rPr>
          <w:rFonts w:ascii="Arial" w:hAnsi="Arial" w:cs="Arial"/>
        </w:rPr>
        <w:t>For training and development, DP World invests significantly in employee learning through leadership development programmes, technical training, and continuous professional development initiatives. These programmes are designed to ensure that employees possess the necessary skills to operate in a highly dynamic and technology-driven industry. Training is often adapted to local contexts while maintaining global standards, ensuring consistency in employee capabilities across regions.</w:t>
      </w:r>
    </w:p>
    <w:p w14:paraId="1ACCCD87" w14:textId="77777777" w:rsidR="00905AA0" w:rsidRPr="00905AA0" w:rsidRDefault="00905AA0" w:rsidP="00905AA0">
      <w:pPr>
        <w:spacing w:line="360" w:lineRule="auto"/>
        <w:rPr>
          <w:rFonts w:ascii="Arial" w:hAnsi="Arial" w:cs="Arial"/>
        </w:rPr>
      </w:pPr>
      <w:r w:rsidRPr="00905AA0">
        <w:rPr>
          <w:rFonts w:ascii="Arial" w:hAnsi="Arial" w:cs="Arial"/>
        </w:rPr>
        <w:t xml:space="preserve">Performance management at DP World is based on structured appraisal systems and key performance indicators (KPIs) that align individual performance with organisational goals. The company emphasises continuous improvement and accountability, using performance data to support decision-making and employee development. While global frameworks are </w:t>
      </w:r>
      <w:r w:rsidRPr="00905AA0">
        <w:rPr>
          <w:rFonts w:ascii="Arial" w:hAnsi="Arial" w:cs="Arial"/>
        </w:rPr>
        <w:lastRenderedPageBreak/>
        <w:t>applied, performance systems are adjusted to reflect local cultural and operational differences.</w:t>
      </w:r>
    </w:p>
    <w:p w14:paraId="3DF5808C" w14:textId="77777777" w:rsidR="00905AA0" w:rsidRPr="00905AA0" w:rsidRDefault="00905AA0" w:rsidP="00905AA0">
      <w:pPr>
        <w:spacing w:line="360" w:lineRule="auto"/>
        <w:rPr>
          <w:rFonts w:ascii="Arial" w:hAnsi="Arial" w:cs="Arial"/>
        </w:rPr>
      </w:pPr>
      <w:r w:rsidRPr="00905AA0">
        <w:rPr>
          <w:rFonts w:ascii="Arial" w:hAnsi="Arial" w:cs="Arial"/>
        </w:rPr>
        <w:t>In terms of employee relations, DP World fosters a culture of collaboration, respect, and engagement. The organisation prioritises employee well-being, communication, and inclusivity, while ensuring compliance with local labour laws in each country. By maintaining positive employee relations and adapting practices to regional contexts, DP World supports a motivated and productive global workforce.</w:t>
      </w:r>
    </w:p>
    <w:p w14:paraId="0E513FCC" w14:textId="77777777" w:rsidR="00905AA0" w:rsidRPr="00905AA0" w:rsidRDefault="00905AA0" w:rsidP="00905AA0">
      <w:pPr>
        <w:spacing w:line="360" w:lineRule="auto"/>
        <w:rPr>
          <w:rFonts w:ascii="Arial" w:hAnsi="Arial" w:cs="Arial"/>
        </w:rPr>
      </w:pPr>
      <w:r w:rsidRPr="00905AA0">
        <w:rPr>
          <w:rFonts w:ascii="Arial" w:hAnsi="Arial" w:cs="Arial"/>
        </w:rPr>
        <w:t> </w:t>
      </w:r>
    </w:p>
    <w:p w14:paraId="079E8212" w14:textId="77777777" w:rsidR="00A6629D" w:rsidRDefault="00A6629D">
      <w:pPr>
        <w:rPr>
          <w:rFonts w:ascii="Arial" w:eastAsiaTheme="majorEastAsia" w:hAnsi="Arial" w:cs="Arial"/>
          <w:b/>
          <w:bCs/>
          <w:color w:val="0F4761" w:themeColor="accent1" w:themeShade="BF"/>
        </w:rPr>
      </w:pPr>
      <w:r>
        <w:rPr>
          <w:rFonts w:ascii="Arial" w:hAnsi="Arial" w:cs="Arial"/>
          <w:b/>
          <w:bCs/>
        </w:rPr>
        <w:br w:type="page"/>
      </w:r>
    </w:p>
    <w:p w14:paraId="0A5E4065" w14:textId="1D274C15" w:rsidR="00A6629D" w:rsidRPr="00A6629D" w:rsidRDefault="00905AA0" w:rsidP="00A6629D">
      <w:pPr>
        <w:pStyle w:val="Heading1"/>
        <w:spacing w:line="360" w:lineRule="auto"/>
        <w:rPr>
          <w:rFonts w:ascii="Arial" w:hAnsi="Arial" w:cs="Arial"/>
          <w:b/>
          <w:bCs/>
          <w:sz w:val="22"/>
          <w:szCs w:val="22"/>
        </w:rPr>
      </w:pPr>
      <w:bookmarkStart w:id="8" w:name="_Toc228383842"/>
      <w:r w:rsidRPr="00BE0546">
        <w:rPr>
          <w:rFonts w:ascii="Arial" w:hAnsi="Arial" w:cs="Arial"/>
          <w:b/>
          <w:bCs/>
          <w:sz w:val="22"/>
          <w:szCs w:val="22"/>
        </w:rPr>
        <w:lastRenderedPageBreak/>
        <w:t>4. Application of Porter’s Five Forces Model</w:t>
      </w:r>
      <w:bookmarkEnd w:id="8"/>
    </w:p>
    <w:p w14:paraId="36C9DFAB" w14:textId="42BE64A1" w:rsidR="00A6629D" w:rsidRPr="00A6629D" w:rsidRDefault="00A6629D" w:rsidP="00A6629D">
      <w:pPr>
        <w:pStyle w:val="Heading2"/>
        <w:rPr>
          <w:rFonts w:ascii="Arial" w:hAnsi="Arial" w:cs="Arial"/>
          <w:b/>
          <w:bCs/>
          <w:sz w:val="22"/>
          <w:szCs w:val="22"/>
        </w:rPr>
      </w:pPr>
      <w:bookmarkStart w:id="9" w:name="_Toc228383843"/>
      <w:r w:rsidRPr="00A6629D">
        <w:rPr>
          <w:rFonts w:ascii="Arial" w:hAnsi="Arial" w:cs="Arial"/>
          <w:b/>
          <w:bCs/>
          <w:sz w:val="22"/>
          <w:szCs w:val="22"/>
        </w:rPr>
        <w:t>4.1 Impact on Organisation</w:t>
      </w:r>
      <w:bookmarkEnd w:id="9"/>
    </w:p>
    <w:p w14:paraId="1B6A7061" w14:textId="0AD6411C" w:rsidR="00A6629D" w:rsidRPr="00A6629D" w:rsidRDefault="00A6629D" w:rsidP="00A6629D">
      <w:pPr>
        <w:spacing w:line="360" w:lineRule="auto"/>
        <w:rPr>
          <w:rFonts w:ascii="Arial" w:hAnsi="Arial" w:cs="Arial"/>
        </w:rPr>
      </w:pPr>
      <w:r w:rsidRPr="00A6629D">
        <w:rPr>
          <w:rFonts w:ascii="Arial" w:hAnsi="Arial" w:cs="Arial"/>
        </w:rPr>
        <w:t>Porter’s Five Forces model provides a valuable framework for analysing how competitive pressures shape HR practices within DP World. As a global logistics organisation, DP World operates in a highly competitive and dynamic environment, where external forces significantly influence workforce strategies.</w:t>
      </w:r>
    </w:p>
    <w:p w14:paraId="2E530AD2" w14:textId="0EFC9469" w:rsidR="00A6629D" w:rsidRPr="00A6629D" w:rsidRDefault="00A6629D" w:rsidP="00A6629D">
      <w:pPr>
        <w:spacing w:line="360" w:lineRule="auto"/>
        <w:rPr>
          <w:rFonts w:ascii="Arial" w:hAnsi="Arial" w:cs="Arial"/>
        </w:rPr>
      </w:pPr>
      <w:r w:rsidRPr="00A6629D">
        <w:rPr>
          <w:rFonts w:ascii="Arial" w:hAnsi="Arial" w:cs="Arial"/>
        </w:rPr>
        <w:t>Competitive rivalry within the logistics industry is intense, requiring organisations to prioritise efficiency, innovation, and service quality. This directly impacts HR practices, particularly performance management. Employees are expected to meet high performance standards, often measured through key performance indicators (KPIs). While this can enhance productivity, it may also increase workplace pressure, highlighting the need for HR managers to balance performance expectations with employee well-being.</w:t>
      </w:r>
    </w:p>
    <w:p w14:paraId="1746B78F" w14:textId="77777777" w:rsidR="00A6629D" w:rsidRDefault="00A6629D" w:rsidP="00A6629D">
      <w:pPr>
        <w:spacing w:line="360" w:lineRule="auto"/>
        <w:rPr>
          <w:rFonts w:ascii="Arial" w:hAnsi="Arial" w:cs="Arial"/>
        </w:rPr>
      </w:pPr>
      <w:r w:rsidRPr="00A6629D">
        <w:rPr>
          <w:rFonts w:ascii="Arial" w:hAnsi="Arial" w:cs="Arial"/>
        </w:rPr>
        <w:t>The threat of new entrants, although relatively moderate due to high capital requirements, is increasing as technological advancements lower barriers to entry. This creates pressure on DP World to attract and retain highly skilled employees. As a result, HR managers must focus on strategic recruitment, employer branding, and talent development to maintain competitive advantage.</w:t>
      </w:r>
    </w:p>
    <w:p w14:paraId="0C24262F" w14:textId="50F30D01" w:rsidR="00A6629D" w:rsidRPr="00A6629D" w:rsidRDefault="00A6629D" w:rsidP="00A6629D">
      <w:pPr>
        <w:spacing w:line="360" w:lineRule="auto"/>
        <w:rPr>
          <w:rFonts w:ascii="Arial" w:hAnsi="Arial" w:cs="Arial"/>
        </w:rPr>
      </w:pPr>
      <w:r w:rsidRPr="00A6629D">
        <w:rPr>
          <w:rFonts w:ascii="Arial" w:hAnsi="Arial" w:cs="Arial"/>
        </w:rPr>
        <w:t>The bargaining power of employees is particularly significant in the logistics sector, where specialised skills are in high demand. This requires organisations to offer competitive compensation and career development opportunities. However, over-reliance on external talent can increase costs, making internal training and development a more sustainable strategy.</w:t>
      </w:r>
    </w:p>
    <w:p w14:paraId="72424B45" w14:textId="0EF21BD2" w:rsidR="00A6629D" w:rsidRPr="00A6629D" w:rsidRDefault="00A6629D" w:rsidP="00A6629D">
      <w:pPr>
        <w:spacing w:line="360" w:lineRule="auto"/>
        <w:rPr>
          <w:rFonts w:ascii="Arial" w:hAnsi="Arial" w:cs="Arial"/>
        </w:rPr>
      </w:pPr>
      <w:r w:rsidRPr="00A6629D">
        <w:rPr>
          <w:rFonts w:ascii="Arial" w:hAnsi="Arial" w:cs="Arial"/>
        </w:rPr>
        <w:t>Buyer power also influences HR practices, as customers demand high-quality and cost-efficient services. This places pressure on employees to perform at a high level, reinforcing the importance of training and performance management systems.</w:t>
      </w:r>
    </w:p>
    <w:p w14:paraId="744E9584" w14:textId="77777777" w:rsidR="00A6629D" w:rsidRPr="00A6629D" w:rsidRDefault="00A6629D" w:rsidP="00A6629D">
      <w:pPr>
        <w:spacing w:line="360" w:lineRule="auto"/>
        <w:rPr>
          <w:rFonts w:ascii="Arial" w:hAnsi="Arial" w:cs="Arial"/>
        </w:rPr>
      </w:pPr>
      <w:r w:rsidRPr="00A6629D">
        <w:rPr>
          <w:rFonts w:ascii="Arial" w:hAnsi="Arial" w:cs="Arial"/>
        </w:rPr>
        <w:t>Finally, the threat of substitutes requires continuous innovation, which depends heavily on employee skills and adaptability. HR managers play a key role in fostering a culture of innovation and ensuring that employees are equipped to respond to changing market conditions.</w:t>
      </w:r>
    </w:p>
    <w:p w14:paraId="05CAE81C" w14:textId="77777777" w:rsidR="00A6629D" w:rsidRPr="00A6629D" w:rsidRDefault="00A6629D" w:rsidP="00A6629D">
      <w:pPr>
        <w:spacing w:line="360" w:lineRule="auto"/>
        <w:rPr>
          <w:rFonts w:ascii="Arial" w:hAnsi="Arial" w:cs="Arial"/>
        </w:rPr>
      </w:pPr>
    </w:p>
    <w:p w14:paraId="65493AAE" w14:textId="419F14EA" w:rsidR="00A6629D" w:rsidRPr="00A6629D" w:rsidRDefault="00A6629D" w:rsidP="00A6629D">
      <w:pPr>
        <w:pStyle w:val="Heading2"/>
        <w:rPr>
          <w:rFonts w:ascii="Arial" w:hAnsi="Arial" w:cs="Arial"/>
          <w:b/>
          <w:bCs/>
          <w:sz w:val="22"/>
          <w:szCs w:val="22"/>
        </w:rPr>
      </w:pPr>
      <w:bookmarkStart w:id="10" w:name="_Toc228383844"/>
      <w:r w:rsidRPr="00A6629D">
        <w:rPr>
          <w:rFonts w:ascii="Arial" w:hAnsi="Arial" w:cs="Arial"/>
          <w:b/>
          <w:bCs/>
          <w:sz w:val="22"/>
          <w:szCs w:val="22"/>
        </w:rPr>
        <w:t>4.2 Country Differences</w:t>
      </w:r>
      <w:bookmarkEnd w:id="10"/>
      <w:r w:rsidRPr="00A6629D">
        <w:rPr>
          <w:rFonts w:ascii="Arial" w:hAnsi="Arial" w:cs="Arial"/>
          <w:b/>
          <w:bCs/>
          <w:sz w:val="22"/>
          <w:szCs w:val="22"/>
        </w:rPr>
        <w:t xml:space="preserve"> </w:t>
      </w:r>
    </w:p>
    <w:p w14:paraId="1E4C4965" w14:textId="3FDD372D" w:rsidR="00A6629D" w:rsidRPr="00A6629D" w:rsidRDefault="00A6629D" w:rsidP="00A6629D">
      <w:pPr>
        <w:spacing w:line="360" w:lineRule="auto"/>
        <w:rPr>
          <w:rFonts w:ascii="Arial" w:hAnsi="Arial" w:cs="Arial"/>
        </w:rPr>
      </w:pPr>
      <w:r w:rsidRPr="00A6629D">
        <w:rPr>
          <w:rFonts w:ascii="Arial" w:hAnsi="Arial" w:cs="Arial"/>
        </w:rPr>
        <w:t>The impact of Porter’s Five Forces on HR practices varies across countries due to differences in cultural, legal, and economic environments.</w:t>
      </w:r>
    </w:p>
    <w:p w14:paraId="29200DE6" w14:textId="7734CE5A" w:rsidR="00A6629D" w:rsidRPr="00A6629D" w:rsidRDefault="00A6629D" w:rsidP="00A6629D">
      <w:pPr>
        <w:spacing w:line="360" w:lineRule="auto"/>
        <w:rPr>
          <w:rFonts w:ascii="Arial" w:hAnsi="Arial" w:cs="Arial"/>
        </w:rPr>
      </w:pPr>
      <w:r w:rsidRPr="00A6629D">
        <w:rPr>
          <w:rFonts w:ascii="Arial" w:hAnsi="Arial" w:cs="Arial"/>
        </w:rPr>
        <w:lastRenderedPageBreak/>
        <w:t>Cultural differences significantly influence HR strategies. For example, in collectivist cultures, teamwork and collaboration are prioritised, while in individualistic cultures, personal achievement is emphasised. HR managers must adapt their approaches accordingly, which increases complexity but enhances effectiveness.</w:t>
      </w:r>
    </w:p>
    <w:p w14:paraId="0A9452B0" w14:textId="77777777" w:rsidR="00A6629D" w:rsidRDefault="00A6629D" w:rsidP="00A6629D">
      <w:pPr>
        <w:spacing w:line="360" w:lineRule="auto"/>
        <w:rPr>
          <w:rFonts w:ascii="Arial" w:hAnsi="Arial" w:cs="Arial"/>
        </w:rPr>
      </w:pPr>
      <w:r w:rsidRPr="00A6629D">
        <w:rPr>
          <w:rFonts w:ascii="Arial" w:hAnsi="Arial" w:cs="Arial"/>
        </w:rPr>
        <w:t>Legal differences also create challenges. Strict labour laws in developed regions, such as Europe, limit flexibility in workforce management, while more flexible regulations in developing countries allow greater adaptability. Ensuring compliance across multiple jurisdictions requires significant HR expertise.</w:t>
      </w:r>
    </w:p>
    <w:p w14:paraId="5EFAD2A1" w14:textId="4ABE88D6" w:rsidR="00A6629D" w:rsidRPr="00A6629D" w:rsidRDefault="00A6629D" w:rsidP="00A6629D">
      <w:pPr>
        <w:spacing w:line="360" w:lineRule="auto"/>
        <w:rPr>
          <w:rFonts w:ascii="Arial" w:hAnsi="Arial" w:cs="Arial"/>
        </w:rPr>
      </w:pPr>
      <w:r w:rsidRPr="00A6629D">
        <w:rPr>
          <w:rFonts w:ascii="Arial" w:hAnsi="Arial" w:cs="Arial"/>
        </w:rPr>
        <w:t>Economic conditions further shape HR priorities. In developed economies, where labour markets are competitive, organisations focus on retention and engagement. In contrast, in emerging markets, recruitment and workforce expansion are often prioritised. Economic instability may also require more flexible HR strategies.</w:t>
      </w:r>
    </w:p>
    <w:p w14:paraId="0B5BE4A7" w14:textId="576F64B2" w:rsidR="00905AA0" w:rsidRPr="00905AA0" w:rsidRDefault="00A6629D" w:rsidP="00A6629D">
      <w:pPr>
        <w:spacing w:line="360" w:lineRule="auto"/>
        <w:rPr>
          <w:rFonts w:ascii="Arial" w:hAnsi="Arial" w:cs="Arial"/>
        </w:rPr>
      </w:pPr>
      <w:r w:rsidRPr="00A6629D">
        <w:rPr>
          <w:rFonts w:ascii="Arial" w:hAnsi="Arial" w:cs="Arial"/>
        </w:rPr>
        <w:t>These differences highlight the importance of balancing global standardisation with local adaptation. While standardisation improves efficiency, excessive uniformity may reduce responsiveness to local conditions.</w:t>
      </w:r>
      <w:r w:rsidR="00905AA0" w:rsidRPr="00905AA0">
        <w:rPr>
          <w:rFonts w:ascii="Arial" w:hAnsi="Arial" w:cs="Arial"/>
        </w:rPr>
        <w:br w:type="page"/>
      </w:r>
    </w:p>
    <w:p w14:paraId="1ED1DD66" w14:textId="65415C28" w:rsidR="00905AA0" w:rsidRPr="00BE0546" w:rsidRDefault="00905AA0" w:rsidP="00905AA0">
      <w:pPr>
        <w:pStyle w:val="Heading1"/>
        <w:spacing w:line="360" w:lineRule="auto"/>
        <w:rPr>
          <w:rFonts w:ascii="Arial" w:hAnsi="Arial" w:cs="Arial"/>
          <w:b/>
          <w:bCs/>
          <w:sz w:val="22"/>
          <w:szCs w:val="22"/>
        </w:rPr>
      </w:pPr>
      <w:bookmarkStart w:id="11" w:name="_Toc228383845"/>
      <w:r w:rsidRPr="00BE0546">
        <w:rPr>
          <w:rFonts w:ascii="Arial" w:hAnsi="Arial" w:cs="Arial"/>
          <w:b/>
          <w:bCs/>
          <w:sz w:val="22"/>
          <w:szCs w:val="22"/>
        </w:rPr>
        <w:lastRenderedPageBreak/>
        <w:t>5. Conclusion</w:t>
      </w:r>
      <w:bookmarkEnd w:id="11"/>
      <w:r w:rsidRPr="00BE0546">
        <w:rPr>
          <w:rFonts w:ascii="Arial" w:hAnsi="Arial" w:cs="Arial"/>
          <w:b/>
          <w:bCs/>
          <w:sz w:val="22"/>
          <w:szCs w:val="22"/>
        </w:rPr>
        <w:t xml:space="preserve"> </w:t>
      </w:r>
    </w:p>
    <w:p w14:paraId="7427582F" w14:textId="77777777" w:rsidR="00905AA0" w:rsidRPr="00905AA0" w:rsidRDefault="00905AA0" w:rsidP="00905AA0">
      <w:pPr>
        <w:spacing w:line="360" w:lineRule="auto"/>
        <w:rPr>
          <w:rFonts w:ascii="Arial" w:hAnsi="Arial" w:cs="Arial"/>
        </w:rPr>
      </w:pPr>
      <w:r w:rsidRPr="00905AA0">
        <w:rPr>
          <w:rFonts w:ascii="Arial" w:hAnsi="Arial" w:cs="Arial"/>
        </w:rPr>
        <w:t xml:space="preserve">This report has critically examined the role of environmental factors in shaping the effectiveness of Human Resource (HR) managers within global organisations. It highlighted that core HR functions—recruitment, training and development, performance management, and employee relations—are significantly influenced by both internal and external environmental forces. By applying Porter’s Five Forces model, the analysis demonstrated how competitive pressures such as industry rivalry, labour market dynamics, and customer expectations directly impact HR strategies and practices. The case of DP World illustrated that HR managers must continuously adapt to these forces </w:t>
      </w:r>
      <w:proofErr w:type="gramStart"/>
      <w:r w:rsidRPr="00905AA0">
        <w:rPr>
          <w:rFonts w:ascii="Arial" w:hAnsi="Arial" w:cs="Arial"/>
        </w:rPr>
        <w:t>in order to</w:t>
      </w:r>
      <w:proofErr w:type="gramEnd"/>
      <w:r w:rsidRPr="00905AA0">
        <w:rPr>
          <w:rFonts w:ascii="Arial" w:hAnsi="Arial" w:cs="Arial"/>
        </w:rPr>
        <w:t xml:space="preserve"> maintain organisational performance and competitiveness.</w:t>
      </w:r>
    </w:p>
    <w:p w14:paraId="246F03E1" w14:textId="77777777" w:rsidR="00905AA0" w:rsidRPr="00905AA0" w:rsidRDefault="00905AA0" w:rsidP="00905AA0">
      <w:pPr>
        <w:spacing w:line="360" w:lineRule="auto"/>
        <w:rPr>
          <w:rFonts w:ascii="Arial" w:hAnsi="Arial" w:cs="Arial"/>
        </w:rPr>
      </w:pPr>
      <w:r w:rsidRPr="00905AA0">
        <w:rPr>
          <w:rFonts w:ascii="Arial" w:hAnsi="Arial" w:cs="Arial"/>
        </w:rPr>
        <w:t>A key finding of this report is that understanding environmental factors is essential for effective HR management, particularly in multinational contexts. Differences in culture, legal frameworks, and economic conditions across countries create additional complexity, requiring HR managers to balance global consistency with local responsiveness. Failure to adapt HR practices to these variations can reduce employee engagement, increase turnover, and negatively affect organisational outcomes.</w:t>
      </w:r>
    </w:p>
    <w:p w14:paraId="51F48B81" w14:textId="77777777" w:rsidR="00905AA0" w:rsidRPr="00905AA0" w:rsidRDefault="00905AA0" w:rsidP="00905AA0">
      <w:pPr>
        <w:spacing w:line="360" w:lineRule="auto"/>
        <w:rPr>
          <w:rFonts w:ascii="Arial" w:hAnsi="Arial" w:cs="Arial"/>
        </w:rPr>
      </w:pPr>
      <w:r w:rsidRPr="00905AA0">
        <w:rPr>
          <w:rFonts w:ascii="Arial" w:hAnsi="Arial" w:cs="Arial"/>
        </w:rPr>
        <w:t>Looking forward, the role of HR managers will continue to evolve due to ongoing changes in the business environment. Digital transformation, including the use of artificial intelligence and data analytics, is reshaping HR practices and decision-making processes (O’Brien et al., 2025). In addition, globalisation and workforce diversity will require HR managers to develop stronger cross-cultural competencies and more inclusive practices. Sustainability and employee well-being are also becoming increasingly important priorities.</w:t>
      </w:r>
    </w:p>
    <w:p w14:paraId="2D98B99E" w14:textId="77777777" w:rsidR="00905AA0" w:rsidRPr="00905AA0" w:rsidRDefault="00905AA0" w:rsidP="00905AA0">
      <w:pPr>
        <w:spacing w:line="360" w:lineRule="auto"/>
        <w:rPr>
          <w:rFonts w:ascii="Arial" w:hAnsi="Arial" w:cs="Arial"/>
        </w:rPr>
      </w:pPr>
      <w:r w:rsidRPr="00905AA0">
        <w:rPr>
          <w:rFonts w:ascii="Arial" w:hAnsi="Arial" w:cs="Arial"/>
        </w:rPr>
        <w:t>In conclusion, HR managers must adopt a strategic, flexible, and forward-thinking approach to effectively respond to environmental challenges. Their ability to adapt to continuous change will be critical in ensuring long-term organisational success in an increasingly complex global environment.</w:t>
      </w:r>
    </w:p>
    <w:p w14:paraId="5715AF80" w14:textId="77777777" w:rsidR="00905AA0" w:rsidRPr="00905AA0" w:rsidRDefault="00905AA0" w:rsidP="00905AA0">
      <w:pPr>
        <w:spacing w:line="360" w:lineRule="auto"/>
        <w:rPr>
          <w:rFonts w:ascii="Arial" w:hAnsi="Arial" w:cs="Arial"/>
        </w:rPr>
      </w:pPr>
    </w:p>
    <w:p w14:paraId="75FA97D0" w14:textId="77777777" w:rsidR="00905AA0" w:rsidRPr="00905AA0" w:rsidRDefault="00905AA0" w:rsidP="00905AA0">
      <w:pPr>
        <w:spacing w:line="360" w:lineRule="auto"/>
        <w:rPr>
          <w:rFonts w:ascii="Arial" w:hAnsi="Arial" w:cs="Arial"/>
        </w:rPr>
      </w:pPr>
      <w:r w:rsidRPr="00905AA0">
        <w:rPr>
          <w:rFonts w:ascii="Arial" w:hAnsi="Arial" w:cs="Arial"/>
        </w:rPr>
        <w:t xml:space="preserve"> </w:t>
      </w:r>
    </w:p>
    <w:p w14:paraId="6D8FAD9F" w14:textId="77777777" w:rsidR="00905AA0" w:rsidRPr="00905AA0" w:rsidRDefault="00905AA0" w:rsidP="00905AA0">
      <w:pPr>
        <w:spacing w:line="360" w:lineRule="auto"/>
        <w:rPr>
          <w:rFonts w:ascii="Arial" w:eastAsiaTheme="majorEastAsia" w:hAnsi="Arial" w:cs="Arial"/>
          <w:color w:val="0F4761" w:themeColor="accent1" w:themeShade="BF"/>
        </w:rPr>
      </w:pPr>
      <w:r w:rsidRPr="00905AA0">
        <w:rPr>
          <w:rFonts w:ascii="Arial" w:hAnsi="Arial" w:cs="Arial"/>
        </w:rPr>
        <w:br w:type="page"/>
      </w:r>
    </w:p>
    <w:p w14:paraId="299F105B" w14:textId="5F5F7EC8" w:rsidR="00905AA0" w:rsidRPr="00BE0546" w:rsidRDefault="00905AA0" w:rsidP="00905AA0">
      <w:pPr>
        <w:pStyle w:val="Heading1"/>
        <w:spacing w:line="360" w:lineRule="auto"/>
        <w:rPr>
          <w:rFonts w:ascii="Arial" w:hAnsi="Arial" w:cs="Arial"/>
          <w:b/>
          <w:bCs/>
          <w:sz w:val="22"/>
          <w:szCs w:val="22"/>
        </w:rPr>
      </w:pPr>
      <w:bookmarkStart w:id="12" w:name="_Toc228383846"/>
      <w:r w:rsidRPr="00BE0546">
        <w:rPr>
          <w:rFonts w:ascii="Arial" w:hAnsi="Arial" w:cs="Arial"/>
          <w:b/>
          <w:bCs/>
          <w:sz w:val="22"/>
          <w:szCs w:val="22"/>
        </w:rPr>
        <w:lastRenderedPageBreak/>
        <w:t>References</w:t>
      </w:r>
      <w:bookmarkEnd w:id="12"/>
      <w:r w:rsidRPr="00BE0546">
        <w:rPr>
          <w:rFonts w:ascii="Arial" w:hAnsi="Arial" w:cs="Arial"/>
          <w:b/>
          <w:bCs/>
          <w:sz w:val="22"/>
          <w:szCs w:val="22"/>
        </w:rPr>
        <w:t xml:space="preserve"> </w:t>
      </w:r>
    </w:p>
    <w:p w14:paraId="56434E65" w14:textId="16FF698C" w:rsidR="00905AA0" w:rsidRPr="00905AA0" w:rsidRDefault="00905AA0" w:rsidP="00905AA0">
      <w:pPr>
        <w:spacing w:line="360" w:lineRule="auto"/>
        <w:rPr>
          <w:rFonts w:ascii="Arial" w:hAnsi="Arial" w:cs="Arial"/>
        </w:rPr>
      </w:pPr>
      <w:r w:rsidRPr="00905AA0">
        <w:rPr>
          <w:rFonts w:ascii="Arial" w:hAnsi="Arial" w:cs="Arial"/>
        </w:rPr>
        <w:t>Porter, M.E. (2008) ‘The five competitive forces that shape strategy’, Harvard Business Review.</w:t>
      </w:r>
      <w:r w:rsidR="0033064F">
        <w:rPr>
          <w:rFonts w:ascii="Arial" w:hAnsi="Arial" w:cs="Arial"/>
        </w:rPr>
        <w:t xml:space="preserve"> </w:t>
      </w:r>
      <w:r w:rsidRPr="00905AA0">
        <w:rPr>
          <w:rFonts w:ascii="Arial" w:hAnsi="Arial" w:cs="Arial"/>
        </w:rPr>
        <w:t>https://hbr.org/2008/01/the-five-competitive-forces-that-shape-strategy</w:t>
      </w:r>
    </w:p>
    <w:p w14:paraId="6F2362A3" w14:textId="72E88331" w:rsidR="00905AA0" w:rsidRPr="00905AA0" w:rsidRDefault="00905AA0" w:rsidP="00905AA0">
      <w:pPr>
        <w:spacing w:line="360" w:lineRule="auto"/>
        <w:rPr>
          <w:rFonts w:ascii="Arial" w:hAnsi="Arial" w:cs="Arial"/>
        </w:rPr>
      </w:pPr>
      <w:r w:rsidRPr="00905AA0">
        <w:rPr>
          <w:rFonts w:ascii="Arial" w:hAnsi="Arial" w:cs="Arial"/>
        </w:rPr>
        <w:t xml:space="preserve">Crawshaw, J., Davis, A. and </w:t>
      </w:r>
      <w:proofErr w:type="spellStart"/>
      <w:r w:rsidRPr="00905AA0">
        <w:rPr>
          <w:rFonts w:ascii="Arial" w:hAnsi="Arial" w:cs="Arial"/>
        </w:rPr>
        <w:t>Budhwar</w:t>
      </w:r>
      <w:proofErr w:type="spellEnd"/>
      <w:r w:rsidRPr="00905AA0">
        <w:rPr>
          <w:rFonts w:ascii="Arial" w:hAnsi="Arial" w:cs="Arial"/>
        </w:rPr>
        <w:t>, P. (2023) Human resource management: Strategic and international perspectives. https://www.torrossa.com/it/resources/an/5909071</w:t>
      </w:r>
    </w:p>
    <w:p w14:paraId="3B8C0146" w14:textId="6BCB577F" w:rsidR="00905AA0" w:rsidRPr="00905AA0" w:rsidRDefault="00905AA0" w:rsidP="00905AA0">
      <w:pPr>
        <w:spacing w:line="360" w:lineRule="auto"/>
        <w:rPr>
          <w:rFonts w:ascii="Arial" w:hAnsi="Arial" w:cs="Arial"/>
        </w:rPr>
      </w:pPr>
      <w:r w:rsidRPr="00905AA0">
        <w:rPr>
          <w:rFonts w:ascii="Arial" w:hAnsi="Arial" w:cs="Arial"/>
        </w:rPr>
        <w:t>Armstrong, M. (2024) Armstrong's handbook of strategic human resource management. https://books.google.com/books?id=USgyEQAAQBAJ</w:t>
      </w:r>
    </w:p>
    <w:p w14:paraId="0519B03A" w14:textId="00E4FD05" w:rsidR="00905AA0" w:rsidRPr="00905AA0" w:rsidRDefault="00905AA0" w:rsidP="00905AA0">
      <w:pPr>
        <w:spacing w:line="360" w:lineRule="auto"/>
        <w:rPr>
          <w:rFonts w:ascii="Arial" w:hAnsi="Arial" w:cs="Arial"/>
        </w:rPr>
      </w:pPr>
      <w:r w:rsidRPr="00905AA0">
        <w:rPr>
          <w:rFonts w:ascii="Arial" w:hAnsi="Arial" w:cs="Arial"/>
        </w:rPr>
        <w:t>Kew, J. and Stredwick, J. (2016) Human resource management in a business context. https://books.google.com/books?id=2ezcDgAAQBAJ</w:t>
      </w:r>
    </w:p>
    <w:p w14:paraId="458A53B9" w14:textId="77CFFB34" w:rsidR="00905AA0" w:rsidRPr="00905AA0" w:rsidRDefault="00905AA0" w:rsidP="00905AA0">
      <w:pPr>
        <w:spacing w:line="360" w:lineRule="auto"/>
        <w:rPr>
          <w:rFonts w:ascii="Arial" w:hAnsi="Arial" w:cs="Arial"/>
        </w:rPr>
      </w:pPr>
      <w:r w:rsidRPr="00905AA0">
        <w:rPr>
          <w:rFonts w:ascii="Arial" w:hAnsi="Arial" w:cs="Arial"/>
        </w:rPr>
        <w:t>Leech, C. (2007) Managing performance. https://api.taylorfrancis.com/content/books/mono/download?identifierName=doi&amp;identifierValue=10.4324/9780080554129&amp;type=googlepdf</w:t>
      </w:r>
    </w:p>
    <w:p w14:paraId="66BAB1F4" w14:textId="5C6A5F1E" w:rsidR="00905AA0" w:rsidRPr="00905AA0" w:rsidRDefault="00905AA0" w:rsidP="00905AA0">
      <w:pPr>
        <w:spacing w:line="360" w:lineRule="auto"/>
        <w:rPr>
          <w:rFonts w:ascii="Arial" w:hAnsi="Arial" w:cs="Arial"/>
        </w:rPr>
      </w:pPr>
      <w:r w:rsidRPr="00905AA0">
        <w:rPr>
          <w:rFonts w:ascii="Arial" w:hAnsi="Arial" w:cs="Arial"/>
        </w:rPr>
        <w:t>Sergio, R., Dungca, A. and Caranto, M.M. (2022) DP World’s agile people management strategy. https://books.google.com/books?id=FhFlEAAAQBAJ</w:t>
      </w:r>
    </w:p>
    <w:p w14:paraId="2349BE00" w14:textId="1CA0B5C7" w:rsidR="00905AA0" w:rsidRPr="00905AA0" w:rsidRDefault="00905AA0" w:rsidP="00905AA0">
      <w:pPr>
        <w:spacing w:line="360" w:lineRule="auto"/>
        <w:rPr>
          <w:rFonts w:ascii="Arial" w:hAnsi="Arial" w:cs="Arial"/>
        </w:rPr>
      </w:pPr>
      <w:proofErr w:type="spellStart"/>
      <w:r w:rsidRPr="00905AA0">
        <w:rPr>
          <w:rFonts w:ascii="Arial" w:hAnsi="Arial" w:cs="Arial"/>
        </w:rPr>
        <w:t>Anastasiu</w:t>
      </w:r>
      <w:proofErr w:type="spellEnd"/>
      <w:r w:rsidRPr="00905AA0">
        <w:rPr>
          <w:rFonts w:ascii="Arial" w:hAnsi="Arial" w:cs="Arial"/>
        </w:rPr>
        <w:t xml:space="preserve">, L., </w:t>
      </w:r>
      <w:proofErr w:type="spellStart"/>
      <w:r w:rsidRPr="00905AA0">
        <w:rPr>
          <w:rFonts w:ascii="Arial" w:hAnsi="Arial" w:cs="Arial"/>
        </w:rPr>
        <w:t>Gavriş</w:t>
      </w:r>
      <w:proofErr w:type="spellEnd"/>
      <w:r w:rsidRPr="00905AA0">
        <w:rPr>
          <w:rFonts w:ascii="Arial" w:hAnsi="Arial" w:cs="Arial"/>
        </w:rPr>
        <w:t>, O. and Maier, D. (2020) ‘Is human capital ready for change?’, Sustainability, 12(6). https://www.mdpi.com/2071-1050/12/6/2300</w:t>
      </w:r>
    </w:p>
    <w:p w14:paraId="5F0AD01A" w14:textId="2295CA21" w:rsidR="00905AA0" w:rsidRPr="00905AA0" w:rsidRDefault="00905AA0" w:rsidP="00905AA0">
      <w:pPr>
        <w:spacing w:line="360" w:lineRule="auto"/>
        <w:rPr>
          <w:rFonts w:ascii="Arial" w:hAnsi="Arial" w:cs="Arial"/>
        </w:rPr>
      </w:pPr>
      <w:r w:rsidRPr="00905AA0">
        <w:rPr>
          <w:rFonts w:ascii="Arial" w:hAnsi="Arial" w:cs="Arial"/>
        </w:rPr>
        <w:t>Sparrow, P., Brewster, C. and Chung, C. (2016) Globalizing human resource management. https://www.academia.edu/download/61340970/Buku_Globalzing_Human_Resource_Management_120191126-100521-mj4b9v.pdf</w:t>
      </w:r>
    </w:p>
    <w:p w14:paraId="3CDE67F0" w14:textId="2C5A6307" w:rsidR="00905AA0" w:rsidRPr="00905AA0" w:rsidRDefault="00905AA0" w:rsidP="00905AA0">
      <w:pPr>
        <w:spacing w:line="360" w:lineRule="auto"/>
        <w:rPr>
          <w:rFonts w:ascii="Arial" w:hAnsi="Arial" w:cs="Arial"/>
        </w:rPr>
      </w:pPr>
      <w:r w:rsidRPr="00905AA0">
        <w:rPr>
          <w:rFonts w:ascii="Arial" w:hAnsi="Arial" w:cs="Arial"/>
        </w:rPr>
        <w:t>Carroll, A. (2022) HR strategy in the logistics industry. https://norma.ncirl.ie/5300/1/amandacarroll.pdf</w:t>
      </w:r>
    </w:p>
    <w:p w14:paraId="3B462AA5" w14:textId="4D9370C7" w:rsidR="00905AA0" w:rsidRPr="00905AA0" w:rsidRDefault="00905AA0" w:rsidP="00905AA0">
      <w:pPr>
        <w:spacing w:line="360" w:lineRule="auto"/>
        <w:rPr>
          <w:rFonts w:ascii="Arial" w:hAnsi="Arial" w:cs="Arial"/>
        </w:rPr>
      </w:pPr>
      <w:proofErr w:type="spellStart"/>
      <w:r w:rsidRPr="00905AA0">
        <w:rPr>
          <w:rFonts w:ascii="Arial" w:hAnsi="Arial" w:cs="Arial"/>
        </w:rPr>
        <w:t>Pareekh</w:t>
      </w:r>
      <w:proofErr w:type="spellEnd"/>
      <w:r w:rsidRPr="00905AA0">
        <w:rPr>
          <w:rFonts w:ascii="Arial" w:hAnsi="Arial" w:cs="Arial"/>
        </w:rPr>
        <w:t>, S. (2025) Human resource management in the global era. https://books.google.com/books?id=G7pqEQAAQBAJ</w:t>
      </w:r>
    </w:p>
    <w:p w14:paraId="0DDEC839" w14:textId="7CCFDE63" w:rsidR="00905AA0" w:rsidRPr="00905AA0" w:rsidRDefault="00905AA0" w:rsidP="00905AA0">
      <w:pPr>
        <w:spacing w:line="360" w:lineRule="auto"/>
        <w:rPr>
          <w:rFonts w:ascii="Arial" w:hAnsi="Arial" w:cs="Arial"/>
        </w:rPr>
      </w:pPr>
      <w:r w:rsidRPr="00905AA0">
        <w:rPr>
          <w:rFonts w:ascii="Arial" w:hAnsi="Arial" w:cs="Arial"/>
        </w:rPr>
        <w:t>Boselie, P. and Van der Heijden, B. (2024) Strategic human resource management. https://books.google.com/books?id=FxIGEQAAQBAJ</w:t>
      </w:r>
    </w:p>
    <w:p w14:paraId="0F0F14A7" w14:textId="731EB9EE" w:rsidR="00F14EED" w:rsidRPr="00905AA0" w:rsidRDefault="00905AA0" w:rsidP="00905AA0">
      <w:pPr>
        <w:spacing w:line="360" w:lineRule="auto"/>
        <w:rPr>
          <w:rFonts w:ascii="Arial" w:hAnsi="Arial" w:cs="Arial"/>
        </w:rPr>
      </w:pPr>
      <w:r w:rsidRPr="00905AA0">
        <w:rPr>
          <w:rFonts w:ascii="Arial" w:hAnsi="Arial" w:cs="Arial"/>
        </w:rPr>
        <w:t xml:space="preserve">O’Brien, C., Li, Z., </w:t>
      </w:r>
      <w:proofErr w:type="spellStart"/>
      <w:r w:rsidRPr="00905AA0">
        <w:rPr>
          <w:rFonts w:ascii="Arial" w:hAnsi="Arial" w:cs="Arial"/>
        </w:rPr>
        <w:t>Adotey</w:t>
      </w:r>
      <w:proofErr w:type="spellEnd"/>
      <w:r w:rsidRPr="00905AA0">
        <w:rPr>
          <w:rFonts w:ascii="Arial" w:hAnsi="Arial" w:cs="Arial"/>
        </w:rPr>
        <w:t>, P.B. and Yohuno, G. (2025) ‘Digital transformation in HRM’, Current Psychology. https://link.springer.com/article/10.1007/s12144-025-08064-8</w:t>
      </w:r>
    </w:p>
    <w:sectPr w:rsidR="00F14EED" w:rsidRPr="00905AA0" w:rsidSect="00905AA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241DC" w14:textId="77777777" w:rsidR="00651C3F" w:rsidRDefault="00651C3F" w:rsidP="00905AA0">
      <w:pPr>
        <w:spacing w:after="0" w:line="240" w:lineRule="auto"/>
      </w:pPr>
      <w:r>
        <w:separator/>
      </w:r>
    </w:p>
  </w:endnote>
  <w:endnote w:type="continuationSeparator" w:id="0">
    <w:p w14:paraId="0E1E9290" w14:textId="77777777" w:rsidR="00651C3F" w:rsidRDefault="00651C3F" w:rsidP="00905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419012"/>
      <w:docPartObj>
        <w:docPartGallery w:val="Page Numbers (Bottom of Page)"/>
        <w:docPartUnique/>
      </w:docPartObj>
    </w:sdtPr>
    <w:sdtEndPr>
      <w:rPr>
        <w:noProof/>
      </w:rPr>
    </w:sdtEndPr>
    <w:sdtContent>
      <w:p w14:paraId="66A1FD94" w14:textId="39847128" w:rsidR="00905AA0" w:rsidRDefault="00905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B96224" w14:textId="77777777" w:rsidR="00905AA0" w:rsidRDefault="00905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034D0" w14:textId="77777777" w:rsidR="00651C3F" w:rsidRDefault="00651C3F" w:rsidP="00905AA0">
      <w:pPr>
        <w:spacing w:after="0" w:line="240" w:lineRule="auto"/>
      </w:pPr>
      <w:r>
        <w:separator/>
      </w:r>
    </w:p>
  </w:footnote>
  <w:footnote w:type="continuationSeparator" w:id="0">
    <w:p w14:paraId="37B2A7F5" w14:textId="77777777" w:rsidR="00651C3F" w:rsidRDefault="00651C3F" w:rsidP="00905A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F0711"/>
    <w:multiLevelType w:val="multilevel"/>
    <w:tmpl w:val="7D302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460EE4"/>
    <w:multiLevelType w:val="multilevel"/>
    <w:tmpl w:val="CB7AB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E2104"/>
    <w:multiLevelType w:val="multilevel"/>
    <w:tmpl w:val="9CD6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5910F7"/>
    <w:multiLevelType w:val="multilevel"/>
    <w:tmpl w:val="F21CA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714298"/>
    <w:multiLevelType w:val="multilevel"/>
    <w:tmpl w:val="E0E2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1699134">
    <w:abstractNumId w:val="1"/>
  </w:num>
  <w:num w:numId="2" w16cid:durableId="1931740787">
    <w:abstractNumId w:val="3"/>
  </w:num>
  <w:num w:numId="3" w16cid:durableId="1481994999">
    <w:abstractNumId w:val="0"/>
  </w:num>
  <w:num w:numId="4" w16cid:durableId="564529361">
    <w:abstractNumId w:val="2"/>
  </w:num>
  <w:num w:numId="5" w16cid:durableId="1904215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535"/>
    <w:rsid w:val="00060EB1"/>
    <w:rsid w:val="000B09EF"/>
    <w:rsid w:val="00296263"/>
    <w:rsid w:val="0033064F"/>
    <w:rsid w:val="00396315"/>
    <w:rsid w:val="00490FA4"/>
    <w:rsid w:val="004F6750"/>
    <w:rsid w:val="0052241B"/>
    <w:rsid w:val="00570EBE"/>
    <w:rsid w:val="00651C3F"/>
    <w:rsid w:val="008C39D3"/>
    <w:rsid w:val="00905AA0"/>
    <w:rsid w:val="00977535"/>
    <w:rsid w:val="0098291A"/>
    <w:rsid w:val="00992FF4"/>
    <w:rsid w:val="009D3C15"/>
    <w:rsid w:val="00A6629D"/>
    <w:rsid w:val="00B8201F"/>
    <w:rsid w:val="00BE0546"/>
    <w:rsid w:val="00E67B12"/>
    <w:rsid w:val="00E85A47"/>
    <w:rsid w:val="00EA2203"/>
    <w:rsid w:val="00EC6C33"/>
    <w:rsid w:val="00F14EED"/>
    <w:rsid w:val="00FC1BFD"/>
    <w:rsid w:val="00FD7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B85F7"/>
  <w15:chartTrackingRefBased/>
  <w15:docId w15:val="{5237A60D-1AD3-46DC-882B-D9815B369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AA0"/>
  </w:style>
  <w:style w:type="paragraph" w:styleId="Heading1">
    <w:name w:val="heading 1"/>
    <w:basedOn w:val="Normal"/>
    <w:next w:val="Normal"/>
    <w:link w:val="Heading1Char"/>
    <w:uiPriority w:val="9"/>
    <w:qFormat/>
    <w:rsid w:val="00977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7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7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535"/>
    <w:rPr>
      <w:rFonts w:eastAsiaTheme="majorEastAsia" w:cstheme="majorBidi"/>
      <w:color w:val="272727" w:themeColor="text1" w:themeTint="D8"/>
    </w:rPr>
  </w:style>
  <w:style w:type="paragraph" w:styleId="Title">
    <w:name w:val="Title"/>
    <w:basedOn w:val="Normal"/>
    <w:next w:val="Normal"/>
    <w:link w:val="TitleChar"/>
    <w:uiPriority w:val="10"/>
    <w:qFormat/>
    <w:rsid w:val="00977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535"/>
    <w:pPr>
      <w:spacing w:before="160"/>
      <w:jc w:val="center"/>
    </w:pPr>
    <w:rPr>
      <w:i/>
      <w:iCs/>
      <w:color w:val="404040" w:themeColor="text1" w:themeTint="BF"/>
    </w:rPr>
  </w:style>
  <w:style w:type="character" w:customStyle="1" w:styleId="QuoteChar">
    <w:name w:val="Quote Char"/>
    <w:basedOn w:val="DefaultParagraphFont"/>
    <w:link w:val="Quote"/>
    <w:uiPriority w:val="29"/>
    <w:rsid w:val="00977535"/>
    <w:rPr>
      <w:i/>
      <w:iCs/>
      <w:color w:val="404040" w:themeColor="text1" w:themeTint="BF"/>
    </w:rPr>
  </w:style>
  <w:style w:type="paragraph" w:styleId="ListParagraph">
    <w:name w:val="List Paragraph"/>
    <w:basedOn w:val="Normal"/>
    <w:uiPriority w:val="34"/>
    <w:qFormat/>
    <w:rsid w:val="00977535"/>
    <w:pPr>
      <w:ind w:left="720"/>
      <w:contextualSpacing/>
    </w:pPr>
  </w:style>
  <w:style w:type="character" w:styleId="IntenseEmphasis">
    <w:name w:val="Intense Emphasis"/>
    <w:basedOn w:val="DefaultParagraphFont"/>
    <w:uiPriority w:val="21"/>
    <w:qFormat/>
    <w:rsid w:val="00977535"/>
    <w:rPr>
      <w:i/>
      <w:iCs/>
      <w:color w:val="0F4761" w:themeColor="accent1" w:themeShade="BF"/>
    </w:rPr>
  </w:style>
  <w:style w:type="paragraph" w:styleId="IntenseQuote">
    <w:name w:val="Intense Quote"/>
    <w:basedOn w:val="Normal"/>
    <w:next w:val="Normal"/>
    <w:link w:val="IntenseQuoteChar"/>
    <w:uiPriority w:val="30"/>
    <w:qFormat/>
    <w:rsid w:val="00977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535"/>
    <w:rPr>
      <w:i/>
      <w:iCs/>
      <w:color w:val="0F4761" w:themeColor="accent1" w:themeShade="BF"/>
    </w:rPr>
  </w:style>
  <w:style w:type="character" w:styleId="IntenseReference">
    <w:name w:val="Intense Reference"/>
    <w:basedOn w:val="DefaultParagraphFont"/>
    <w:uiPriority w:val="32"/>
    <w:qFormat/>
    <w:rsid w:val="00977535"/>
    <w:rPr>
      <w:b/>
      <w:bCs/>
      <w:smallCaps/>
      <w:color w:val="0F4761" w:themeColor="accent1" w:themeShade="BF"/>
      <w:spacing w:val="5"/>
    </w:rPr>
  </w:style>
  <w:style w:type="character" w:styleId="Hyperlink">
    <w:name w:val="Hyperlink"/>
    <w:basedOn w:val="DefaultParagraphFont"/>
    <w:uiPriority w:val="99"/>
    <w:unhideWhenUsed/>
    <w:rsid w:val="00E67B12"/>
    <w:rPr>
      <w:color w:val="467886" w:themeColor="hyperlink"/>
      <w:u w:val="single"/>
    </w:rPr>
  </w:style>
  <w:style w:type="character" w:styleId="UnresolvedMention">
    <w:name w:val="Unresolved Mention"/>
    <w:basedOn w:val="DefaultParagraphFont"/>
    <w:uiPriority w:val="99"/>
    <w:semiHidden/>
    <w:unhideWhenUsed/>
    <w:rsid w:val="00E67B12"/>
    <w:rPr>
      <w:color w:val="605E5C"/>
      <w:shd w:val="clear" w:color="auto" w:fill="E1DFDD"/>
    </w:rPr>
  </w:style>
  <w:style w:type="paragraph" w:styleId="TOCHeading">
    <w:name w:val="TOC Heading"/>
    <w:basedOn w:val="Heading1"/>
    <w:next w:val="Normal"/>
    <w:uiPriority w:val="39"/>
    <w:unhideWhenUsed/>
    <w:qFormat/>
    <w:rsid w:val="00905AA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05AA0"/>
    <w:pPr>
      <w:spacing w:after="100"/>
    </w:pPr>
  </w:style>
  <w:style w:type="paragraph" w:styleId="TOC2">
    <w:name w:val="toc 2"/>
    <w:basedOn w:val="Normal"/>
    <w:next w:val="Normal"/>
    <w:autoRedefine/>
    <w:uiPriority w:val="39"/>
    <w:unhideWhenUsed/>
    <w:rsid w:val="00905AA0"/>
    <w:pPr>
      <w:spacing w:after="100"/>
      <w:ind w:left="220"/>
    </w:pPr>
  </w:style>
  <w:style w:type="paragraph" w:styleId="Header">
    <w:name w:val="header"/>
    <w:basedOn w:val="Normal"/>
    <w:link w:val="HeaderChar"/>
    <w:uiPriority w:val="99"/>
    <w:unhideWhenUsed/>
    <w:rsid w:val="00905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AA0"/>
  </w:style>
  <w:style w:type="paragraph" w:styleId="Footer">
    <w:name w:val="footer"/>
    <w:basedOn w:val="Normal"/>
    <w:link w:val="FooterChar"/>
    <w:uiPriority w:val="99"/>
    <w:unhideWhenUsed/>
    <w:rsid w:val="00905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30285">
      <w:bodyDiv w:val="1"/>
      <w:marLeft w:val="0"/>
      <w:marRight w:val="0"/>
      <w:marTop w:val="0"/>
      <w:marBottom w:val="0"/>
      <w:divBdr>
        <w:top w:val="none" w:sz="0" w:space="0" w:color="auto"/>
        <w:left w:val="none" w:sz="0" w:space="0" w:color="auto"/>
        <w:bottom w:val="none" w:sz="0" w:space="0" w:color="auto"/>
        <w:right w:val="none" w:sz="0" w:space="0" w:color="auto"/>
      </w:divBdr>
    </w:div>
    <w:div w:id="464012598">
      <w:bodyDiv w:val="1"/>
      <w:marLeft w:val="0"/>
      <w:marRight w:val="0"/>
      <w:marTop w:val="0"/>
      <w:marBottom w:val="0"/>
      <w:divBdr>
        <w:top w:val="none" w:sz="0" w:space="0" w:color="auto"/>
        <w:left w:val="none" w:sz="0" w:space="0" w:color="auto"/>
        <w:bottom w:val="none" w:sz="0" w:space="0" w:color="auto"/>
        <w:right w:val="none" w:sz="0" w:space="0" w:color="auto"/>
      </w:divBdr>
    </w:div>
    <w:div w:id="509105170">
      <w:bodyDiv w:val="1"/>
      <w:marLeft w:val="0"/>
      <w:marRight w:val="0"/>
      <w:marTop w:val="0"/>
      <w:marBottom w:val="0"/>
      <w:divBdr>
        <w:top w:val="none" w:sz="0" w:space="0" w:color="auto"/>
        <w:left w:val="none" w:sz="0" w:space="0" w:color="auto"/>
        <w:bottom w:val="none" w:sz="0" w:space="0" w:color="auto"/>
        <w:right w:val="none" w:sz="0" w:space="0" w:color="auto"/>
      </w:divBdr>
    </w:div>
    <w:div w:id="179728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D2264-B1C6-4CF1-8726-7CABAEABC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1</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11</cp:revision>
  <dcterms:created xsi:type="dcterms:W3CDTF">2025-07-02T22:34:00Z</dcterms:created>
  <dcterms:modified xsi:type="dcterms:W3CDTF">2026-04-29T18:36:00Z</dcterms:modified>
</cp:coreProperties>
</file>