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3D960D0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BA3BAD">
        <w:rPr>
          <w:rFonts w:asciiTheme="minorBidi" w:hAnsiTheme="minorBidi"/>
          <w:b/>
          <w:sz w:val="48"/>
          <w:szCs w:val="48"/>
        </w:rPr>
        <w:t xml:space="preserve"> Rachel James </w:t>
      </w:r>
    </w:p>
    <w:p w14:paraId="1B6CEBE0" w14:textId="7B8EAF26"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BA3BAD">
        <w:rPr>
          <w:rFonts w:asciiTheme="minorBidi" w:hAnsiTheme="minorBidi"/>
          <w:b/>
          <w:sz w:val="48"/>
          <w:szCs w:val="48"/>
        </w:rPr>
        <w:t xml:space="preserve"> 2421308</w:t>
      </w:r>
    </w:p>
    <w:p w14:paraId="3CA1AB6B" w14:textId="77B05B5B"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
          <w:sz w:val="48"/>
          <w:szCs w:val="48"/>
        </w:rPr>
        <w:br/>
        <w:t xml:space="preserve">Deadline: </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p>
    <w:p w14:paraId="5E6295B9" w14:textId="2BE23EF0" w:rsidR="00C963C3" w:rsidRPr="00BA3BAD" w:rsidRDefault="00C963C3" w:rsidP="00BA3BAD">
      <w:pPr>
        <w:rPr>
          <w:rFonts w:ascii="Arial" w:hAnsi="Arial" w:cs="Arial"/>
          <w:b/>
          <w:bCs/>
        </w:rPr>
      </w:pPr>
      <w:r w:rsidRPr="009F24C9">
        <w:rPr>
          <w:rFonts w:ascii="Arial" w:hAnsi="Arial" w:cs="Arial"/>
          <w:b/>
          <w:bCs/>
        </w:rPr>
        <w:lastRenderedPageBreak/>
        <w:t>AI Acknowledgement</w:t>
      </w: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06809295"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r w:rsidR="00754DEE">
            <w:t>-6</w:t>
          </w:r>
        </w:p>
        <w:p w14:paraId="65348511" w14:textId="181F0D51"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sidR="00C11B57">
              <w:rPr>
                <w:noProof/>
                <w:webHidden/>
              </w:rPr>
              <w:t>7-</w:t>
            </w:r>
          </w:hyperlink>
          <w:r w:rsidR="00C11B57">
            <w:t>9</w:t>
          </w:r>
        </w:p>
        <w:p w14:paraId="2AE1D1FE" w14:textId="770AE78F"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sidR="00C11B57">
              <w:rPr>
                <w:noProof/>
                <w:webHidden/>
              </w:rPr>
              <w:t>11</w:t>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77777777" w:rsidR="00C963C3" w:rsidRPr="009F24C9" w:rsidRDefault="00C963C3" w:rsidP="00C963C3">
      <w:pPr>
        <w:pStyle w:val="Heading1"/>
        <w:rPr>
          <w:rFonts w:ascii="Arial" w:hAnsi="Arial" w:cs="Arial"/>
        </w:rPr>
      </w:pPr>
      <w:bookmarkStart w:id="0" w:name="_Toc218876933"/>
      <w:r w:rsidRPr="009F24C9">
        <w:rPr>
          <w:rFonts w:ascii="Arial" w:hAnsi="Arial" w:cs="Arial"/>
        </w:rPr>
        <w:lastRenderedPageBreak/>
        <w:t>Component 1 – Development of Academic Skills (500 words)</w:t>
      </w:r>
      <w:bookmarkEnd w:id="0"/>
    </w:p>
    <w:p w14:paraId="79AB740A" w14:textId="77777777" w:rsidR="00BA3BAD" w:rsidRDefault="00BA3BAD" w:rsidP="00C963C3">
      <w:pPr>
        <w:rPr>
          <w:rFonts w:ascii="Arial" w:hAnsi="Arial" w:cs="Arial"/>
          <w:i/>
          <w:iCs/>
        </w:rPr>
      </w:pPr>
    </w:p>
    <w:p w14:paraId="1BBF1C4A" w14:textId="43E93212" w:rsidR="00BA3BAD" w:rsidRPr="00BA3BAD" w:rsidRDefault="00BA3BAD" w:rsidP="00BA3BAD">
      <w:pPr>
        <w:rPr>
          <w:rFonts w:ascii="Arial" w:hAnsi="Arial" w:cs="Arial"/>
          <w:b/>
          <w:bCs/>
        </w:rPr>
      </w:pPr>
      <w:r w:rsidRPr="00BA3BAD">
        <w:rPr>
          <w:rFonts w:ascii="Arial" w:hAnsi="Arial" w:cs="Arial"/>
          <w:b/>
          <w:bCs/>
        </w:rPr>
        <w:t>Evaluating Academic Sources Using the CRAAP Test</w:t>
      </w:r>
    </w:p>
    <w:p w14:paraId="3E3694C8" w14:textId="3DBAD77A" w:rsidR="00BA3BAD" w:rsidRPr="00CA655A" w:rsidRDefault="00BA3BAD" w:rsidP="00BA3BAD">
      <w:pPr>
        <w:rPr>
          <w:rFonts w:ascii="Arial" w:hAnsi="Arial" w:cs="Arial"/>
          <w:u w:val="single"/>
        </w:rPr>
      </w:pPr>
      <w:r w:rsidRPr="00CA655A">
        <w:rPr>
          <w:rFonts w:ascii="Arial" w:hAnsi="Arial" w:cs="Arial"/>
          <w:u w:val="single"/>
        </w:rPr>
        <w:t>Source 1</w:t>
      </w:r>
    </w:p>
    <w:p w14:paraId="62FB8EB3" w14:textId="4E58BF97" w:rsidR="00BA3BAD" w:rsidRPr="00BA3BAD" w:rsidRDefault="00BA3BAD" w:rsidP="00BA3BAD">
      <w:pPr>
        <w:rPr>
          <w:rFonts w:ascii="Arial" w:hAnsi="Arial" w:cs="Arial"/>
        </w:rPr>
      </w:pPr>
      <w:r w:rsidRPr="00BA3BAD">
        <w:rPr>
          <w:rFonts w:ascii="Arial" w:hAnsi="Arial" w:cs="Arial"/>
        </w:rPr>
        <w:t>Author(s) and year:</w:t>
      </w:r>
    </w:p>
    <w:p w14:paraId="08C84A24" w14:textId="5CFC1905" w:rsidR="00BA3BAD" w:rsidRPr="00BA3BAD" w:rsidRDefault="00BA3BAD" w:rsidP="00BA3BAD">
      <w:pPr>
        <w:rPr>
          <w:rFonts w:ascii="Arial" w:hAnsi="Arial" w:cs="Arial"/>
        </w:rPr>
      </w:pPr>
      <w:r w:rsidRPr="00BA3BAD">
        <w:rPr>
          <w:rFonts w:ascii="Arial" w:hAnsi="Arial" w:cs="Arial"/>
        </w:rPr>
        <w:t>Hew and Cheung (2014)</w:t>
      </w:r>
    </w:p>
    <w:p w14:paraId="1D452770" w14:textId="18D275C1" w:rsidR="00BA3BAD" w:rsidRPr="00BA3BAD" w:rsidRDefault="00BA3BAD" w:rsidP="00BA3BAD">
      <w:pPr>
        <w:rPr>
          <w:rFonts w:ascii="Arial" w:hAnsi="Arial" w:cs="Arial"/>
        </w:rPr>
      </w:pPr>
      <w:r w:rsidRPr="00BA3BAD">
        <w:rPr>
          <w:rFonts w:ascii="Arial" w:hAnsi="Arial" w:cs="Arial"/>
        </w:rPr>
        <w:t>Where found:</w:t>
      </w:r>
    </w:p>
    <w:p w14:paraId="55FEA316" w14:textId="21CEE275" w:rsidR="00BA3BAD" w:rsidRPr="00BA3BAD" w:rsidRDefault="00BA3BAD" w:rsidP="00BA3BAD">
      <w:pPr>
        <w:rPr>
          <w:rFonts w:ascii="Arial" w:hAnsi="Arial" w:cs="Arial"/>
        </w:rPr>
      </w:pPr>
      <w:r w:rsidRPr="00BA3BAD">
        <w:rPr>
          <w:rFonts w:ascii="Arial" w:hAnsi="Arial" w:cs="Arial"/>
        </w:rPr>
        <w:t>Google Scholar</w:t>
      </w:r>
    </w:p>
    <w:p w14:paraId="79B85BEA" w14:textId="287168D1" w:rsidR="00BA3BAD" w:rsidRPr="00BA3BAD" w:rsidRDefault="00BA3BAD" w:rsidP="00BA3BAD">
      <w:pPr>
        <w:rPr>
          <w:rFonts w:ascii="Arial" w:hAnsi="Arial" w:cs="Arial"/>
          <w:b/>
          <w:bCs/>
        </w:rPr>
      </w:pPr>
      <w:r w:rsidRPr="00BA3BAD">
        <w:rPr>
          <w:rFonts w:ascii="Arial" w:hAnsi="Arial" w:cs="Arial"/>
          <w:b/>
          <w:bCs/>
        </w:rPr>
        <w:t>CRAAP Evaluation:</w:t>
      </w:r>
    </w:p>
    <w:p w14:paraId="2D1CCAAD" w14:textId="1667D55F" w:rsidR="00BA3BAD" w:rsidRPr="00BA3BAD" w:rsidRDefault="00BA3BAD" w:rsidP="00BA3BAD">
      <w:pPr>
        <w:rPr>
          <w:rFonts w:ascii="Arial" w:hAnsi="Arial" w:cs="Arial"/>
        </w:rPr>
      </w:pPr>
      <w:r w:rsidRPr="00BA3BAD">
        <w:rPr>
          <w:rFonts w:ascii="Arial" w:hAnsi="Arial" w:cs="Arial"/>
        </w:rPr>
        <w:t>• Currency: Published in 2014, it is still useful because it looks at how online learning tools are used in universities, which is still relevant today.</w:t>
      </w:r>
    </w:p>
    <w:p w14:paraId="1C215C54" w14:textId="73A830DF" w:rsidR="00BA3BAD" w:rsidRPr="00BA3BAD" w:rsidRDefault="00BA3BAD" w:rsidP="00BA3BAD">
      <w:pPr>
        <w:rPr>
          <w:rFonts w:ascii="Arial" w:hAnsi="Arial" w:cs="Arial"/>
        </w:rPr>
      </w:pPr>
      <w:r w:rsidRPr="00BA3BAD">
        <w:rPr>
          <w:rFonts w:ascii="Arial" w:hAnsi="Arial" w:cs="Arial"/>
        </w:rPr>
        <w:t>• Relevance: This article is relevant because it studies how technology affects learning, which connects to digital skills in higher education.</w:t>
      </w:r>
    </w:p>
    <w:p w14:paraId="10BCF2C8" w14:textId="12CA3D8E" w:rsidR="00BA3BAD" w:rsidRPr="00BA3BAD" w:rsidRDefault="00BA3BAD" w:rsidP="00BA3BAD">
      <w:pPr>
        <w:rPr>
          <w:rFonts w:ascii="Arial" w:hAnsi="Arial" w:cs="Arial"/>
        </w:rPr>
      </w:pPr>
      <w:r w:rsidRPr="00BA3BAD">
        <w:rPr>
          <w:rFonts w:ascii="Arial" w:hAnsi="Arial" w:cs="Arial"/>
        </w:rPr>
        <w:t>• Authority: Both authors are experienced researchers in education and technology, and the article was published in a peer-reviewed journal.</w:t>
      </w:r>
    </w:p>
    <w:p w14:paraId="035762E9" w14:textId="322A1090" w:rsidR="00BA3BAD" w:rsidRPr="00BA3BAD" w:rsidRDefault="00BA3BAD" w:rsidP="00BA3BAD">
      <w:pPr>
        <w:rPr>
          <w:rFonts w:ascii="Arial" w:hAnsi="Arial" w:cs="Arial"/>
        </w:rPr>
      </w:pPr>
      <w:r w:rsidRPr="00BA3BAD">
        <w:rPr>
          <w:rFonts w:ascii="Arial" w:hAnsi="Arial" w:cs="Arial"/>
        </w:rPr>
        <w:t>• Accuracy: The study reviews many other research papers, giving trustworthy results.</w:t>
      </w:r>
    </w:p>
    <w:p w14:paraId="071AECA2" w14:textId="4A582256" w:rsidR="00BA3BAD" w:rsidRDefault="00BA3BAD" w:rsidP="00BA3BAD">
      <w:pPr>
        <w:rPr>
          <w:rFonts w:ascii="Arial" w:hAnsi="Arial" w:cs="Arial"/>
        </w:rPr>
      </w:pPr>
      <w:r w:rsidRPr="00BA3BAD">
        <w:rPr>
          <w:rFonts w:ascii="Arial" w:hAnsi="Arial" w:cs="Arial"/>
        </w:rPr>
        <w:t>• Purpose: The goal is to inform educators about digital learning tools. It is academic and not trying to sell anything.</w:t>
      </w:r>
    </w:p>
    <w:p w14:paraId="4BB6A863" w14:textId="77777777" w:rsidR="00BA3BAD" w:rsidRPr="00BA3BAD" w:rsidRDefault="00BA3BAD" w:rsidP="00BA3BAD">
      <w:pPr>
        <w:rPr>
          <w:rFonts w:ascii="Arial" w:hAnsi="Arial" w:cs="Arial"/>
        </w:rPr>
      </w:pPr>
    </w:p>
    <w:p w14:paraId="7E25D91F" w14:textId="2ADBB915" w:rsidR="00BA3BAD" w:rsidRPr="00CA655A" w:rsidRDefault="00BA3BAD" w:rsidP="00BA3BAD">
      <w:pPr>
        <w:rPr>
          <w:rFonts w:ascii="Arial" w:hAnsi="Arial" w:cs="Arial"/>
          <w:b/>
          <w:bCs/>
        </w:rPr>
      </w:pPr>
      <w:r w:rsidRPr="00CA655A">
        <w:rPr>
          <w:rFonts w:ascii="Arial" w:hAnsi="Arial" w:cs="Arial"/>
          <w:b/>
          <w:bCs/>
        </w:rPr>
        <w:t>Full reference (Harvard style):</w:t>
      </w:r>
    </w:p>
    <w:p w14:paraId="39CBAA41" w14:textId="4927377E" w:rsidR="00BA3BAD" w:rsidRPr="00BA3BAD" w:rsidRDefault="00BA3BAD" w:rsidP="00BA3BAD">
      <w:pPr>
        <w:rPr>
          <w:rFonts w:ascii="Arial" w:hAnsi="Arial" w:cs="Arial"/>
        </w:rPr>
      </w:pPr>
      <w:r w:rsidRPr="00BA3BAD">
        <w:rPr>
          <w:rFonts w:ascii="Arial" w:hAnsi="Arial" w:cs="Arial"/>
        </w:rPr>
        <w:t>Hew, K.F. and Cheung, W.S., 2014. Students’ and instructors’ use of massive open online courses (MOOCs): Motivations and challenges. Educational Technology &amp; Society, 17(1), pp.101–113.</w:t>
      </w:r>
    </w:p>
    <w:p w14:paraId="599C16C1" w14:textId="4268002E" w:rsidR="00BA3BAD" w:rsidRPr="00CA655A" w:rsidRDefault="00BA3BAD" w:rsidP="00BA3BAD">
      <w:pPr>
        <w:rPr>
          <w:rFonts w:ascii="Arial" w:hAnsi="Arial" w:cs="Arial"/>
          <w:u w:val="single"/>
        </w:rPr>
      </w:pPr>
      <w:r w:rsidRPr="00CA655A">
        <w:rPr>
          <w:rFonts w:ascii="Arial" w:hAnsi="Arial" w:cs="Arial"/>
          <w:u w:val="single"/>
        </w:rPr>
        <w:t>Source 2</w:t>
      </w:r>
    </w:p>
    <w:p w14:paraId="2FB1CA71" w14:textId="33B1ADDF" w:rsidR="00BA3BAD" w:rsidRPr="00BA3BAD" w:rsidRDefault="00BA3BAD" w:rsidP="00BA3BAD">
      <w:pPr>
        <w:rPr>
          <w:rFonts w:ascii="Arial" w:hAnsi="Arial" w:cs="Arial"/>
        </w:rPr>
      </w:pPr>
      <w:r w:rsidRPr="00BA3BAD">
        <w:rPr>
          <w:rFonts w:ascii="Arial" w:hAnsi="Arial" w:cs="Arial"/>
        </w:rPr>
        <w:t>Author(s) and year:</w:t>
      </w:r>
    </w:p>
    <w:p w14:paraId="364D9C23" w14:textId="1A79AE7A" w:rsidR="00BA3BAD" w:rsidRPr="00BA3BAD" w:rsidRDefault="00BA3BAD" w:rsidP="00BA3BAD">
      <w:pPr>
        <w:rPr>
          <w:rFonts w:ascii="Arial" w:hAnsi="Arial" w:cs="Arial"/>
        </w:rPr>
      </w:pPr>
      <w:r w:rsidRPr="00BA3BAD">
        <w:rPr>
          <w:rFonts w:ascii="Arial" w:hAnsi="Arial" w:cs="Arial"/>
        </w:rPr>
        <w:t xml:space="preserve">Martin, F., Polly and </w:t>
      </w:r>
      <w:proofErr w:type="spellStart"/>
      <w:r w:rsidRPr="00BA3BAD">
        <w:rPr>
          <w:rFonts w:ascii="Arial" w:hAnsi="Arial" w:cs="Arial"/>
        </w:rPr>
        <w:t>Ritzhaupt</w:t>
      </w:r>
      <w:proofErr w:type="spellEnd"/>
      <w:r w:rsidRPr="00BA3BAD">
        <w:rPr>
          <w:rFonts w:ascii="Arial" w:hAnsi="Arial" w:cs="Arial"/>
        </w:rPr>
        <w:t xml:space="preserve"> (2020)</w:t>
      </w:r>
    </w:p>
    <w:p w14:paraId="72383A93" w14:textId="782064A4" w:rsidR="00BA3BAD" w:rsidRPr="00BA3BAD" w:rsidRDefault="00BA3BAD" w:rsidP="00BA3BAD">
      <w:pPr>
        <w:rPr>
          <w:rFonts w:ascii="Arial" w:hAnsi="Arial" w:cs="Arial"/>
        </w:rPr>
      </w:pPr>
      <w:r w:rsidRPr="00BA3BAD">
        <w:rPr>
          <w:rFonts w:ascii="Arial" w:hAnsi="Arial" w:cs="Arial"/>
        </w:rPr>
        <w:t>Where found:</w:t>
      </w:r>
    </w:p>
    <w:p w14:paraId="1967FCC2" w14:textId="301A32EC" w:rsidR="00BA3BAD" w:rsidRDefault="00BA3BAD" w:rsidP="00BA3BAD">
      <w:pPr>
        <w:rPr>
          <w:rFonts w:ascii="Arial" w:hAnsi="Arial" w:cs="Arial"/>
        </w:rPr>
      </w:pPr>
      <w:r w:rsidRPr="00BA3BAD">
        <w:rPr>
          <w:rFonts w:ascii="Arial" w:hAnsi="Arial" w:cs="Arial"/>
        </w:rPr>
        <w:t xml:space="preserve">Library database (EBSCOhost) Online </w:t>
      </w:r>
    </w:p>
    <w:p w14:paraId="417E7EEE" w14:textId="77777777" w:rsidR="00CA655A" w:rsidRPr="00BA3BAD" w:rsidRDefault="00CA655A" w:rsidP="00BA3BAD">
      <w:pPr>
        <w:rPr>
          <w:rFonts w:ascii="Arial" w:hAnsi="Arial" w:cs="Arial"/>
        </w:rPr>
      </w:pPr>
    </w:p>
    <w:p w14:paraId="68AE8AEA" w14:textId="60B58E1F" w:rsidR="00BA3BAD" w:rsidRPr="00BA3BAD" w:rsidRDefault="00BA3BAD" w:rsidP="00BA3BAD">
      <w:pPr>
        <w:rPr>
          <w:rFonts w:ascii="Arial" w:hAnsi="Arial" w:cs="Arial"/>
          <w:b/>
          <w:bCs/>
        </w:rPr>
      </w:pPr>
      <w:r w:rsidRPr="00BA3BAD">
        <w:rPr>
          <w:rFonts w:ascii="Arial" w:hAnsi="Arial" w:cs="Arial"/>
          <w:b/>
          <w:bCs/>
        </w:rPr>
        <w:lastRenderedPageBreak/>
        <w:t>CRAAP Evaluation:</w:t>
      </w:r>
    </w:p>
    <w:p w14:paraId="1D2C1C43" w14:textId="3D6EDA32" w:rsidR="00BA3BAD" w:rsidRPr="00BA3BAD" w:rsidRDefault="00BA3BAD" w:rsidP="00BA3BAD">
      <w:pPr>
        <w:rPr>
          <w:rFonts w:ascii="Arial" w:hAnsi="Arial" w:cs="Arial"/>
        </w:rPr>
      </w:pPr>
      <w:r w:rsidRPr="00BA3BAD">
        <w:rPr>
          <w:rFonts w:ascii="Arial" w:hAnsi="Arial" w:cs="Arial"/>
        </w:rPr>
        <w:t>• Currency: Published in 2020, it provides recent information about students’ use of digital learning platforms.</w:t>
      </w:r>
    </w:p>
    <w:p w14:paraId="31BBE6B7" w14:textId="59F23F2F" w:rsidR="00BA3BAD" w:rsidRPr="00BA3BAD" w:rsidRDefault="00BA3BAD" w:rsidP="00BA3BAD">
      <w:pPr>
        <w:rPr>
          <w:rFonts w:ascii="Arial" w:hAnsi="Arial" w:cs="Arial"/>
        </w:rPr>
      </w:pPr>
      <w:r w:rsidRPr="00BA3BAD">
        <w:rPr>
          <w:rFonts w:ascii="Arial" w:hAnsi="Arial" w:cs="Arial"/>
        </w:rPr>
        <w:t>• Relevance: This article looks at students’ confidence and skills with digital tools, which links to understanding how digital skills affect learning.</w:t>
      </w:r>
    </w:p>
    <w:p w14:paraId="518E29CE" w14:textId="51342EBF" w:rsidR="00BA3BAD" w:rsidRPr="00BA3BAD" w:rsidRDefault="00BA3BAD" w:rsidP="00BA3BAD">
      <w:pPr>
        <w:rPr>
          <w:rFonts w:ascii="Arial" w:hAnsi="Arial" w:cs="Arial"/>
        </w:rPr>
      </w:pPr>
      <w:r w:rsidRPr="00BA3BAD">
        <w:rPr>
          <w:rFonts w:ascii="Arial" w:hAnsi="Arial" w:cs="Arial"/>
        </w:rPr>
        <w:t>• Authority: The authors are experienced in educational technology research, and the article is peer-reviewed.</w:t>
      </w:r>
    </w:p>
    <w:p w14:paraId="0E9460FC" w14:textId="5A99969F" w:rsidR="00BA3BAD" w:rsidRPr="00BA3BAD" w:rsidRDefault="00BA3BAD" w:rsidP="00BA3BAD">
      <w:pPr>
        <w:rPr>
          <w:rFonts w:ascii="Arial" w:hAnsi="Arial" w:cs="Arial"/>
        </w:rPr>
      </w:pPr>
      <w:r w:rsidRPr="00BA3BAD">
        <w:rPr>
          <w:rFonts w:ascii="Arial" w:hAnsi="Arial" w:cs="Arial"/>
        </w:rPr>
        <w:t>• Accuracy: The study collected data from many students, so the findings are reliable.</w:t>
      </w:r>
    </w:p>
    <w:p w14:paraId="6D59561F" w14:textId="77777777" w:rsidR="00BA3BAD" w:rsidRPr="00BA3BAD" w:rsidRDefault="00BA3BAD" w:rsidP="00BA3BAD">
      <w:pPr>
        <w:rPr>
          <w:rFonts w:ascii="Arial" w:hAnsi="Arial" w:cs="Arial"/>
        </w:rPr>
      </w:pPr>
      <w:r w:rsidRPr="00BA3BAD">
        <w:rPr>
          <w:rFonts w:ascii="Arial" w:hAnsi="Arial" w:cs="Arial"/>
        </w:rPr>
        <w:t>• Purpose: Its aim is to explore how students interact with digital tools to support learning. There is no commercial influence.</w:t>
      </w:r>
    </w:p>
    <w:p w14:paraId="1F4C9C07" w14:textId="77777777" w:rsidR="00BA3BAD" w:rsidRPr="00BA3BAD" w:rsidRDefault="00BA3BAD" w:rsidP="00BA3BAD">
      <w:pPr>
        <w:rPr>
          <w:rFonts w:ascii="Arial" w:hAnsi="Arial" w:cs="Arial"/>
        </w:rPr>
      </w:pPr>
    </w:p>
    <w:p w14:paraId="02DB6B17" w14:textId="1F7FE35C" w:rsidR="00BA3BAD" w:rsidRPr="00BA3BAD" w:rsidRDefault="00BA3BAD" w:rsidP="00BA3BAD">
      <w:pPr>
        <w:rPr>
          <w:rFonts w:ascii="Arial" w:hAnsi="Arial" w:cs="Arial"/>
          <w:b/>
          <w:bCs/>
        </w:rPr>
      </w:pPr>
      <w:r w:rsidRPr="00BA3BAD">
        <w:rPr>
          <w:rFonts w:ascii="Arial" w:hAnsi="Arial" w:cs="Arial"/>
          <w:b/>
          <w:bCs/>
        </w:rPr>
        <w:t>Full reference:</w:t>
      </w:r>
    </w:p>
    <w:p w14:paraId="616F9F0B" w14:textId="2055DAEB" w:rsidR="00BA3BAD" w:rsidRPr="00BA3BAD" w:rsidRDefault="00BA3BAD" w:rsidP="00BA3BAD">
      <w:pPr>
        <w:rPr>
          <w:rFonts w:ascii="Arial" w:hAnsi="Arial" w:cs="Arial"/>
        </w:rPr>
      </w:pPr>
      <w:r w:rsidRPr="00BA3BAD">
        <w:rPr>
          <w:rFonts w:ascii="Arial" w:hAnsi="Arial" w:cs="Arial"/>
        </w:rPr>
        <w:t xml:space="preserve">Martin, F., Polly, D. and </w:t>
      </w:r>
      <w:proofErr w:type="spellStart"/>
      <w:r w:rsidRPr="00BA3BAD">
        <w:rPr>
          <w:rFonts w:ascii="Arial" w:hAnsi="Arial" w:cs="Arial"/>
        </w:rPr>
        <w:t>Ritzhaupt</w:t>
      </w:r>
      <w:proofErr w:type="spellEnd"/>
      <w:r w:rsidRPr="00BA3BAD">
        <w:rPr>
          <w:rFonts w:ascii="Arial" w:hAnsi="Arial" w:cs="Arial"/>
        </w:rPr>
        <w:t>, A.D., 2020. Examining preservice teachers’ technology integration confidence and competence: A mixed-methods study. Journal of Educational Computing Research, 57(3), pp.563–587.</w:t>
      </w:r>
    </w:p>
    <w:p w14:paraId="3253BDDB" w14:textId="3D3B2060" w:rsidR="00BA3BAD" w:rsidRPr="00CA655A" w:rsidRDefault="00BA3BAD" w:rsidP="00BA3BAD">
      <w:pPr>
        <w:rPr>
          <w:rFonts w:ascii="Arial" w:hAnsi="Arial" w:cs="Arial"/>
          <w:b/>
          <w:bCs/>
        </w:rPr>
      </w:pPr>
      <w:r w:rsidRPr="00CA655A">
        <w:rPr>
          <w:rFonts w:ascii="Arial" w:hAnsi="Arial" w:cs="Arial"/>
          <w:b/>
          <w:bCs/>
        </w:rPr>
        <w:t xml:space="preserve">Synthesis of Academic Sources </w:t>
      </w:r>
    </w:p>
    <w:p w14:paraId="7FFE9258" w14:textId="792FE397" w:rsidR="00BA3BAD" w:rsidRPr="00BA3BAD" w:rsidRDefault="00BA3BAD" w:rsidP="00BA3BAD">
      <w:pPr>
        <w:rPr>
          <w:rFonts w:ascii="Arial" w:hAnsi="Arial" w:cs="Arial"/>
        </w:rPr>
      </w:pPr>
      <w:r w:rsidRPr="00BA3BAD">
        <w:rPr>
          <w:rFonts w:ascii="Arial" w:hAnsi="Arial" w:cs="Arial"/>
        </w:rPr>
        <w:t xml:space="preserve">Both Hew and Cheung (2014) and Martin, Polly and </w:t>
      </w:r>
      <w:proofErr w:type="spellStart"/>
      <w:r w:rsidRPr="00BA3BAD">
        <w:rPr>
          <w:rFonts w:ascii="Arial" w:hAnsi="Arial" w:cs="Arial"/>
        </w:rPr>
        <w:t>Ritzhaupt</w:t>
      </w:r>
      <w:proofErr w:type="spellEnd"/>
      <w:r w:rsidRPr="00BA3BAD">
        <w:rPr>
          <w:rFonts w:ascii="Arial" w:hAnsi="Arial" w:cs="Arial"/>
        </w:rPr>
        <w:t xml:space="preserve"> (2020) look at how digital tools affect learning in universities. Hew and Cheung focus on how students and teachers use online learning platforms like MOOCs. They highlight that technology can help students learn more effectively but also note challenges if students are not ready to use it properly. Martin et al. look at how confident students feel using digital tools and how this affects their learning.</w:t>
      </w:r>
    </w:p>
    <w:p w14:paraId="43FE0479" w14:textId="7DF9D95C" w:rsidR="00BA3BAD" w:rsidRPr="00BA3BAD" w:rsidRDefault="00BA3BAD" w:rsidP="00BA3BAD">
      <w:pPr>
        <w:rPr>
          <w:rFonts w:ascii="Arial" w:hAnsi="Arial" w:cs="Arial"/>
        </w:rPr>
      </w:pPr>
      <w:r w:rsidRPr="00BA3BAD">
        <w:rPr>
          <w:rFonts w:ascii="Arial" w:hAnsi="Arial" w:cs="Arial"/>
        </w:rPr>
        <w:t xml:space="preserve">The two studies complement each other. Hew and Cheung explain how digital tools work in general, while Martin et al. show that students’ confidence and skill level influence whether these tools are effective. Together, they show that success in digital learning depends on both access to technology and the ability to use it well. Combining these ideas gives a clearer understanding of why digital skills are important for academic achievement and student engagement (Hew and Cheung, 2014; Martin, Polly and </w:t>
      </w:r>
      <w:proofErr w:type="spellStart"/>
      <w:r w:rsidRPr="00BA3BAD">
        <w:rPr>
          <w:rFonts w:ascii="Arial" w:hAnsi="Arial" w:cs="Arial"/>
        </w:rPr>
        <w:t>Ritzhaupt</w:t>
      </w:r>
      <w:proofErr w:type="spellEnd"/>
      <w:r w:rsidRPr="00BA3BAD">
        <w:rPr>
          <w:rFonts w:ascii="Arial" w:hAnsi="Arial" w:cs="Arial"/>
        </w:rPr>
        <w:t>, 2020).</w:t>
      </w:r>
    </w:p>
    <w:p w14:paraId="34A00015" w14:textId="77777777" w:rsidR="00BA3BAD" w:rsidRDefault="00BA3BAD" w:rsidP="00BA3BAD">
      <w:pPr>
        <w:rPr>
          <w:rFonts w:ascii="Arial" w:hAnsi="Arial" w:cs="Arial"/>
        </w:rPr>
      </w:pPr>
    </w:p>
    <w:p w14:paraId="07FE9F40" w14:textId="77777777" w:rsidR="00BA3BAD" w:rsidRDefault="00BA3BAD" w:rsidP="00BA3BAD">
      <w:pPr>
        <w:rPr>
          <w:rFonts w:ascii="Arial" w:hAnsi="Arial" w:cs="Arial"/>
        </w:rPr>
      </w:pPr>
    </w:p>
    <w:p w14:paraId="25FE3990" w14:textId="77777777" w:rsidR="00BA3BAD" w:rsidRDefault="00BA3BAD" w:rsidP="00BA3BAD">
      <w:pPr>
        <w:rPr>
          <w:rFonts w:ascii="Arial" w:hAnsi="Arial" w:cs="Arial"/>
        </w:rPr>
      </w:pPr>
    </w:p>
    <w:p w14:paraId="386875BD" w14:textId="77777777" w:rsidR="00CA655A" w:rsidRDefault="00CA655A" w:rsidP="00BA3BAD">
      <w:pPr>
        <w:rPr>
          <w:rFonts w:ascii="Arial" w:hAnsi="Arial" w:cs="Arial"/>
        </w:rPr>
      </w:pPr>
    </w:p>
    <w:p w14:paraId="7F9909CC" w14:textId="77777777" w:rsidR="00CA655A" w:rsidRPr="00BA3BAD" w:rsidRDefault="00CA655A" w:rsidP="00BA3BAD">
      <w:pPr>
        <w:rPr>
          <w:rFonts w:ascii="Arial" w:hAnsi="Arial" w:cs="Arial"/>
        </w:rPr>
      </w:pPr>
    </w:p>
    <w:p w14:paraId="06138C8F" w14:textId="167ABEE3" w:rsidR="00BA3BAD" w:rsidRPr="00BA3BAD" w:rsidRDefault="00BA3BAD" w:rsidP="00BA3BAD">
      <w:pPr>
        <w:rPr>
          <w:rFonts w:ascii="Arial" w:hAnsi="Arial" w:cs="Arial"/>
          <w:b/>
          <w:bCs/>
        </w:rPr>
      </w:pPr>
      <w:r w:rsidRPr="00BA3BAD">
        <w:rPr>
          <w:rFonts w:ascii="Arial" w:hAnsi="Arial" w:cs="Arial"/>
          <w:b/>
          <w:bCs/>
        </w:rPr>
        <w:lastRenderedPageBreak/>
        <w:t xml:space="preserve">Identifying a Key Challenge and Opportunity </w:t>
      </w:r>
    </w:p>
    <w:p w14:paraId="3148D750" w14:textId="1D63BDF2" w:rsidR="00BA3BAD" w:rsidRPr="00CA655A" w:rsidRDefault="00BA3BAD" w:rsidP="00BA3BAD">
      <w:pPr>
        <w:rPr>
          <w:rFonts w:ascii="Arial" w:hAnsi="Arial" w:cs="Arial"/>
          <w:b/>
          <w:bCs/>
        </w:rPr>
      </w:pPr>
      <w:r w:rsidRPr="00CA655A">
        <w:rPr>
          <w:rFonts w:ascii="Arial" w:hAnsi="Arial" w:cs="Arial"/>
          <w:b/>
          <w:bCs/>
        </w:rPr>
        <w:t>Challenge:</w:t>
      </w:r>
    </w:p>
    <w:p w14:paraId="3C580FDC" w14:textId="09766094" w:rsidR="00BA3BAD" w:rsidRPr="00BA3BAD" w:rsidRDefault="00BA3BAD" w:rsidP="00BA3BAD">
      <w:pPr>
        <w:rPr>
          <w:rFonts w:ascii="Arial" w:hAnsi="Arial" w:cs="Arial"/>
        </w:rPr>
      </w:pPr>
      <w:r w:rsidRPr="00BA3BAD">
        <w:rPr>
          <w:rFonts w:ascii="Arial" w:hAnsi="Arial" w:cs="Arial"/>
        </w:rPr>
        <w:t xml:space="preserve">Students may struggle if they do not feel confident using digital tools. Martin, Polly and </w:t>
      </w:r>
      <w:proofErr w:type="spellStart"/>
      <w:r w:rsidRPr="00BA3BAD">
        <w:rPr>
          <w:rFonts w:ascii="Arial" w:hAnsi="Arial" w:cs="Arial"/>
        </w:rPr>
        <w:t>Ritzhaupt</w:t>
      </w:r>
      <w:proofErr w:type="spellEnd"/>
      <w:r w:rsidRPr="00BA3BAD">
        <w:rPr>
          <w:rFonts w:ascii="Arial" w:hAnsi="Arial" w:cs="Arial"/>
        </w:rPr>
        <w:t xml:space="preserve"> (2020) explain that students who lack confidence with technology may find it hard to fully participate in online learning, which can affect grades.</w:t>
      </w:r>
    </w:p>
    <w:p w14:paraId="5C81C4B8" w14:textId="6E0679AA" w:rsidR="00BA3BAD" w:rsidRPr="00CA655A" w:rsidRDefault="00BA3BAD" w:rsidP="00BA3BAD">
      <w:pPr>
        <w:rPr>
          <w:rFonts w:ascii="Arial" w:hAnsi="Arial" w:cs="Arial"/>
          <w:b/>
          <w:bCs/>
        </w:rPr>
      </w:pPr>
      <w:r w:rsidRPr="00CA655A">
        <w:rPr>
          <w:rFonts w:ascii="Arial" w:hAnsi="Arial" w:cs="Arial"/>
          <w:b/>
          <w:bCs/>
        </w:rPr>
        <w:t>Opportunity:</w:t>
      </w:r>
    </w:p>
    <w:p w14:paraId="6AF94605" w14:textId="369ADC69" w:rsidR="00BA3BAD" w:rsidRPr="00BA3BAD" w:rsidRDefault="00BA3BAD" w:rsidP="00BA3BAD">
      <w:pPr>
        <w:rPr>
          <w:rFonts w:ascii="Arial" w:hAnsi="Arial" w:cs="Arial"/>
        </w:rPr>
      </w:pPr>
      <w:r w:rsidRPr="00BA3BAD">
        <w:rPr>
          <w:rFonts w:ascii="Arial" w:hAnsi="Arial" w:cs="Arial"/>
        </w:rPr>
        <w:t>Well-designed digital learning tools can make learning easier and more flexible. Hew and Cheung (2014) show that using online platforms allows students to access materials, collaborate, and learn in ways that suit their needs.</w:t>
      </w:r>
    </w:p>
    <w:p w14:paraId="780027DF" w14:textId="77777777" w:rsidR="00BA3BAD" w:rsidRPr="00BA3BAD" w:rsidRDefault="00BA3BAD" w:rsidP="00BA3BAD">
      <w:pPr>
        <w:rPr>
          <w:rFonts w:ascii="Arial" w:hAnsi="Arial" w:cs="Arial"/>
        </w:rPr>
      </w:pPr>
      <w:r w:rsidRPr="00BA3BAD">
        <w:rPr>
          <w:rFonts w:ascii="Arial" w:hAnsi="Arial" w:cs="Arial"/>
        </w:rPr>
        <w:t>These sources highlight that while students can face difficulties with technology, properly used digital tools can greatly improve learning outcomes.</w:t>
      </w:r>
    </w:p>
    <w:p w14:paraId="382BA19E" w14:textId="77777777" w:rsidR="00BA3BAD" w:rsidRPr="00CA655A" w:rsidRDefault="00BA3BAD" w:rsidP="00BA3BAD">
      <w:pPr>
        <w:rPr>
          <w:rFonts w:ascii="Arial" w:hAnsi="Arial" w:cs="Arial"/>
          <w:b/>
          <w:bCs/>
        </w:rPr>
      </w:pPr>
      <w:r w:rsidRPr="00CA655A">
        <w:rPr>
          <w:rFonts w:ascii="Arial" w:hAnsi="Arial" w:cs="Arial"/>
          <w:b/>
          <w:bCs/>
        </w:rPr>
        <w:t xml:space="preserve">Academic Planning for Component 2 </w:t>
      </w:r>
    </w:p>
    <w:p w14:paraId="201E9F19" w14:textId="77777777" w:rsidR="00BA3BAD" w:rsidRPr="00BA3BAD" w:rsidRDefault="00BA3BAD" w:rsidP="00BA3BAD">
      <w:pPr>
        <w:rPr>
          <w:rFonts w:ascii="Arial" w:hAnsi="Arial" w:cs="Arial"/>
        </w:rPr>
      </w:pPr>
      <w:r w:rsidRPr="00BA3BAD">
        <w:rPr>
          <w:rFonts w:ascii="Arial" w:hAnsi="Arial" w:cs="Arial"/>
        </w:rPr>
        <w:t>For Component 2, I will focus on the Challenges and Opportunities sections first because they will guide the strategies and recommendations. I also want to develop my skills in evaluating sources and combining research clearly. Component 2 will be structured with an introduction, then challenges, opportunities, strategies to overcome issues, and a conclusion. This order will make the discussion clear, logical, and easy to follow, showing how digital skills affect learning in higher education.</w:t>
      </w:r>
    </w:p>
    <w:p w14:paraId="52910193" w14:textId="534B8E4F"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2FC99107" w:rsidR="00B668ED" w:rsidRPr="009F24C9" w:rsidRDefault="00754DEE" w:rsidP="00C226A7">
            <w:pPr>
              <w:spacing w:after="160" w:line="278" w:lineRule="auto"/>
              <w:jc w:val="center"/>
              <w:rPr>
                <w:rFonts w:ascii="Arial" w:hAnsi="Arial" w:cs="Arial"/>
              </w:rPr>
            </w:pPr>
            <w:r>
              <w:rPr>
                <w:rFonts w:ascii="Arial" w:hAnsi="Arial" w:cs="Arial"/>
              </w:rPr>
              <w:t>05/02/2026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12D8629C" w:rsidR="00B668ED" w:rsidRPr="009F24C9" w:rsidRDefault="00754DEE" w:rsidP="00C226A7">
            <w:pPr>
              <w:spacing w:after="160" w:line="278" w:lineRule="auto"/>
              <w:jc w:val="center"/>
              <w:rPr>
                <w:rFonts w:ascii="Arial" w:hAnsi="Arial" w:cs="Arial"/>
              </w:rPr>
            </w:pPr>
            <w:r>
              <w:rPr>
                <w:rFonts w:ascii="Arial" w:hAnsi="Arial" w:cs="Arial"/>
              </w:rPr>
              <w:t>10/02/2026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686F4584" w:rsidR="00B668ED" w:rsidRPr="009F24C9" w:rsidRDefault="00754DEE" w:rsidP="00C226A7">
            <w:pPr>
              <w:spacing w:after="160" w:line="278" w:lineRule="auto"/>
              <w:jc w:val="center"/>
              <w:rPr>
                <w:rFonts w:ascii="Arial" w:hAnsi="Arial" w:cs="Arial"/>
              </w:rPr>
            </w:pPr>
            <w:r>
              <w:rPr>
                <w:rFonts w:ascii="Arial" w:hAnsi="Arial" w:cs="Arial"/>
              </w:rPr>
              <w:t>18/02/2026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259EC6A5" w:rsidR="00B668ED" w:rsidRPr="009F24C9" w:rsidRDefault="00754DEE" w:rsidP="00C226A7">
            <w:pPr>
              <w:spacing w:after="160" w:line="278" w:lineRule="auto"/>
              <w:jc w:val="center"/>
              <w:rPr>
                <w:rFonts w:ascii="Arial" w:hAnsi="Arial" w:cs="Arial"/>
              </w:rPr>
            </w:pPr>
            <w:r>
              <w:rPr>
                <w:rFonts w:ascii="Arial" w:hAnsi="Arial" w:cs="Arial"/>
              </w:rPr>
              <w:t>19/02/2026</w:t>
            </w:r>
          </w:p>
        </w:tc>
      </w:tr>
    </w:tbl>
    <w:p w14:paraId="622CA990" w14:textId="7719488C" w:rsidR="00C963C3" w:rsidRPr="009F24C9" w:rsidRDefault="00C963C3" w:rsidP="00C963C3">
      <w:pPr>
        <w:rPr>
          <w:rFonts w:ascii="Arial" w:hAnsi="Arial" w:cs="Arial"/>
        </w:rPr>
      </w:pP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7829D72E" w14:textId="77777777" w:rsidR="00CA655A" w:rsidRPr="00CA655A" w:rsidRDefault="00CA655A" w:rsidP="00CA655A">
      <w:pPr>
        <w:rPr>
          <w:rFonts w:ascii="Arial" w:hAnsi="Arial" w:cs="Arial"/>
        </w:rPr>
      </w:pPr>
      <w:r w:rsidRPr="00CA655A">
        <w:rPr>
          <w:rFonts w:ascii="Arial" w:hAnsi="Arial" w:cs="Arial"/>
        </w:rPr>
        <w:t>Hew, K.F. and Cheung, W.S., 2014. Students’ and instructors’ use of massive open online courses (MOOCs): Motivations and challenges. Educational Technology &amp; Society, 17(1), pp.101–113.</w:t>
      </w:r>
    </w:p>
    <w:p w14:paraId="379612A7" w14:textId="7830F5B8" w:rsidR="00C963C3" w:rsidRPr="009F24C9" w:rsidRDefault="00CA655A" w:rsidP="00CA655A">
      <w:pPr>
        <w:rPr>
          <w:rFonts w:ascii="Arial" w:hAnsi="Arial" w:cs="Arial"/>
        </w:rPr>
      </w:pPr>
      <w:r w:rsidRPr="00CA655A">
        <w:rPr>
          <w:rFonts w:ascii="Arial" w:hAnsi="Arial" w:cs="Arial"/>
        </w:rPr>
        <w:t xml:space="preserve">Martin, F., Polly, D. and </w:t>
      </w:r>
      <w:proofErr w:type="spellStart"/>
      <w:r w:rsidRPr="00CA655A">
        <w:rPr>
          <w:rFonts w:ascii="Arial" w:hAnsi="Arial" w:cs="Arial"/>
        </w:rPr>
        <w:t>Ritzhaupt</w:t>
      </w:r>
      <w:proofErr w:type="spellEnd"/>
      <w:r w:rsidRPr="00CA655A">
        <w:rPr>
          <w:rFonts w:ascii="Arial" w:hAnsi="Arial" w:cs="Arial"/>
        </w:rPr>
        <w:t>, A.D., 2020. Examining preservice teachers’ technology integration confidence and competence: A mixed-methods study. Journal of Educational Computing Research, 57(3), pp.563–587.</w:t>
      </w:r>
    </w:p>
    <w:p w14:paraId="72557085" w14:textId="65B0D9BC" w:rsidR="00C963C3" w:rsidRPr="009F24C9" w:rsidRDefault="00C963C3" w:rsidP="00C963C3">
      <w:pPr>
        <w:rPr>
          <w:rFonts w:ascii="Arial" w:hAnsi="Arial" w:cs="Arial"/>
        </w:rPr>
      </w:pP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3D4117B" w14:textId="06467853" w:rsidR="00C963C3" w:rsidRDefault="00C963C3" w:rsidP="00CA655A">
      <w:pPr>
        <w:pStyle w:val="Heading1"/>
        <w:rPr>
          <w:rFonts w:ascii="Arial" w:hAnsi="Arial" w:cs="Arial"/>
        </w:rPr>
      </w:pPr>
      <w:bookmarkStart w:id="1" w:name="_Toc218876934"/>
      <w:r w:rsidRPr="009F24C9">
        <w:rPr>
          <w:rFonts w:ascii="Arial" w:hAnsi="Arial" w:cs="Arial"/>
        </w:rPr>
        <w:lastRenderedPageBreak/>
        <w:t xml:space="preserve">Component 2 – Application of Academic Skills (1,000 </w:t>
      </w:r>
      <w:r w:rsidR="009F24C9">
        <w:rPr>
          <w:rFonts w:ascii="Arial" w:hAnsi="Arial" w:cs="Arial"/>
        </w:rPr>
        <w:t>W</w:t>
      </w:r>
      <w:r w:rsidRPr="009F24C9">
        <w:rPr>
          <w:rFonts w:ascii="Arial" w:hAnsi="Arial" w:cs="Arial"/>
        </w:rPr>
        <w:t>ord</w:t>
      </w:r>
      <w:r w:rsidR="009F24C9">
        <w:rPr>
          <w:rFonts w:ascii="Arial" w:hAnsi="Arial" w:cs="Arial"/>
        </w:rPr>
        <w:t xml:space="preserve"> </w:t>
      </w:r>
      <w:r w:rsidR="00692819">
        <w:rPr>
          <w:rFonts w:ascii="Arial" w:hAnsi="Arial" w:cs="Arial"/>
        </w:rPr>
        <w:t>Report</w:t>
      </w:r>
      <w:r w:rsidRPr="009F24C9">
        <w:rPr>
          <w:rFonts w:ascii="Arial" w:hAnsi="Arial" w:cs="Arial"/>
        </w:rPr>
        <w:t>)</w:t>
      </w:r>
      <w:bookmarkEnd w:id="1"/>
    </w:p>
    <w:p w14:paraId="0C9886E7" w14:textId="5C94E3E8" w:rsidR="00CA655A" w:rsidRPr="00CA655A" w:rsidRDefault="00CA655A" w:rsidP="00CA655A">
      <w:pPr>
        <w:rPr>
          <w:rFonts w:ascii="Arial" w:hAnsi="Arial" w:cs="Arial"/>
          <w:b/>
          <w:bCs/>
        </w:rPr>
      </w:pPr>
      <w:r w:rsidRPr="00CA655A">
        <w:rPr>
          <w:rFonts w:ascii="Arial" w:hAnsi="Arial" w:cs="Arial"/>
          <w:b/>
          <w:bCs/>
        </w:rPr>
        <w:t>Introduction</w:t>
      </w:r>
    </w:p>
    <w:p w14:paraId="527C040A" w14:textId="77777777" w:rsidR="00CA655A" w:rsidRPr="00CA655A" w:rsidRDefault="00CA655A" w:rsidP="00CA655A">
      <w:pPr>
        <w:rPr>
          <w:rFonts w:ascii="Arial" w:hAnsi="Arial" w:cs="Arial"/>
        </w:rPr>
      </w:pPr>
      <w:r w:rsidRPr="00CA655A">
        <w:rPr>
          <w:rFonts w:ascii="Arial" w:hAnsi="Arial" w:cs="Arial"/>
        </w:rPr>
        <w:t xml:space="preserve">Digital technology now plays a central role in university study. Most students use online learning platforms to access lectures, submit assignments, communicate with tutors, and find academic sources. This shift has made higher education more flexible and accessible, but it has also changed the skills students need </w:t>
      </w:r>
      <w:proofErr w:type="gramStart"/>
      <w:r w:rsidRPr="00CA655A">
        <w:rPr>
          <w:rFonts w:ascii="Arial" w:hAnsi="Arial" w:cs="Arial"/>
        </w:rPr>
        <w:t>in order to</w:t>
      </w:r>
      <w:proofErr w:type="gramEnd"/>
      <w:r w:rsidRPr="00CA655A">
        <w:rPr>
          <w:rFonts w:ascii="Arial" w:hAnsi="Arial" w:cs="Arial"/>
        </w:rPr>
        <w:t xml:space="preserve"> succeed. Being able to use technology is no longer optional; it is part of everyday academic practice. However, access to digital tools alone does not guarantee strong academic performance. Students must also be able to manage their time effectively, stay focused, think critically about online information, and engage actively with learning materials. Understanding both the difficulties and the </w:t>
      </w:r>
      <w:proofErr w:type="gramStart"/>
      <w:r w:rsidRPr="00CA655A">
        <w:rPr>
          <w:rFonts w:ascii="Arial" w:hAnsi="Arial" w:cs="Arial"/>
        </w:rPr>
        <w:t>advantages</w:t>
      </w:r>
      <w:proofErr w:type="gramEnd"/>
      <w:r w:rsidRPr="00CA655A">
        <w:rPr>
          <w:rFonts w:ascii="Arial" w:hAnsi="Arial" w:cs="Arial"/>
        </w:rPr>
        <w:t xml:space="preserve"> of digital learning is therefore essential. This report explores key challenges students face, examines the opportunities digital tools create, and suggests practical strategies that can help students succeed in modern higher education.</w:t>
      </w:r>
    </w:p>
    <w:p w14:paraId="5ADA8D38" w14:textId="77777777" w:rsidR="00CA655A" w:rsidRPr="00CA655A" w:rsidRDefault="00CA655A" w:rsidP="00CA655A">
      <w:pPr>
        <w:rPr>
          <w:rFonts w:ascii="Arial" w:hAnsi="Arial" w:cs="Arial"/>
        </w:rPr>
      </w:pPr>
    </w:p>
    <w:p w14:paraId="75D9044A" w14:textId="1331123A" w:rsidR="00CA655A" w:rsidRPr="00CA655A" w:rsidRDefault="00CA655A" w:rsidP="00CA655A">
      <w:pPr>
        <w:rPr>
          <w:rFonts w:ascii="Arial" w:hAnsi="Arial" w:cs="Arial"/>
          <w:b/>
          <w:bCs/>
        </w:rPr>
      </w:pPr>
      <w:r w:rsidRPr="00CA655A">
        <w:rPr>
          <w:rFonts w:ascii="Arial" w:hAnsi="Arial" w:cs="Arial"/>
          <w:b/>
          <w:bCs/>
        </w:rPr>
        <w:t>Challenges for Students in the Digital Era</w:t>
      </w:r>
    </w:p>
    <w:p w14:paraId="21868565" w14:textId="77777777" w:rsidR="00CA655A" w:rsidRPr="00CA655A" w:rsidRDefault="00CA655A" w:rsidP="00CA655A">
      <w:pPr>
        <w:rPr>
          <w:rFonts w:ascii="Arial" w:hAnsi="Arial" w:cs="Arial"/>
        </w:rPr>
      </w:pPr>
      <w:r w:rsidRPr="00CA655A">
        <w:rPr>
          <w:rFonts w:ascii="Arial" w:hAnsi="Arial" w:cs="Arial"/>
        </w:rPr>
        <w:t>One difficulty students face is maintaining focus while studying online. Digital devices provide constant access to social media, entertainment, and messaging, which can interrupt concentration. Research by Sana, Weston and Cepeda (2013) found that students who multitask during learning activities perform worse than those who focus on a single task. Similarly, Rosen et al. (2013) showed that frequent digital interruptions reduce sustained attention. When concentration is broken repeatedly, students may struggle to understand complex readings or complete assignments to a high standard. This directly affects academic skills such as critical reading and structured writing.</w:t>
      </w:r>
    </w:p>
    <w:p w14:paraId="2A6E15E5" w14:textId="77777777" w:rsidR="00CA655A" w:rsidRPr="00CA655A" w:rsidRDefault="00CA655A" w:rsidP="00CA655A">
      <w:pPr>
        <w:rPr>
          <w:rFonts w:ascii="Arial" w:hAnsi="Arial" w:cs="Arial"/>
        </w:rPr>
      </w:pPr>
      <w:r w:rsidRPr="00CA655A">
        <w:rPr>
          <w:rFonts w:ascii="Arial" w:hAnsi="Arial" w:cs="Arial"/>
        </w:rPr>
        <w:t>Another challenge is knowing how to judge the quality of online information. Not all digital content is reliable or academically appropriate. Ng (2012) explains that digital literacy involves more than technical ability; it includes evaluating credibility and using information responsibly. Without these skills, students may use weak or inappropriate sources in their work. OECD (2021) reports that differences in digital competence can influence academic outcomes. Developing strong research and evaluation skills is therefore crucial in digital learning environments.</w:t>
      </w:r>
    </w:p>
    <w:p w14:paraId="0B1080FD" w14:textId="77777777" w:rsidR="00CA655A" w:rsidRDefault="00CA655A" w:rsidP="00CA655A">
      <w:pPr>
        <w:rPr>
          <w:rFonts w:ascii="Arial" w:hAnsi="Arial" w:cs="Arial"/>
        </w:rPr>
      </w:pPr>
    </w:p>
    <w:p w14:paraId="2C2DEC99" w14:textId="77777777" w:rsidR="00CA655A" w:rsidRDefault="00CA655A" w:rsidP="00CA655A">
      <w:pPr>
        <w:rPr>
          <w:rFonts w:ascii="Arial" w:hAnsi="Arial" w:cs="Arial"/>
        </w:rPr>
      </w:pPr>
    </w:p>
    <w:p w14:paraId="71697DFB" w14:textId="77777777" w:rsidR="00CA655A" w:rsidRDefault="00CA655A" w:rsidP="00CA655A">
      <w:pPr>
        <w:rPr>
          <w:rFonts w:ascii="Arial" w:hAnsi="Arial" w:cs="Arial"/>
        </w:rPr>
      </w:pPr>
    </w:p>
    <w:p w14:paraId="45561159" w14:textId="42C14212" w:rsidR="00CA655A" w:rsidRPr="00CA655A" w:rsidRDefault="00CA655A" w:rsidP="00CA655A">
      <w:pPr>
        <w:rPr>
          <w:rFonts w:ascii="Arial" w:hAnsi="Arial" w:cs="Arial"/>
          <w:b/>
          <w:bCs/>
        </w:rPr>
      </w:pPr>
      <w:r w:rsidRPr="00CA655A">
        <w:rPr>
          <w:rFonts w:ascii="Arial" w:hAnsi="Arial" w:cs="Arial"/>
          <w:b/>
          <w:bCs/>
        </w:rPr>
        <w:lastRenderedPageBreak/>
        <w:t xml:space="preserve">Opportunities in the Digital Era </w:t>
      </w:r>
    </w:p>
    <w:p w14:paraId="346741B4" w14:textId="604699F7" w:rsidR="00CA655A" w:rsidRPr="00CA655A" w:rsidRDefault="00CA655A" w:rsidP="00CA655A">
      <w:pPr>
        <w:rPr>
          <w:rFonts w:ascii="Arial" w:hAnsi="Arial" w:cs="Arial"/>
        </w:rPr>
      </w:pPr>
      <w:r w:rsidRPr="00CA655A">
        <w:rPr>
          <w:rFonts w:ascii="Arial" w:hAnsi="Arial" w:cs="Arial"/>
        </w:rPr>
        <w:t>Despite these challenges, digital learning offers clear benefits. One major advantage is flexible access to academic materials. Recorded lectures, electronic journals, and online textbooks allow students to revisit content and study at times that suit them. Means et al. (2014) found that blended learning approaches can be as effective as, or sometimes more effective than, traditional classroom teaching when students engage properly with resources. This flexibility can support deeper understanding when used carefully.</w:t>
      </w:r>
    </w:p>
    <w:p w14:paraId="7850569A" w14:textId="77777777" w:rsidR="00CA655A" w:rsidRPr="00CA655A" w:rsidRDefault="00CA655A" w:rsidP="00CA655A">
      <w:pPr>
        <w:rPr>
          <w:rFonts w:ascii="Arial" w:hAnsi="Arial" w:cs="Arial"/>
        </w:rPr>
      </w:pPr>
      <w:r w:rsidRPr="00CA655A">
        <w:rPr>
          <w:rFonts w:ascii="Arial" w:hAnsi="Arial" w:cs="Arial"/>
        </w:rPr>
        <w:t>Digital tools also create opportunities for communication and collaboration. Online discussion boards, shared documents, and virtual meetings allow students to exchange ideas and work together beyond the classroom. According to Garrison, Anderson and Archer (2010), structured online interaction can encourage reflection and deeper thinking. In addition, digital feedback systems can help students improve their work more quickly (Nicol and Macfarlane-Dick, 2006). However, these benefits depend on active participation. Kirkwood and Price (2014) argue that technology itself does not improve learning; meaningful engagement is what makes the difference.</w:t>
      </w:r>
    </w:p>
    <w:p w14:paraId="641B5F68" w14:textId="77777777" w:rsidR="00CA655A" w:rsidRPr="00CA655A" w:rsidRDefault="00CA655A" w:rsidP="00CA655A">
      <w:pPr>
        <w:rPr>
          <w:rFonts w:ascii="Arial" w:hAnsi="Arial" w:cs="Arial"/>
        </w:rPr>
      </w:pPr>
    </w:p>
    <w:p w14:paraId="0927F3AC" w14:textId="77777777" w:rsidR="00CA655A" w:rsidRPr="00CA655A" w:rsidRDefault="00CA655A" w:rsidP="00CA655A">
      <w:pPr>
        <w:rPr>
          <w:rFonts w:ascii="Arial" w:hAnsi="Arial" w:cs="Arial"/>
          <w:b/>
          <w:bCs/>
        </w:rPr>
      </w:pPr>
      <w:r w:rsidRPr="00CA655A">
        <w:rPr>
          <w:rFonts w:ascii="Arial" w:hAnsi="Arial" w:cs="Arial"/>
          <w:b/>
          <w:bCs/>
        </w:rPr>
        <w:t xml:space="preserve">How Students Can Adapt to Succeed </w:t>
      </w:r>
    </w:p>
    <w:p w14:paraId="14BB22AD" w14:textId="77777777" w:rsidR="00CA655A" w:rsidRPr="00CA655A" w:rsidRDefault="00CA655A" w:rsidP="00CA655A">
      <w:pPr>
        <w:rPr>
          <w:rFonts w:ascii="Arial" w:hAnsi="Arial" w:cs="Arial"/>
        </w:rPr>
      </w:pPr>
      <w:r w:rsidRPr="00CA655A">
        <w:rPr>
          <w:rFonts w:ascii="Arial" w:hAnsi="Arial" w:cs="Arial"/>
        </w:rPr>
        <w:t>One practical strategy is creating clear study routines. Setting specific times for focused work and limiting phone notifications can reduce distraction. Broadbent and Poon (2015) highlight that structured study habits are linked to better outcomes in online learning. Avoiding multitasking helps students process information more deeply (Sana et al., 2013). Developing this routine strengthens time management and concentration skills.</w:t>
      </w:r>
    </w:p>
    <w:p w14:paraId="543C1397" w14:textId="77777777" w:rsidR="00CA655A" w:rsidRPr="00CA655A" w:rsidRDefault="00CA655A" w:rsidP="00CA655A">
      <w:pPr>
        <w:rPr>
          <w:rFonts w:ascii="Arial" w:hAnsi="Arial" w:cs="Arial"/>
        </w:rPr>
      </w:pPr>
      <w:r w:rsidRPr="00CA655A">
        <w:rPr>
          <w:rFonts w:ascii="Arial" w:hAnsi="Arial" w:cs="Arial"/>
        </w:rPr>
        <w:t>A second strategy is improving information literacy. Students can prioritise peer-reviewed journal articles and university library databases instead of general internet searches. Ng (2012) emphasises the importance of evaluating sources critically, while Zimmerman (2002) links self-monitoring with improved academic performance. Taking time to check authorship, publication date, and evidence improves the quality of assignments and supports stronger academic writing.</w:t>
      </w:r>
    </w:p>
    <w:p w14:paraId="78B203BE" w14:textId="2AACC60D" w:rsidR="00CA655A" w:rsidRPr="00CA655A" w:rsidRDefault="00CA655A" w:rsidP="00CA655A">
      <w:pPr>
        <w:rPr>
          <w:rFonts w:ascii="Arial" w:hAnsi="Arial" w:cs="Arial"/>
        </w:rPr>
      </w:pPr>
      <w:r w:rsidRPr="00CA655A">
        <w:rPr>
          <w:rFonts w:ascii="Arial" w:hAnsi="Arial" w:cs="Arial"/>
        </w:rPr>
        <w:t>A third strategy is engaging actively rather than passively with digital materials. This might include taking structured notes during recorded lectures, participating in discussion forums, or reflecting on tutor feedback. Nicol and Macfarlane-Dick (2006) suggest that using feedback constructively supports independent learning. Garrison et al. (2010) also found that interaction and reflection are central to meaningful online learning. By engaging consistently and thoughtfully, students develop communication, reflection, and critical thinking skills that support long-term academic success.</w:t>
      </w:r>
    </w:p>
    <w:p w14:paraId="7EEEF3EE" w14:textId="77777777" w:rsidR="00CA655A" w:rsidRPr="00CA655A" w:rsidRDefault="00CA655A" w:rsidP="00CA655A">
      <w:pPr>
        <w:rPr>
          <w:rFonts w:ascii="Arial" w:hAnsi="Arial" w:cs="Arial"/>
          <w:b/>
          <w:bCs/>
        </w:rPr>
      </w:pPr>
      <w:r w:rsidRPr="00CA655A">
        <w:rPr>
          <w:rFonts w:ascii="Arial" w:hAnsi="Arial" w:cs="Arial"/>
          <w:b/>
          <w:bCs/>
        </w:rPr>
        <w:lastRenderedPageBreak/>
        <w:t xml:space="preserve">Conclusion </w:t>
      </w:r>
    </w:p>
    <w:p w14:paraId="3BD4254A" w14:textId="7EDD6610" w:rsidR="00CA655A" w:rsidRDefault="00CA655A" w:rsidP="00CA655A">
      <w:pPr>
        <w:rPr>
          <w:rFonts w:ascii="Arial" w:hAnsi="Arial" w:cs="Arial"/>
        </w:rPr>
      </w:pPr>
      <w:r w:rsidRPr="00CA655A">
        <w:rPr>
          <w:rFonts w:ascii="Arial" w:hAnsi="Arial" w:cs="Arial"/>
        </w:rPr>
        <w:t>Digital learning has reshaped higher education by increasing flexibility and expanding access to information. However, it also presents challenges, particularly in relation to distraction and evaluating online sources. These issues can affect concentration, research quality, and overall academic performance. At the same time, digital tools offer important opportunities, including flexible study options, faster feedback, and enhanced collaboration. The key factor is how students use these tools. By establishing structured study routines, strengthening information literacy, and engaging actively with digital materials, students can develop the academic skills needed to succeed. Technology itself does not guarantee achievement, but when used with focus and critical awareness, it can strongly support learning and academic development.</w:t>
      </w:r>
    </w:p>
    <w:p w14:paraId="643FBFF0" w14:textId="77777777" w:rsidR="00CA655A" w:rsidRPr="00CA655A" w:rsidRDefault="00CA655A" w:rsidP="00CA655A">
      <w:pPr>
        <w:rPr>
          <w:rFonts w:ascii="Arial" w:hAnsi="Arial" w:cs="Arial"/>
        </w:rPr>
      </w:pPr>
    </w:p>
    <w:p w14:paraId="5701CCAA" w14:textId="7B2FC1A2" w:rsidR="00CA655A" w:rsidRPr="00CA655A" w:rsidRDefault="00CA655A" w:rsidP="00CA655A">
      <w:pPr>
        <w:rPr>
          <w:rFonts w:ascii="Arial" w:hAnsi="Arial" w:cs="Arial"/>
          <w:b/>
          <w:bCs/>
          <w:u w:val="single"/>
        </w:rPr>
      </w:pPr>
      <w:r w:rsidRPr="00CA655A">
        <w:rPr>
          <w:rFonts w:ascii="Arial" w:hAnsi="Arial" w:cs="Arial"/>
          <w:b/>
          <w:bCs/>
          <w:u w:val="single"/>
        </w:rPr>
        <w:t xml:space="preserve">Reference List </w:t>
      </w:r>
    </w:p>
    <w:p w14:paraId="119F0A3E" w14:textId="3320328F" w:rsidR="00CA655A" w:rsidRPr="00CA655A" w:rsidRDefault="00CA655A" w:rsidP="00CA655A">
      <w:pPr>
        <w:rPr>
          <w:rFonts w:ascii="Arial" w:hAnsi="Arial" w:cs="Arial"/>
        </w:rPr>
      </w:pPr>
      <w:r w:rsidRPr="00CA655A">
        <w:rPr>
          <w:rFonts w:ascii="Arial" w:hAnsi="Arial" w:cs="Arial"/>
        </w:rPr>
        <w:t>Broadbent, J. and Poon, W.L., 2015. Self-regulated learning strategies and academic achievement in online higher education learning environments. The Internet and Higher Education, 27, pp.1–13.</w:t>
      </w:r>
    </w:p>
    <w:p w14:paraId="24376569" w14:textId="1DA7381B" w:rsidR="00CA655A" w:rsidRPr="00CA655A" w:rsidRDefault="00CA655A" w:rsidP="00CA655A">
      <w:pPr>
        <w:rPr>
          <w:rFonts w:ascii="Arial" w:hAnsi="Arial" w:cs="Arial"/>
        </w:rPr>
      </w:pPr>
      <w:r w:rsidRPr="00CA655A">
        <w:rPr>
          <w:rFonts w:ascii="Arial" w:hAnsi="Arial" w:cs="Arial"/>
        </w:rPr>
        <w:t>Garrison, D.R., Anderson, T. and Archer, W., 2010. The first decade of the community of inquiry framework. The Internet and Higher Education, 13(1–2), pp.5–9.</w:t>
      </w:r>
    </w:p>
    <w:p w14:paraId="352970F5" w14:textId="4B7D36AC" w:rsidR="00CA655A" w:rsidRPr="00CA655A" w:rsidRDefault="00CA655A" w:rsidP="00CA655A">
      <w:pPr>
        <w:rPr>
          <w:rFonts w:ascii="Arial" w:hAnsi="Arial" w:cs="Arial"/>
        </w:rPr>
      </w:pPr>
      <w:r w:rsidRPr="00CA655A">
        <w:rPr>
          <w:rFonts w:ascii="Arial" w:hAnsi="Arial" w:cs="Arial"/>
        </w:rPr>
        <w:t>Kirkwood, A. and Price, L., 2014. Technology-enhanced learning in higher education. Learning, Media and Technology, 39(1), pp.6–36.</w:t>
      </w:r>
    </w:p>
    <w:p w14:paraId="51785B48" w14:textId="1424311F" w:rsidR="00CA655A" w:rsidRPr="00CA655A" w:rsidRDefault="00CA655A" w:rsidP="00CA655A">
      <w:pPr>
        <w:rPr>
          <w:rFonts w:ascii="Arial" w:hAnsi="Arial" w:cs="Arial"/>
        </w:rPr>
      </w:pPr>
      <w:r w:rsidRPr="00CA655A">
        <w:rPr>
          <w:rFonts w:ascii="Arial" w:hAnsi="Arial" w:cs="Arial"/>
        </w:rPr>
        <w:t>Means, B., Toyama, Y., Murphy, R. and Baki, M., 2014. The effectiveness of online and blended learning. Teachers College Record, 115(3), pp.1–47.</w:t>
      </w:r>
    </w:p>
    <w:p w14:paraId="1F90D71E" w14:textId="47F81AAD" w:rsidR="00CA655A" w:rsidRPr="00CA655A" w:rsidRDefault="00CA655A" w:rsidP="00CA655A">
      <w:pPr>
        <w:rPr>
          <w:rFonts w:ascii="Arial" w:hAnsi="Arial" w:cs="Arial"/>
        </w:rPr>
      </w:pPr>
      <w:r w:rsidRPr="00CA655A">
        <w:rPr>
          <w:rFonts w:ascii="Arial" w:hAnsi="Arial" w:cs="Arial"/>
        </w:rPr>
        <w:t xml:space="preserve">Ng, W., 2012. Can we teach digital </w:t>
      </w:r>
      <w:proofErr w:type="gramStart"/>
      <w:r w:rsidRPr="00CA655A">
        <w:rPr>
          <w:rFonts w:ascii="Arial" w:hAnsi="Arial" w:cs="Arial"/>
        </w:rPr>
        <w:t>natives</w:t>
      </w:r>
      <w:proofErr w:type="gramEnd"/>
      <w:r w:rsidRPr="00CA655A">
        <w:rPr>
          <w:rFonts w:ascii="Arial" w:hAnsi="Arial" w:cs="Arial"/>
        </w:rPr>
        <w:t xml:space="preserve"> digital literacy? Computers &amp; Education, 59(3), pp.1065–1078.</w:t>
      </w:r>
    </w:p>
    <w:p w14:paraId="3C27DD55" w14:textId="0B835247" w:rsidR="00CA655A" w:rsidRPr="00CA655A" w:rsidRDefault="00CA655A" w:rsidP="00CA655A">
      <w:pPr>
        <w:rPr>
          <w:rFonts w:ascii="Arial" w:hAnsi="Arial" w:cs="Arial"/>
        </w:rPr>
      </w:pPr>
      <w:r w:rsidRPr="00CA655A">
        <w:rPr>
          <w:rFonts w:ascii="Arial" w:hAnsi="Arial" w:cs="Arial"/>
        </w:rPr>
        <w:t>Nicol, D.J. and Macfarlane-Dick, D., 2006. Formative assessment and self-regulated learning. Studies in Higher Education, 31(2), pp.199–218.</w:t>
      </w:r>
    </w:p>
    <w:p w14:paraId="6062E676" w14:textId="77777777" w:rsidR="00CA655A" w:rsidRPr="00CA655A" w:rsidRDefault="00CA655A" w:rsidP="00CA655A">
      <w:pPr>
        <w:rPr>
          <w:rFonts w:ascii="Arial" w:hAnsi="Arial" w:cs="Arial"/>
        </w:rPr>
      </w:pPr>
      <w:r w:rsidRPr="00CA655A">
        <w:rPr>
          <w:rFonts w:ascii="Arial" w:hAnsi="Arial" w:cs="Arial"/>
        </w:rPr>
        <w:t>OECD, 2021. 21st-Century Readers: Developing Literacy Skills in a Digital World. Paris: OECD Publishing.</w:t>
      </w:r>
    </w:p>
    <w:p w14:paraId="009BB321" w14:textId="77777777" w:rsidR="00CA655A" w:rsidRPr="00CA655A" w:rsidRDefault="00CA655A" w:rsidP="00CA655A">
      <w:pPr>
        <w:rPr>
          <w:rFonts w:ascii="Arial" w:hAnsi="Arial" w:cs="Arial"/>
        </w:rPr>
      </w:pPr>
      <w:r w:rsidRPr="00CA655A">
        <w:rPr>
          <w:rFonts w:ascii="Arial" w:hAnsi="Arial" w:cs="Arial"/>
        </w:rPr>
        <w:t xml:space="preserve">Rosen, L.D., Lim, A.F., Smith, J., et al., 2013. The distracted student. Computers in Human </w:t>
      </w:r>
      <w:proofErr w:type="spellStart"/>
      <w:r w:rsidRPr="00CA655A">
        <w:rPr>
          <w:rFonts w:ascii="Arial" w:hAnsi="Arial" w:cs="Arial"/>
        </w:rPr>
        <w:t>Behavior</w:t>
      </w:r>
      <w:proofErr w:type="spellEnd"/>
      <w:r w:rsidRPr="00CA655A">
        <w:rPr>
          <w:rFonts w:ascii="Arial" w:hAnsi="Arial" w:cs="Arial"/>
        </w:rPr>
        <w:t>, 29(3), pp.948–958.</w:t>
      </w:r>
    </w:p>
    <w:p w14:paraId="1A5B0CE8" w14:textId="77777777" w:rsidR="00CA655A" w:rsidRPr="00CA655A" w:rsidRDefault="00CA655A" w:rsidP="00CA655A">
      <w:pPr>
        <w:rPr>
          <w:rFonts w:ascii="Arial" w:hAnsi="Arial" w:cs="Arial"/>
        </w:rPr>
      </w:pPr>
      <w:r w:rsidRPr="00CA655A">
        <w:rPr>
          <w:rFonts w:ascii="Arial" w:hAnsi="Arial" w:cs="Arial"/>
        </w:rPr>
        <w:t>Sana, F., Weston, T. and Cepeda, N.J., 2013. Laptop multitasking hinders classroom learning. Computers &amp; Education, 62, pp.24–31.</w:t>
      </w:r>
    </w:p>
    <w:p w14:paraId="0238A94E" w14:textId="5836BCFB" w:rsidR="00B668ED" w:rsidRPr="00D876EA" w:rsidRDefault="00CA655A" w:rsidP="00D876EA">
      <w:pPr>
        <w:rPr>
          <w:rFonts w:ascii="Arial" w:hAnsi="Arial" w:cs="Arial"/>
        </w:rPr>
        <w:sectPr w:rsidR="00B668ED" w:rsidRPr="00D876EA">
          <w:pgSz w:w="11906" w:h="16838"/>
          <w:pgMar w:top="1440" w:right="1440" w:bottom="1440" w:left="1440" w:header="708" w:footer="708" w:gutter="0"/>
          <w:cols w:space="708"/>
          <w:docGrid w:linePitch="360"/>
        </w:sectPr>
      </w:pPr>
      <w:r w:rsidRPr="00CA655A">
        <w:rPr>
          <w:rFonts w:ascii="Arial" w:hAnsi="Arial" w:cs="Arial"/>
        </w:rPr>
        <w:t>Zimmerman, B.J., 2002. Becoming a self-regulated learner. Theory into Practice, 41</w:t>
      </w:r>
    </w:p>
    <w:p w14:paraId="29AFB933" w14:textId="77777777" w:rsidR="00C963C3" w:rsidRPr="009F24C9" w:rsidRDefault="00C963C3" w:rsidP="00C963C3">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0C3A8E62" w14:textId="153B2D36" w:rsidR="001514F2" w:rsidRDefault="001514F2" w:rsidP="00C963C3">
      <w:pPr>
        <w:rPr>
          <w:rFonts w:ascii="Arial" w:hAnsi="Arial" w:cs="Arial"/>
          <w:b/>
          <w:bCs/>
        </w:rPr>
      </w:pPr>
    </w:p>
    <w:p w14:paraId="4ED43FC9" w14:textId="50E42441" w:rsidR="001514F2" w:rsidRDefault="00754DEE" w:rsidP="001514F2">
      <w:pPr>
        <w:jc w:val="center"/>
        <w:rPr>
          <w:rFonts w:ascii="Arial" w:hAnsi="Arial" w:cs="Arial"/>
          <w:b/>
          <w:bCs/>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54DEE">
        <w:rPr>
          <w:rFonts w:ascii="Arial" w:hAnsi="Arial" w:cs="Arial"/>
          <w:b/>
          <w:bCs/>
          <w:noProof/>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91440" distB="91440" distL="114300" distR="114300" simplePos="0" relativeHeight="251663360" behindDoc="0" locked="0" layoutInCell="1" allowOverlap="1" wp14:anchorId="1FB2C06E" wp14:editId="39CFCC71">
                <wp:simplePos x="0" y="0"/>
                <wp:positionH relativeFrom="page">
                  <wp:posOffset>3600450</wp:posOffset>
                </wp:positionH>
                <wp:positionV relativeFrom="paragraph">
                  <wp:posOffset>1164590</wp:posOffset>
                </wp:positionV>
                <wp:extent cx="3514725" cy="3107055"/>
                <wp:effectExtent l="0" t="0" r="0" b="0"/>
                <wp:wrapTopAndBottom/>
                <wp:docPr id="3420034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3107055"/>
                        </a:xfrm>
                        <a:prstGeom prst="rect">
                          <a:avLst/>
                        </a:prstGeom>
                        <a:noFill/>
                        <a:ln w="9525">
                          <a:noFill/>
                          <a:miter lim="800000"/>
                          <a:headEnd/>
                          <a:tailEnd/>
                        </a:ln>
                      </wps:spPr>
                      <wps:txbx>
                        <w:txbxContent>
                          <w:p w14:paraId="55846684"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2. Academic Writing and Clear Communication</w:t>
                            </w:r>
                          </w:p>
                          <w:p w14:paraId="69547B92"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p>
                          <w:p w14:paraId="78E167FF" w14:textId="33A1A8B5"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 Why it is important:</w:t>
                            </w:r>
                          </w:p>
                          <w:p w14:paraId="7A5FA50F"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At university, students are expected to express their ideas clearly and in a structured way. Good academic writing means explaining points logically, supporting them with evidence, and referencing sources correctly. In online learning, communication is often written (discussion boards, emails, assignments), so being able to write clearly is essential.</w:t>
                            </w:r>
                          </w:p>
                          <w:p w14:paraId="5311892B"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p>
                          <w:p w14:paraId="7A1A4DB9" w14:textId="62C82789" w:rsid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 Source: Hyland, K. (2003)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B2C06E" id="_x0000_t202" coordsize="21600,21600" o:spt="202" path="m,l,21600r21600,l21600,xe">
                <v:stroke joinstyle="miter"/>
                <v:path gradientshapeok="t" o:connecttype="rect"/>
              </v:shapetype>
              <v:shape id="Text Box 2" o:spid="_x0000_s1026" type="#_x0000_t202" style="position:absolute;left:0;text-align:left;margin-left:283.5pt;margin-top:91.7pt;width:276.75pt;height:244.65pt;z-index:25166336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" filled="f" stroked="f">
                <v:textbox>
                  <w:txbxContent>
                    <w:p w14:paraId="55846684"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2. Academic Writing and Clear Communication</w:t>
                      </w:r>
                    </w:p>
                    <w:p w14:paraId="69547B92"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p>
                    <w:p w14:paraId="78E167FF" w14:textId="33A1A8B5"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 Why it is important:</w:t>
                      </w:r>
                    </w:p>
                    <w:p w14:paraId="7A5FA50F"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At university, students are expected to express their ideas clearly and in a structured way. Good academic writing means explaining points logically, supporting them with evidence, and referencing sources correctly. In online learning, communication is often written (discussion boards, emails, assignments), so being able to write clearly is essential.</w:t>
                      </w:r>
                    </w:p>
                    <w:p w14:paraId="5311892B"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p>
                    <w:p w14:paraId="7A1A4DB9" w14:textId="62C82789" w:rsid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 Source: Hyland, K. (2003)</w:t>
                      </w:r>
                    </w:p>
                  </w:txbxContent>
                </v:textbox>
                <w10:wrap type="topAndBottom" anchorx="page"/>
              </v:shape>
            </w:pict>
          </mc:Fallback>
        </mc:AlternateContent>
      </w:r>
      <w:r w:rsidRPr="00754DEE">
        <w:rPr>
          <w:rFonts w:ascii="Arial" w:hAnsi="Arial" w:cs="Arial"/>
          <w:b/>
          <w:bCs/>
          <w:noProof/>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45720" distB="45720" distL="182880" distR="182880" simplePos="0" relativeHeight="251667456" behindDoc="1" locked="0" layoutInCell="1" allowOverlap="0" wp14:anchorId="4E5CF7F6" wp14:editId="4175D821">
                <wp:simplePos x="0" y="0"/>
                <wp:positionH relativeFrom="margin">
                  <wp:align>right</wp:align>
                </wp:positionH>
                <wp:positionV relativeFrom="paragraph">
                  <wp:posOffset>4312285</wp:posOffset>
                </wp:positionV>
                <wp:extent cx="3028950" cy="3629025"/>
                <wp:effectExtent l="38100" t="38100" r="38100" b="47625"/>
                <wp:wrapSquare wrapText="bothSides"/>
                <wp:docPr id="2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28950" cy="3629025"/>
                        </a:xfrm>
                        <a:prstGeom prst="rect">
                          <a:avLst/>
                        </a:prstGeom>
                        <a:solidFill>
                          <a:schemeClr val="tx2"/>
                        </a:solidFill>
                        <a:ln w="76200" cmpd="dbl">
                          <a:solidFill>
                            <a:schemeClr val="tx2"/>
                          </a:solidFill>
                          <a:miter lim="800000"/>
                          <a:headEnd/>
                          <a:tailEnd/>
                        </a:ln>
                      </wps:spPr>
                      <wps:txbx>
                        <w:txbxContent>
                          <w:p w14:paraId="281E257F" w14:textId="77777777" w:rsidR="00754DEE" w:rsidRPr="00754DEE" w:rsidRDefault="00754DEE" w:rsidP="00754DEE">
                            <w:pPr>
                              <w:spacing w:after="0"/>
                              <w:jc w:val="center"/>
                              <w:rPr>
                                <w:b/>
                                <w:bCs/>
                                <w:i/>
                                <w:iCs/>
                                <w:caps/>
                                <w:color w:val="FFFFFF" w:themeColor="background1"/>
                                <w:sz w:val="28"/>
                                <w:u w:val="single"/>
                              </w:rPr>
                            </w:pPr>
                            <w:r w:rsidRPr="00754DEE">
                              <w:rPr>
                                <w:b/>
                                <w:bCs/>
                                <w:i/>
                                <w:iCs/>
                                <w:caps/>
                                <w:color w:val="FFFFFF" w:themeColor="background1"/>
                                <w:sz w:val="28"/>
                                <w:u w:val="single"/>
                              </w:rPr>
                              <w:t>Conclusion</w:t>
                            </w:r>
                          </w:p>
                          <w:p w14:paraId="5B6F1A51" w14:textId="2FC76190" w:rsidR="00754DEE" w:rsidRDefault="00754DEE" w:rsidP="00754DEE">
                            <w:pPr>
                              <w:spacing w:after="0"/>
                              <w:rPr>
                                <w:i/>
                                <w:iCs/>
                                <w:caps/>
                                <w:color w:val="FFFFFF" w:themeColor="background1"/>
                                <w:sz w:val="28"/>
                              </w:rPr>
                            </w:pPr>
                            <w:r w:rsidRPr="00754DEE">
                              <w:rPr>
                                <w:i/>
                                <w:iCs/>
                                <w:caps/>
                                <w:color w:val="FFFFFF" w:themeColor="background1"/>
                                <w:sz w:val="28"/>
                              </w:rPr>
                              <w:t>To succeed in online university study, students need to think carefully about information, communicate their ideas clearly, and carry out effective research. Developing these skills helps improve academic performance and builds confidence in higher education.</w:t>
                            </w:r>
                          </w:p>
                        </w:txbxContent>
                      </wps:txbx>
                      <wps:bodyPr rot="0" vert="horz" wrap="square" lIns="182880" tIns="182880" rIns="182880" bIns="18288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4E5CF7F6" id="Rectangle 4" o:spid="_x0000_s1027" style="position:absolute;left:0;text-align:left;margin-left:187.3pt;margin-top:339.55pt;width:238.5pt;height:285.75pt;z-index:-251649024;visibility:visible;mso-wrap-style:square;mso-width-percent:0;mso-height-percent:0;mso-wrap-distance-left:14.4pt;mso-wrap-distance-top:3.6pt;mso-wrap-distance-right:14.4pt;mso-wrap-distance-bottom:3.6pt;mso-position-horizontal:righ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" o:allowoverlap="f" fillcolor="#0e2841 [3215]" strokecolor="#0e2841 [3215]" strokeweight="6pt">
                <v:stroke linestyle="thinThin"/>
                <v:textbox inset="14.4pt,14.4pt,14.4pt,14.4pt">
                  <w:txbxContent>
                    <w:p w14:paraId="281E257F" w14:textId="77777777" w:rsidR="00754DEE" w:rsidRPr="00754DEE" w:rsidRDefault="00754DEE" w:rsidP="00754DEE">
                      <w:pPr>
                        <w:spacing w:after="0"/>
                        <w:jc w:val="center"/>
                        <w:rPr>
                          <w:b/>
                          <w:bCs/>
                          <w:i/>
                          <w:iCs/>
                          <w:caps/>
                          <w:color w:val="FFFFFF" w:themeColor="background1"/>
                          <w:sz w:val="28"/>
                          <w:u w:val="single"/>
                        </w:rPr>
                      </w:pPr>
                      <w:r w:rsidRPr="00754DEE">
                        <w:rPr>
                          <w:b/>
                          <w:bCs/>
                          <w:i/>
                          <w:iCs/>
                          <w:caps/>
                          <w:color w:val="FFFFFF" w:themeColor="background1"/>
                          <w:sz w:val="28"/>
                          <w:u w:val="single"/>
                        </w:rPr>
                        <w:t>Conclusion</w:t>
                      </w:r>
                    </w:p>
                    <w:p w14:paraId="5B6F1A51" w14:textId="2FC76190" w:rsidR="00754DEE" w:rsidRDefault="00754DEE" w:rsidP="00754DEE">
                      <w:pPr>
                        <w:spacing w:after="0"/>
                        <w:rPr>
                          <w:i/>
                          <w:iCs/>
                          <w:caps/>
                          <w:color w:val="FFFFFF" w:themeColor="background1"/>
                          <w:sz w:val="28"/>
                        </w:rPr>
                      </w:pPr>
                      <w:r w:rsidRPr="00754DEE">
                        <w:rPr>
                          <w:i/>
                          <w:iCs/>
                          <w:caps/>
                          <w:color w:val="FFFFFF" w:themeColor="background1"/>
                          <w:sz w:val="28"/>
                        </w:rPr>
                        <w:t>To succeed in online university study, students need to think carefully about information, communicate their ideas clearly, and carry out effective research. Developing these skills helps improve academic performance and builds confidence in higher education.</w:t>
                      </w:r>
                    </w:p>
                  </w:txbxContent>
                </v:textbox>
                <w10:wrap type="square" anchorx="margin"/>
              </v:rect>
            </w:pict>
          </mc:Fallback>
        </mc:AlternateContent>
      </w:r>
      <w:r w:rsidRPr="00754DEE">
        <w:rPr>
          <w:rFonts w:ascii="Arial" w:hAnsi="Arial" w:cs="Arial"/>
          <w:b/>
          <w:bCs/>
          <w:noProof/>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91440" distB="91440" distL="114300" distR="114300" simplePos="0" relativeHeight="251665408" behindDoc="0" locked="0" layoutInCell="1" allowOverlap="1" wp14:anchorId="6352AC53" wp14:editId="4D3B6DE4">
                <wp:simplePos x="0" y="0"/>
                <wp:positionH relativeFrom="page">
                  <wp:posOffset>198755</wp:posOffset>
                </wp:positionH>
                <wp:positionV relativeFrom="paragraph">
                  <wp:posOffset>4255135</wp:posOffset>
                </wp:positionV>
                <wp:extent cx="3474720" cy="1403985"/>
                <wp:effectExtent l="0" t="0" r="0" b="0"/>
                <wp:wrapTopAndBottom/>
                <wp:docPr id="20978180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44A67C45" w14:textId="5B6238A2"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3. Research Skills</w:t>
                            </w:r>
                          </w:p>
                          <w:p w14:paraId="0F00DC9E"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p>
                          <w:p w14:paraId="6E1C83C2" w14:textId="62238B92"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 Why it is important:</w:t>
                            </w:r>
                          </w:p>
                          <w:p w14:paraId="56F78FAD"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Students need to know how to search for reliable academic sources, such as journal articles and books. Research skills help them understand different perspectives and combine information from several sources in their own work. These skills are important for producing high-quality assignments and preparing for future careers.</w:t>
                            </w:r>
                          </w:p>
                          <w:p w14:paraId="0F8CC5CB"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p>
                          <w:p w14:paraId="2DF78FDA" w14:textId="7C18B845" w:rsid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 Source: Head, A.J. and Eisenberg, M.B. (2010)</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6352AC53" id="_x0000_s1028" type="#_x0000_t202" style="position:absolute;left:0;text-align:left;margin-left:15.65pt;margin-top:335.05pt;width:273.6pt;height:110.55pt;z-index:251665408;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" filled="f" stroked="f">
                <v:textbox style="mso-fit-shape-to-text:t">
                  <w:txbxContent>
                    <w:p w14:paraId="44A67C45" w14:textId="5B6238A2"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3. Research Skills</w:t>
                      </w:r>
                    </w:p>
                    <w:p w14:paraId="0F00DC9E"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p>
                    <w:p w14:paraId="6E1C83C2" w14:textId="62238B92"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 Why it is important:</w:t>
                      </w:r>
                    </w:p>
                    <w:p w14:paraId="56F78FAD"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Students need to know how to search for reliable academic sources, such as journal articles and books. Research skills help them understand different perspectives and combine information from several sources in their own work. These skills are important for producing high-quality assignments and preparing for future careers.</w:t>
                      </w:r>
                    </w:p>
                    <w:p w14:paraId="0F8CC5CB" w14:textId="77777777" w:rsidR="00754DEE" w:rsidRPr="00754DEE" w:rsidRDefault="00754DEE" w:rsidP="00754DEE">
                      <w:pPr>
                        <w:pBdr>
                          <w:top w:val="single" w:sz="24" w:space="8" w:color="156082" w:themeColor="accent1"/>
                          <w:bottom w:val="single" w:sz="24" w:space="8" w:color="156082" w:themeColor="accent1"/>
                        </w:pBdr>
                        <w:spacing w:after="0"/>
                        <w:rPr>
                          <w:i/>
                          <w:iCs/>
                          <w:color w:val="156082" w:themeColor="accent1"/>
                        </w:rPr>
                      </w:pPr>
                    </w:p>
                    <w:p w14:paraId="2DF78FDA" w14:textId="7C18B845" w:rsidR="00754DEE" w:rsidRDefault="00754DEE" w:rsidP="00754DEE">
                      <w:pPr>
                        <w:pBdr>
                          <w:top w:val="single" w:sz="24" w:space="8" w:color="156082" w:themeColor="accent1"/>
                          <w:bottom w:val="single" w:sz="24" w:space="8" w:color="156082" w:themeColor="accent1"/>
                        </w:pBdr>
                        <w:spacing w:after="0"/>
                        <w:rPr>
                          <w:i/>
                          <w:iCs/>
                          <w:color w:val="156082" w:themeColor="accent1"/>
                        </w:rPr>
                      </w:pPr>
                      <w:r w:rsidRPr="00754DEE">
                        <w:rPr>
                          <w:i/>
                          <w:iCs/>
                          <w:color w:val="156082" w:themeColor="accent1"/>
                        </w:rPr>
                        <w:t>• Source: Head, A.J. and Eisenberg, M.B. (2010)</w:t>
                      </w:r>
                    </w:p>
                  </w:txbxContent>
                </v:textbox>
                <w10:wrap type="topAndBottom" anchorx="page"/>
              </v:shape>
            </w:pict>
          </mc:Fallback>
        </mc:AlternateContent>
      </w:r>
      <w:r w:rsidRPr="001514F2">
        <w:rPr>
          <w:rFonts w:ascii="Arial" w:hAnsi="Arial" w:cs="Arial"/>
          <w:b/>
          <w:bCs/>
          <w:noProof/>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45720" distB="45720" distL="114300" distR="114300" simplePos="0" relativeHeight="251661312" behindDoc="0" locked="0" layoutInCell="1" allowOverlap="1" wp14:anchorId="682F57AC" wp14:editId="419DD117">
                <wp:simplePos x="0" y="0"/>
                <wp:positionH relativeFrom="margin">
                  <wp:align>center</wp:align>
                </wp:positionH>
                <wp:positionV relativeFrom="paragraph">
                  <wp:posOffset>749935</wp:posOffset>
                </wp:positionV>
                <wp:extent cx="2971800" cy="1404620"/>
                <wp:effectExtent l="0" t="0" r="1905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1404620"/>
                        </a:xfrm>
                        <a:prstGeom prst="rect">
                          <a:avLst/>
                        </a:prstGeom>
                        <a:solidFill>
                          <a:srgbClr val="FFFFFF"/>
                        </a:solidFill>
                        <a:ln w="9525">
                          <a:solidFill>
                            <a:srgbClr val="000000"/>
                          </a:solidFill>
                          <a:miter lim="800000"/>
                          <a:headEnd/>
                          <a:tailEnd/>
                        </a:ln>
                      </wps:spPr>
                      <wps:txbx>
                        <w:txbxContent>
                          <w:p w14:paraId="5EBA6FD2" w14:textId="4A63F9C4" w:rsidR="001514F2" w:rsidRDefault="001514F2">
                            <w:r w:rsidRPr="001514F2">
                              <w:t>Key Academic Skills for Today’s Students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2F57AC" id="_x0000_s1029" type="#_x0000_t202" style="position:absolute;left:0;text-align:left;margin-left:0;margin-top:59.05pt;width:234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">
                <v:textbox style="mso-fit-shape-to-text:t">
                  <w:txbxContent>
                    <w:p w14:paraId="5EBA6FD2" w14:textId="4A63F9C4" w:rsidR="001514F2" w:rsidRDefault="001514F2">
                      <w:r w:rsidRPr="001514F2">
                        <w:t>Key Academic Skills for Today’s Students</w:t>
                      </w:r>
                    </w:p>
                  </w:txbxContent>
                </v:textbox>
                <w10:wrap type="square" anchorx="margin"/>
              </v:shape>
            </w:pict>
          </mc:Fallback>
        </mc:AlternateContent>
      </w:r>
      <w:r w:rsidR="001514F2" w:rsidRPr="001514F2">
        <w:rPr>
          <w:rFonts w:ascii="Arial" w:hAnsi="Arial" w:cs="Arial"/>
          <w:b/>
          <w:bCs/>
          <w:noProof/>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91440" distB="91440" distL="114300" distR="114300" simplePos="0" relativeHeight="251659264" behindDoc="0" locked="0" layoutInCell="1" allowOverlap="1" wp14:anchorId="4DA4E8E7" wp14:editId="6F952180">
                <wp:simplePos x="0" y="0"/>
                <wp:positionH relativeFrom="page">
                  <wp:posOffset>170180</wp:posOffset>
                </wp:positionH>
                <wp:positionV relativeFrom="paragraph">
                  <wp:posOffset>1168400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0098CC00" w14:textId="1C148A3E" w:rsidR="001514F2" w:rsidRPr="001514F2" w:rsidRDefault="001514F2" w:rsidP="001514F2">
                            <w:pPr>
                              <w:pBdr>
                                <w:top w:val="single" w:sz="24" w:space="8" w:color="156082" w:themeColor="accent1"/>
                                <w:bottom w:val="single" w:sz="24" w:space="8" w:color="156082" w:themeColor="accent1"/>
                              </w:pBdr>
                              <w:spacing w:after="0"/>
                              <w:rPr>
                                <w:i/>
                                <w:iCs/>
                                <w:color w:val="156082" w:themeColor="accent1"/>
                              </w:rPr>
                            </w:pPr>
                            <w:r w:rsidRPr="001514F2">
                              <w:rPr>
                                <w:i/>
                                <w:iCs/>
                                <w:color w:val="156082" w:themeColor="accent1"/>
                              </w:rPr>
                              <w:t>1. Thinking Critically</w:t>
                            </w:r>
                          </w:p>
                          <w:p w14:paraId="4B723209" w14:textId="5B08204C" w:rsidR="001514F2" w:rsidRPr="001514F2" w:rsidRDefault="001514F2" w:rsidP="001514F2">
                            <w:pPr>
                              <w:pBdr>
                                <w:top w:val="single" w:sz="24" w:space="8" w:color="156082" w:themeColor="accent1"/>
                                <w:bottom w:val="single" w:sz="24" w:space="8" w:color="156082" w:themeColor="accent1"/>
                              </w:pBdr>
                              <w:spacing w:after="0"/>
                              <w:rPr>
                                <w:i/>
                                <w:iCs/>
                                <w:color w:val="156082" w:themeColor="accent1"/>
                              </w:rPr>
                            </w:pPr>
                            <w:r w:rsidRPr="001514F2">
                              <w:rPr>
                                <w:i/>
                                <w:iCs/>
                                <w:color w:val="156082" w:themeColor="accent1"/>
                              </w:rPr>
                              <w:t>• Why it is important:</w:t>
                            </w:r>
                          </w:p>
                          <w:p w14:paraId="76F66F6C" w14:textId="77777777" w:rsidR="001514F2" w:rsidRPr="001514F2" w:rsidRDefault="001514F2" w:rsidP="001514F2">
                            <w:pPr>
                              <w:pBdr>
                                <w:top w:val="single" w:sz="24" w:space="8" w:color="156082" w:themeColor="accent1"/>
                                <w:bottom w:val="single" w:sz="24" w:space="8" w:color="156082" w:themeColor="accent1"/>
                              </w:pBdr>
                              <w:spacing w:after="0"/>
                              <w:rPr>
                                <w:i/>
                                <w:iCs/>
                                <w:color w:val="156082" w:themeColor="accent1"/>
                              </w:rPr>
                            </w:pPr>
                            <w:r w:rsidRPr="001514F2">
                              <w:rPr>
                                <w:i/>
                                <w:iCs/>
                                <w:color w:val="156082" w:themeColor="accent1"/>
                              </w:rPr>
                              <w:t>University study is not just about memorising facts. Students need to question ideas, compare different viewpoints, and decide whether information is trustworthy. This is especially important when using online sources, where not everything is accurate. Being able to think critically helps students write stronger assignments and make better arguments.</w:t>
                            </w:r>
                          </w:p>
                          <w:p w14:paraId="0EE97EFB" w14:textId="77777777" w:rsidR="001514F2" w:rsidRPr="001514F2" w:rsidRDefault="001514F2" w:rsidP="001514F2">
                            <w:pPr>
                              <w:pBdr>
                                <w:top w:val="single" w:sz="24" w:space="8" w:color="156082" w:themeColor="accent1"/>
                                <w:bottom w:val="single" w:sz="24" w:space="8" w:color="156082" w:themeColor="accent1"/>
                              </w:pBdr>
                              <w:spacing w:after="0"/>
                              <w:rPr>
                                <w:i/>
                                <w:iCs/>
                                <w:color w:val="156082" w:themeColor="accent1"/>
                              </w:rPr>
                            </w:pPr>
                          </w:p>
                          <w:p w14:paraId="2023C874" w14:textId="5E175964" w:rsidR="001514F2" w:rsidRDefault="001514F2" w:rsidP="001514F2">
                            <w:pPr>
                              <w:pBdr>
                                <w:top w:val="single" w:sz="24" w:space="8" w:color="156082" w:themeColor="accent1"/>
                                <w:bottom w:val="single" w:sz="24" w:space="8" w:color="156082" w:themeColor="accent1"/>
                              </w:pBdr>
                              <w:spacing w:after="0"/>
                              <w:rPr>
                                <w:i/>
                                <w:iCs/>
                                <w:color w:val="156082" w:themeColor="accent1"/>
                              </w:rPr>
                            </w:pPr>
                            <w:r w:rsidRPr="001514F2">
                              <w:rPr>
                                <w:i/>
                                <w:iCs/>
                                <w:color w:val="156082" w:themeColor="accent1"/>
                              </w:rPr>
                              <w:t xml:space="preserve">• Source: </w:t>
                            </w:r>
                            <w:proofErr w:type="spellStart"/>
                            <w:r w:rsidRPr="001514F2">
                              <w:rPr>
                                <w:i/>
                                <w:iCs/>
                                <w:color w:val="156082" w:themeColor="accent1"/>
                              </w:rPr>
                              <w:t>Facione</w:t>
                            </w:r>
                            <w:proofErr w:type="spellEnd"/>
                            <w:r w:rsidRPr="001514F2">
                              <w:rPr>
                                <w:i/>
                                <w:iCs/>
                                <w:color w:val="156082" w:themeColor="accent1"/>
                              </w:rPr>
                              <w:t>, P.A. (1990)</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4DA4E8E7" id="_x0000_s1030" type="#_x0000_t202" style="position:absolute;left:0;text-align:left;margin-left:13.4pt;margin-top:92pt;width:273.6pt;height:110.55pt;z-index:251659264;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" filled="f" stroked="f">
                <v:textbox style="mso-fit-shape-to-text:t">
                  <w:txbxContent>
                    <w:p w14:paraId="0098CC00" w14:textId="1C148A3E" w:rsidR="001514F2" w:rsidRPr="001514F2" w:rsidRDefault="001514F2" w:rsidP="001514F2">
                      <w:pPr>
                        <w:pBdr>
                          <w:top w:val="single" w:sz="24" w:space="8" w:color="156082" w:themeColor="accent1"/>
                          <w:bottom w:val="single" w:sz="24" w:space="8" w:color="156082" w:themeColor="accent1"/>
                        </w:pBdr>
                        <w:spacing w:after="0"/>
                        <w:rPr>
                          <w:i/>
                          <w:iCs/>
                          <w:color w:val="156082" w:themeColor="accent1"/>
                        </w:rPr>
                      </w:pPr>
                      <w:r w:rsidRPr="001514F2">
                        <w:rPr>
                          <w:i/>
                          <w:iCs/>
                          <w:color w:val="156082" w:themeColor="accent1"/>
                        </w:rPr>
                        <w:t>1. Thinking Critically</w:t>
                      </w:r>
                    </w:p>
                    <w:p w14:paraId="4B723209" w14:textId="5B08204C" w:rsidR="001514F2" w:rsidRPr="001514F2" w:rsidRDefault="001514F2" w:rsidP="001514F2">
                      <w:pPr>
                        <w:pBdr>
                          <w:top w:val="single" w:sz="24" w:space="8" w:color="156082" w:themeColor="accent1"/>
                          <w:bottom w:val="single" w:sz="24" w:space="8" w:color="156082" w:themeColor="accent1"/>
                        </w:pBdr>
                        <w:spacing w:after="0"/>
                        <w:rPr>
                          <w:i/>
                          <w:iCs/>
                          <w:color w:val="156082" w:themeColor="accent1"/>
                        </w:rPr>
                      </w:pPr>
                      <w:r w:rsidRPr="001514F2">
                        <w:rPr>
                          <w:i/>
                          <w:iCs/>
                          <w:color w:val="156082" w:themeColor="accent1"/>
                        </w:rPr>
                        <w:t>• Why it is important:</w:t>
                      </w:r>
                    </w:p>
                    <w:p w14:paraId="76F66F6C" w14:textId="77777777" w:rsidR="001514F2" w:rsidRPr="001514F2" w:rsidRDefault="001514F2" w:rsidP="001514F2">
                      <w:pPr>
                        <w:pBdr>
                          <w:top w:val="single" w:sz="24" w:space="8" w:color="156082" w:themeColor="accent1"/>
                          <w:bottom w:val="single" w:sz="24" w:space="8" w:color="156082" w:themeColor="accent1"/>
                        </w:pBdr>
                        <w:spacing w:after="0"/>
                        <w:rPr>
                          <w:i/>
                          <w:iCs/>
                          <w:color w:val="156082" w:themeColor="accent1"/>
                        </w:rPr>
                      </w:pPr>
                      <w:r w:rsidRPr="001514F2">
                        <w:rPr>
                          <w:i/>
                          <w:iCs/>
                          <w:color w:val="156082" w:themeColor="accent1"/>
                        </w:rPr>
                        <w:t>University study is not just about memorising facts. Students need to question ideas, compare different viewpoints, and decide whether information is trustworthy. This is especially important when using online sources, where not everything is accurate. Being able to think critically helps students write stronger assignments and make better arguments.</w:t>
                      </w:r>
                    </w:p>
                    <w:p w14:paraId="0EE97EFB" w14:textId="77777777" w:rsidR="001514F2" w:rsidRPr="001514F2" w:rsidRDefault="001514F2" w:rsidP="001514F2">
                      <w:pPr>
                        <w:pBdr>
                          <w:top w:val="single" w:sz="24" w:space="8" w:color="156082" w:themeColor="accent1"/>
                          <w:bottom w:val="single" w:sz="24" w:space="8" w:color="156082" w:themeColor="accent1"/>
                        </w:pBdr>
                        <w:spacing w:after="0"/>
                        <w:rPr>
                          <w:i/>
                          <w:iCs/>
                          <w:color w:val="156082" w:themeColor="accent1"/>
                        </w:rPr>
                      </w:pPr>
                    </w:p>
                    <w:p w14:paraId="2023C874" w14:textId="5E175964" w:rsidR="001514F2" w:rsidRDefault="001514F2" w:rsidP="001514F2">
                      <w:pPr>
                        <w:pBdr>
                          <w:top w:val="single" w:sz="24" w:space="8" w:color="156082" w:themeColor="accent1"/>
                          <w:bottom w:val="single" w:sz="24" w:space="8" w:color="156082" w:themeColor="accent1"/>
                        </w:pBdr>
                        <w:spacing w:after="0"/>
                        <w:rPr>
                          <w:i/>
                          <w:iCs/>
                          <w:color w:val="156082" w:themeColor="accent1"/>
                        </w:rPr>
                      </w:pPr>
                      <w:r w:rsidRPr="001514F2">
                        <w:rPr>
                          <w:i/>
                          <w:iCs/>
                          <w:color w:val="156082" w:themeColor="accent1"/>
                        </w:rPr>
                        <w:t xml:space="preserve">• Source: </w:t>
                      </w:r>
                      <w:proofErr w:type="spellStart"/>
                      <w:r w:rsidRPr="001514F2">
                        <w:rPr>
                          <w:i/>
                          <w:iCs/>
                          <w:color w:val="156082" w:themeColor="accent1"/>
                        </w:rPr>
                        <w:t>Facione</w:t>
                      </w:r>
                      <w:proofErr w:type="spellEnd"/>
                      <w:r w:rsidRPr="001514F2">
                        <w:rPr>
                          <w:i/>
                          <w:iCs/>
                          <w:color w:val="156082" w:themeColor="accent1"/>
                        </w:rPr>
                        <w:t>, P.A. (1990)</w:t>
                      </w:r>
                    </w:p>
                  </w:txbxContent>
                </v:textbox>
                <w10:wrap type="topAndBottom" anchorx="page"/>
              </v:shape>
            </w:pict>
          </mc:Fallback>
        </mc:AlternateContent>
      </w:r>
      <w:r w:rsidR="001514F2" w:rsidRPr="001514F2">
        <w:rPr>
          <w:rFonts w:ascii="Arial" w:hAnsi="Arial" w:cs="Arial"/>
          <w:b/>
          <w:bCs/>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Important Skills for Success in Online University Study</w:t>
      </w:r>
    </w:p>
    <w:p w14:paraId="182794DF" w14:textId="3771E21E" w:rsidR="001514F2" w:rsidRDefault="001514F2" w:rsidP="00C963C3">
      <w:pPr>
        <w:rPr>
          <w:rFonts w:ascii="Arial" w:hAnsi="Arial" w:cs="Arial"/>
          <w:b/>
          <w:bCs/>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A76B89A" w14:textId="5C2525CA" w:rsidR="00C963C3" w:rsidRPr="009F24C9" w:rsidRDefault="00C963C3" w:rsidP="00C963C3">
      <w:pPr>
        <w:rPr>
          <w:rFonts w:ascii="Arial" w:hAnsi="Arial" w:cs="Arial"/>
          <w:b/>
          <w:bCs/>
        </w:rPr>
      </w:pPr>
      <w:r w:rsidRPr="009F24C9">
        <w:rPr>
          <w:rFonts w:ascii="Arial" w:hAnsi="Arial" w:cs="Arial"/>
          <w:b/>
          <w:bCs/>
        </w:rPr>
        <w:lastRenderedPageBreak/>
        <w:t>Reference List – Component 3</w:t>
      </w:r>
    </w:p>
    <w:p w14:paraId="1AA8FA7E" w14:textId="77777777" w:rsidR="001514F2" w:rsidRDefault="001514F2" w:rsidP="001514F2">
      <w:proofErr w:type="spellStart"/>
      <w:r>
        <w:t>Facione</w:t>
      </w:r>
      <w:proofErr w:type="spellEnd"/>
      <w:r>
        <w:t xml:space="preserve">, P.A. (1990) </w:t>
      </w:r>
      <w:r w:rsidRPr="001514F2">
        <w:rPr>
          <w:i/>
          <w:iCs/>
        </w:rPr>
        <w:t>Critical Thinking: A Statement of Expert Consensus for Purposes of Educational Assessment and Instruction</w:t>
      </w:r>
      <w:r>
        <w:t>. Millbrae, CA: The California Academic Press.</w:t>
      </w:r>
    </w:p>
    <w:p w14:paraId="4697D674" w14:textId="77777777" w:rsidR="001514F2" w:rsidRDefault="001514F2" w:rsidP="001514F2"/>
    <w:p w14:paraId="58F3935F" w14:textId="6AAE9505" w:rsidR="001514F2" w:rsidRDefault="001514F2" w:rsidP="001514F2">
      <w:r>
        <w:t xml:space="preserve">Head, A.J. and Eisenberg, M.B. (2010) </w:t>
      </w:r>
      <w:r w:rsidRPr="001514F2">
        <w:rPr>
          <w:i/>
          <w:iCs/>
        </w:rPr>
        <w:t>Truth Be Told: How College Students Evaluate and Use Information in the Digital Age</w:t>
      </w:r>
      <w:r>
        <w:t>. Seattle, WA: Project Information Literacy.</w:t>
      </w:r>
    </w:p>
    <w:p w14:paraId="13697FD4" w14:textId="77777777" w:rsidR="001514F2" w:rsidRDefault="001514F2" w:rsidP="001514F2"/>
    <w:p w14:paraId="0716BBD8" w14:textId="23279838" w:rsidR="00C963C3" w:rsidRPr="001514F2" w:rsidRDefault="001514F2" w:rsidP="001514F2">
      <w:r>
        <w:t xml:space="preserve">Hyland, K. (2003) </w:t>
      </w:r>
      <w:r w:rsidRPr="001514F2">
        <w:rPr>
          <w:i/>
          <w:iCs/>
        </w:rPr>
        <w:t>Second Language Writing</w:t>
      </w:r>
      <w:r>
        <w:t>. Cambridge: Cambridge University Press.</w:t>
      </w:r>
    </w:p>
    <w:p w14:paraId="177D6731" w14:textId="3BA718A1"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50538" w14:textId="77777777" w:rsidR="00AB2C05" w:rsidRDefault="00AB2C05" w:rsidP="006D4055">
      <w:pPr>
        <w:spacing w:after="0" w:line="240" w:lineRule="auto"/>
      </w:pPr>
      <w:r>
        <w:separator/>
      </w:r>
    </w:p>
  </w:endnote>
  <w:endnote w:type="continuationSeparator" w:id="0">
    <w:p w14:paraId="7A242F9D" w14:textId="77777777" w:rsidR="00AB2C05" w:rsidRDefault="00AB2C05"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C5715" w14:textId="77777777" w:rsidR="00AB2C05" w:rsidRDefault="00AB2C05" w:rsidP="006D4055">
      <w:pPr>
        <w:spacing w:after="0" w:line="240" w:lineRule="auto"/>
      </w:pPr>
      <w:r>
        <w:separator/>
      </w:r>
    </w:p>
  </w:footnote>
  <w:footnote w:type="continuationSeparator" w:id="0">
    <w:p w14:paraId="12F435A5" w14:textId="77777777" w:rsidR="00AB2C05" w:rsidRDefault="00AB2C05"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398A"/>
    <w:rsid w:val="00021CFE"/>
    <w:rsid w:val="000B5D92"/>
    <w:rsid w:val="001500C6"/>
    <w:rsid w:val="001514F2"/>
    <w:rsid w:val="0019149B"/>
    <w:rsid w:val="002D1900"/>
    <w:rsid w:val="00307CD3"/>
    <w:rsid w:val="003B1399"/>
    <w:rsid w:val="003C3B5F"/>
    <w:rsid w:val="00434A22"/>
    <w:rsid w:val="004B3716"/>
    <w:rsid w:val="00692819"/>
    <w:rsid w:val="006B3C7C"/>
    <w:rsid w:val="006D4055"/>
    <w:rsid w:val="006F18EA"/>
    <w:rsid w:val="007421E0"/>
    <w:rsid w:val="00742574"/>
    <w:rsid w:val="007533FC"/>
    <w:rsid w:val="00753E19"/>
    <w:rsid w:val="00754DEE"/>
    <w:rsid w:val="007946CC"/>
    <w:rsid w:val="00813EB3"/>
    <w:rsid w:val="00842AC9"/>
    <w:rsid w:val="00895E11"/>
    <w:rsid w:val="0097469F"/>
    <w:rsid w:val="009A41CE"/>
    <w:rsid w:val="009F24C9"/>
    <w:rsid w:val="00A85354"/>
    <w:rsid w:val="00AB2C05"/>
    <w:rsid w:val="00B668ED"/>
    <w:rsid w:val="00B96694"/>
    <w:rsid w:val="00BA34E0"/>
    <w:rsid w:val="00BA3BAD"/>
    <w:rsid w:val="00C11B57"/>
    <w:rsid w:val="00C963C3"/>
    <w:rsid w:val="00CA655A"/>
    <w:rsid w:val="00D14056"/>
    <w:rsid w:val="00D8134F"/>
    <w:rsid w:val="00D876EA"/>
    <w:rsid w:val="00D95C9F"/>
    <w:rsid w:val="00DB3AE7"/>
    <w:rsid w:val="00DE22B3"/>
    <w:rsid w:val="00E6780D"/>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Spacing">
    <w:name w:val="No Spacing"/>
    <w:link w:val="NoSpacingChar"/>
    <w:uiPriority w:val="1"/>
    <w:qFormat/>
    <w:rsid w:val="001514F2"/>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1514F2"/>
    <w:rPr>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2001</Words>
  <Characters>11408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rachel james</cp:lastModifiedBy>
  <cp:revision>2</cp:revision>
  <dcterms:created xsi:type="dcterms:W3CDTF">2026-02-26T14:36:00Z</dcterms:created>
  <dcterms:modified xsi:type="dcterms:W3CDTF">2026-02-26T14:36:00Z</dcterms:modified>
</cp:coreProperties>
</file>