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82D6E" w14:textId="74ED938A" w:rsidR="00406FAC" w:rsidRPr="00406FAC" w:rsidRDefault="00406FAC" w:rsidP="007A4CA6">
      <w:pPr>
        <w:spacing w:line="480" w:lineRule="auto"/>
        <w:rPr>
          <w:b/>
          <w:bCs/>
        </w:rPr>
      </w:pPr>
      <w:r>
        <w:rPr>
          <w:b/>
          <w:bCs/>
        </w:rPr>
        <w:t>Introduction</w:t>
      </w:r>
    </w:p>
    <w:p w14:paraId="78BF6F97" w14:textId="0186681C" w:rsidR="006C77E5" w:rsidRDefault="00267FC4" w:rsidP="007A4CA6">
      <w:pPr>
        <w:spacing w:line="480" w:lineRule="auto"/>
      </w:pPr>
      <w:r>
        <w:t>David</w:t>
      </w:r>
      <w:r w:rsidR="001A007A">
        <w:t xml:space="preserve"> is described as </w:t>
      </w:r>
      <w:r w:rsidR="007A4CA6">
        <w:t>“</w:t>
      </w:r>
      <w:r w:rsidR="001A007A">
        <w:t>the biblical man for all seasons, the most complex and many-sided character in Scripture</w:t>
      </w:r>
      <w:r w:rsidR="007A4CA6">
        <w:t>”</w:t>
      </w:r>
      <w:r w:rsidR="001A007A">
        <w:rPr>
          <w:rStyle w:val="FootnoteReference"/>
        </w:rPr>
        <w:footnoteReference w:id="1"/>
      </w:r>
      <w:r w:rsidR="001A007A">
        <w:t xml:space="preserve">. </w:t>
      </w:r>
      <w:r w:rsidR="007B1600">
        <w:t>Fully rounded, the main, central element of the Deuteronomistic History.</w:t>
      </w:r>
      <w:r w:rsidR="007B1600">
        <w:rPr>
          <w:rStyle w:val="FootnoteReference"/>
        </w:rPr>
        <w:footnoteReference w:id="2"/>
      </w:r>
      <w:r w:rsidR="007B1600">
        <w:t xml:space="preserve"> </w:t>
      </w:r>
      <w:r w:rsidR="001A007A">
        <w:t xml:space="preserve">What is so important in this character and in his persona that makes him the repeated focus of attention in the Hebrew Scriptures, the character to whom Prophets and people turn for inspiration and hope for the present and the future? A colossus of a man, yet also a human being, flawed like all of us. </w:t>
      </w:r>
      <w:r w:rsidR="0030563A">
        <w:t xml:space="preserve">Robert Barron states that, apart from Jesus, David is </w:t>
      </w:r>
      <w:r w:rsidR="007A4CA6">
        <w:t>“</w:t>
      </w:r>
      <w:r w:rsidR="0030563A">
        <w:t>the most fully developed character in the Bible</w:t>
      </w:r>
      <w:r w:rsidR="007A4CA6">
        <w:t>”</w:t>
      </w:r>
      <w:r w:rsidR="0030563A">
        <w:rPr>
          <w:rStyle w:val="FootnoteReference"/>
        </w:rPr>
        <w:footnoteReference w:id="3"/>
      </w:r>
      <w:r w:rsidR="0030563A">
        <w:t>, a pivotal person in scripture.</w:t>
      </w:r>
      <w:r w:rsidR="0025716D">
        <w:t xml:space="preserve"> </w:t>
      </w:r>
      <w:r w:rsidR="0030563A">
        <w:t xml:space="preserve">This essay </w:t>
      </w:r>
      <w:r w:rsidR="0025716D">
        <w:t>discusses</w:t>
      </w:r>
      <w:r w:rsidR="0030563A">
        <w:t xml:space="preserve"> the importance of David</w:t>
      </w:r>
      <w:r w:rsidR="00FE0D26">
        <w:t xml:space="preserve"> </w:t>
      </w:r>
      <w:r w:rsidR="00E30787">
        <w:t>in shaping and colouring Israel’s history and spiritual life</w:t>
      </w:r>
      <w:r w:rsidR="0030563A">
        <w:t xml:space="preserve"> through</w:t>
      </w:r>
      <w:r w:rsidR="00101853">
        <w:t>:</w:t>
      </w:r>
    </w:p>
    <w:p w14:paraId="5AB52DF0" w14:textId="1DF13B17" w:rsidR="006C77E5" w:rsidRDefault="003D696A" w:rsidP="007A4CA6">
      <w:pPr>
        <w:pStyle w:val="ListParagraph"/>
        <w:numPr>
          <w:ilvl w:val="0"/>
          <w:numId w:val="2"/>
        </w:numPr>
        <w:spacing w:line="480" w:lineRule="auto"/>
      </w:pPr>
      <w:r>
        <w:t>f</w:t>
      </w:r>
      <w:r w:rsidR="00443594">
        <w:t xml:space="preserve">irst, the requirements for Godly kingship </w:t>
      </w:r>
      <w:r w:rsidR="00101853">
        <w:t>into</w:t>
      </w:r>
      <w:r w:rsidR="00443594">
        <w:t xml:space="preserve"> which David’s life story are contextualised</w:t>
      </w:r>
      <w:r>
        <w:t>;</w:t>
      </w:r>
    </w:p>
    <w:p w14:paraId="1EB8BB4B" w14:textId="55735AF0" w:rsidR="003D696A" w:rsidRDefault="001A007A" w:rsidP="007A4CA6">
      <w:pPr>
        <w:pStyle w:val="ListParagraph"/>
        <w:numPr>
          <w:ilvl w:val="0"/>
          <w:numId w:val="2"/>
        </w:numPr>
        <w:spacing w:line="480" w:lineRule="auto"/>
      </w:pPr>
      <w:r>
        <w:t xml:space="preserve">a </w:t>
      </w:r>
      <w:r w:rsidR="003D696A">
        <w:t>brief discuss</w:t>
      </w:r>
      <w:r>
        <w:t>ion</w:t>
      </w:r>
      <w:r w:rsidR="003D696A">
        <w:t xml:space="preserve"> </w:t>
      </w:r>
      <w:r>
        <w:t xml:space="preserve">of </w:t>
      </w:r>
      <w:r w:rsidR="00681EB2">
        <w:t xml:space="preserve">how </w:t>
      </w:r>
      <w:r w:rsidR="003D696A">
        <w:t>some of David’s poetry helps track his character, loves, faith and responses to life;</w:t>
      </w:r>
    </w:p>
    <w:p w14:paraId="1EFB6A1E" w14:textId="188021C0" w:rsidR="006C77E5" w:rsidRDefault="003D696A" w:rsidP="007A4CA6">
      <w:pPr>
        <w:pStyle w:val="ListParagraph"/>
        <w:numPr>
          <w:ilvl w:val="0"/>
          <w:numId w:val="2"/>
        </w:numPr>
        <w:spacing w:line="480" w:lineRule="auto"/>
      </w:pPr>
      <w:r>
        <w:t>thirdly</w:t>
      </w:r>
      <w:r w:rsidR="0025716D">
        <w:t>, selecting some of David’s key characteristics and their relevance to the rise and fall of Israel</w:t>
      </w:r>
      <w:r w:rsidR="001A007A">
        <w:t>;</w:t>
      </w:r>
    </w:p>
    <w:p w14:paraId="069B8A2A" w14:textId="14E83A68" w:rsidR="001A007A" w:rsidRDefault="001A007A" w:rsidP="007A4CA6">
      <w:pPr>
        <w:pStyle w:val="ListParagraph"/>
        <w:numPr>
          <w:ilvl w:val="0"/>
          <w:numId w:val="2"/>
        </w:numPr>
        <w:spacing w:line="480" w:lineRule="auto"/>
      </w:pPr>
      <w:r>
        <w:t>discussion of some impact</w:t>
      </w:r>
      <w:r w:rsidR="00A26971">
        <w:t>s</w:t>
      </w:r>
      <w:r>
        <w:t xml:space="preserve"> of his life</w:t>
      </w:r>
      <w:r w:rsidR="00A26971">
        <w:t xml:space="preserve"> and kingship</w:t>
      </w:r>
      <w:r w:rsidR="00C2346F">
        <w:t xml:space="preserve"> on</w:t>
      </w:r>
      <w:r>
        <w:t xml:space="preserve"> future generations of the Jewish people.</w:t>
      </w:r>
    </w:p>
    <w:p w14:paraId="334445E7" w14:textId="5D3A8994" w:rsidR="001A007A" w:rsidRDefault="001A007A" w:rsidP="007A4CA6">
      <w:pPr>
        <w:spacing w:line="480" w:lineRule="auto"/>
      </w:pPr>
      <w:r>
        <w:t>Discussion includes reference to texts which link key areas:</w:t>
      </w:r>
    </w:p>
    <w:p w14:paraId="06ECBBD7" w14:textId="4E14646B" w:rsidR="006C77E5" w:rsidRDefault="00443594" w:rsidP="007A4CA6">
      <w:pPr>
        <w:pStyle w:val="ListParagraph"/>
        <w:numPr>
          <w:ilvl w:val="1"/>
          <w:numId w:val="2"/>
        </w:numPr>
        <w:spacing w:line="480" w:lineRule="auto"/>
      </w:pPr>
      <w:r>
        <w:t xml:space="preserve">David’s anointing as the successor to Saul (1 Sam 16), </w:t>
      </w:r>
    </w:p>
    <w:p w14:paraId="514E3C9A" w14:textId="7332C29D" w:rsidR="00150C32" w:rsidRDefault="001A007A" w:rsidP="007A4CA6">
      <w:pPr>
        <w:pStyle w:val="ListParagraph"/>
        <w:numPr>
          <w:ilvl w:val="1"/>
          <w:numId w:val="2"/>
        </w:numPr>
        <w:spacing w:line="480" w:lineRule="auto"/>
      </w:pPr>
      <w:r>
        <w:lastRenderedPageBreak/>
        <w:t>David’s adultery with</w:t>
      </w:r>
      <w:r w:rsidR="006C77E5">
        <w:t xml:space="preserve"> Bathsheba </w:t>
      </w:r>
      <w:r w:rsidR="008E12F4">
        <w:t xml:space="preserve">and Nathan’s parable </w:t>
      </w:r>
      <w:r w:rsidR="006C77E5">
        <w:t>(2 Sam. 11</w:t>
      </w:r>
      <w:r w:rsidR="008E12F4">
        <w:t>-12</w:t>
      </w:r>
      <w:r w:rsidR="00150C32">
        <w:t>)</w:t>
      </w:r>
    </w:p>
    <w:p w14:paraId="7D60F8FE" w14:textId="0A74E971" w:rsidR="00150C32" w:rsidRDefault="00150C32" w:rsidP="007A4CA6">
      <w:pPr>
        <w:spacing w:line="480" w:lineRule="auto"/>
      </w:pPr>
      <w:r>
        <w:t>as well as:</w:t>
      </w:r>
    </w:p>
    <w:p w14:paraId="4D7D4092" w14:textId="1DD56189" w:rsidR="001A007A" w:rsidRDefault="00150C32" w:rsidP="007A4CA6">
      <w:pPr>
        <w:pStyle w:val="ListParagraph"/>
        <w:numPr>
          <w:ilvl w:val="1"/>
          <w:numId w:val="2"/>
        </w:numPr>
        <w:spacing w:line="480" w:lineRule="auto"/>
      </w:pPr>
      <w:r>
        <w:t>consequential struggles following David’s confession (12:13), conflicts in family and nation, and the eventual contrast</w:t>
      </w:r>
      <w:r w:rsidR="00C2346F">
        <w:t>ing fortunes</w:t>
      </w:r>
      <w:r>
        <w:t xml:space="preserve"> within the nation in future years, with reference to Kings, Chronicles and the Prophets. </w:t>
      </w:r>
    </w:p>
    <w:p w14:paraId="66A90360" w14:textId="6D22C37B" w:rsidR="001A007A" w:rsidRDefault="001A007A" w:rsidP="007A4CA6">
      <w:pPr>
        <w:pStyle w:val="ListParagraph"/>
        <w:numPr>
          <w:ilvl w:val="1"/>
          <w:numId w:val="2"/>
        </w:numPr>
        <w:spacing w:line="480" w:lineRule="auto"/>
      </w:pPr>
      <w:r>
        <w:t>the relationship of David and Jonathan</w:t>
      </w:r>
      <w:r w:rsidR="00150C32">
        <w:t>.</w:t>
      </w:r>
    </w:p>
    <w:p w14:paraId="51E1771C" w14:textId="51A347E9" w:rsidR="006C77E5" w:rsidRDefault="006C77E5" w:rsidP="007A4CA6">
      <w:pPr>
        <w:spacing w:line="480" w:lineRule="auto"/>
        <w:rPr>
          <w:b/>
          <w:bCs/>
        </w:rPr>
      </w:pPr>
    </w:p>
    <w:p w14:paraId="000A8E37" w14:textId="360D7498" w:rsidR="006C77E5" w:rsidRDefault="006C77E5" w:rsidP="007A4CA6">
      <w:pPr>
        <w:spacing w:line="480" w:lineRule="auto"/>
        <w:rPr>
          <w:b/>
          <w:bCs/>
        </w:rPr>
      </w:pPr>
      <w:r>
        <w:rPr>
          <w:b/>
          <w:bCs/>
        </w:rPr>
        <w:t>Kingship</w:t>
      </w:r>
      <w:r w:rsidR="00B82628">
        <w:rPr>
          <w:b/>
          <w:bCs/>
        </w:rPr>
        <w:t xml:space="preserve"> and Covenant</w:t>
      </w:r>
    </w:p>
    <w:p w14:paraId="73494F94" w14:textId="16C56B6C" w:rsidR="00B33512" w:rsidRDefault="00023016" w:rsidP="007A4CA6">
      <w:pPr>
        <w:spacing w:line="480" w:lineRule="auto"/>
        <w:rPr>
          <w:rFonts w:cstheme="minorHAnsi"/>
        </w:rPr>
      </w:pPr>
      <w:r>
        <w:t>In effect, covenant is the story of the Hebrew scriptures, the constancy of God’s covenantal fidelity set against his people’s infidelity.</w:t>
      </w:r>
      <w:r>
        <w:rPr>
          <w:rStyle w:val="FootnoteReference"/>
        </w:rPr>
        <w:footnoteReference w:id="4"/>
      </w:r>
      <w:r>
        <w:t xml:space="preserve"> </w:t>
      </w:r>
      <w:r w:rsidR="002F7E25">
        <w:t xml:space="preserve">Godly kingship sits within </w:t>
      </w:r>
      <w:r>
        <w:t>this</w:t>
      </w:r>
      <w:r w:rsidR="002F7E25">
        <w:t xml:space="preserve"> covenantal relationship </w:t>
      </w:r>
      <w:r w:rsidR="00101853">
        <w:t xml:space="preserve">with the Hebrews </w:t>
      </w:r>
      <w:r w:rsidR="00977764">
        <w:t xml:space="preserve">(Exod. 21:16-18; 34:1-10). </w:t>
      </w:r>
      <w:r w:rsidR="00977764">
        <w:rPr>
          <w:rFonts w:cstheme="minorHAnsi"/>
        </w:rPr>
        <w:t>Key to the theology of kingship is the merging of Godly and human kingship.</w:t>
      </w:r>
      <w:r>
        <w:rPr>
          <w:rStyle w:val="FootnoteReference"/>
          <w:rFonts w:cstheme="minorHAnsi"/>
        </w:rPr>
        <w:footnoteReference w:id="5"/>
      </w:r>
      <w:r w:rsidR="0083079F">
        <w:rPr>
          <w:rStyle w:val="FootnoteReference"/>
          <w:rFonts w:cstheme="minorHAnsi"/>
        </w:rPr>
        <w:t xml:space="preserve"> </w:t>
      </w:r>
    </w:p>
    <w:p w14:paraId="420E187F" w14:textId="77777777" w:rsidR="00B33512" w:rsidRDefault="00B33512" w:rsidP="007A4CA6">
      <w:pPr>
        <w:spacing w:line="480" w:lineRule="auto"/>
        <w:rPr>
          <w:rFonts w:cstheme="minorHAnsi"/>
        </w:rPr>
      </w:pPr>
    </w:p>
    <w:p w14:paraId="09C48CDF" w14:textId="3A11855C" w:rsidR="00023016" w:rsidRPr="00B33512" w:rsidRDefault="00977764" w:rsidP="007A4CA6">
      <w:pPr>
        <w:spacing w:line="480" w:lineRule="auto"/>
        <w:rPr>
          <w:rFonts w:cstheme="minorHAnsi"/>
          <w:vertAlign w:val="superscript"/>
        </w:rPr>
      </w:pPr>
      <w:r w:rsidRPr="007B7BBB">
        <w:rPr>
          <w:rFonts w:cstheme="minorHAnsi"/>
        </w:rPr>
        <w:t>Deuteronomy 17:14-20</w:t>
      </w:r>
      <w:r>
        <w:rPr>
          <w:rFonts w:cstheme="minorHAnsi"/>
        </w:rPr>
        <w:t xml:space="preserve"> </w:t>
      </w:r>
      <w:r w:rsidR="00150C32">
        <w:rPr>
          <w:rFonts w:cstheme="minorHAnsi"/>
        </w:rPr>
        <w:t>outlines</w:t>
      </w:r>
      <w:r>
        <w:rPr>
          <w:rFonts w:cstheme="minorHAnsi"/>
        </w:rPr>
        <w:t xml:space="preserve"> s</w:t>
      </w:r>
      <w:r w:rsidRPr="007B7BBB">
        <w:rPr>
          <w:rFonts w:cstheme="minorHAnsi"/>
        </w:rPr>
        <w:t>trict criteria for the requirements of Israelite kings</w:t>
      </w:r>
      <w:r w:rsidR="00B33512">
        <w:rPr>
          <w:rFonts w:cstheme="minorHAnsi"/>
        </w:rPr>
        <w:t>.</w:t>
      </w:r>
      <w:r w:rsidR="00B33512">
        <w:rPr>
          <w:rStyle w:val="FootnoteReference"/>
          <w:rFonts w:cstheme="minorHAnsi"/>
        </w:rPr>
        <w:footnoteReference w:id="6"/>
      </w:r>
      <w:r w:rsidR="00B33512">
        <w:rPr>
          <w:rFonts w:cstheme="minorHAnsi"/>
          <w:vertAlign w:val="superscript"/>
        </w:rPr>
        <w:t xml:space="preserve"> </w:t>
      </w:r>
      <w:r w:rsidRPr="00977764">
        <w:rPr>
          <w:rFonts w:cstheme="minorHAnsi"/>
        </w:rPr>
        <w:t>Within the narrative, 1 Samuel presents the transition from Godly kingship to human kingship.</w:t>
      </w:r>
      <w:r w:rsidR="00FE0D26">
        <w:rPr>
          <w:rFonts w:cstheme="minorHAnsi"/>
        </w:rPr>
        <w:t xml:space="preserve"> Samuel, </w:t>
      </w:r>
      <w:r w:rsidR="00FE0D26">
        <w:t xml:space="preserve">last in the line of </w:t>
      </w:r>
      <w:r w:rsidR="00101853">
        <w:t>God</w:t>
      </w:r>
      <w:r w:rsidR="00FE0D26">
        <w:t xml:space="preserve">’s leaders as Judges, reluctantly acknowledged the people’s desire to reject God’s rules and guidance and to be ruled like other nations. Saul is </w:t>
      </w:r>
      <w:r w:rsidR="00E325E8">
        <w:t xml:space="preserve">chosen by God, </w:t>
      </w:r>
      <w:r w:rsidR="00FE0D26">
        <w:t xml:space="preserve">anointed </w:t>
      </w:r>
      <w:r w:rsidR="00E325E8">
        <w:t xml:space="preserve">and elected by the people </w:t>
      </w:r>
      <w:r w:rsidR="00FE0D26">
        <w:t>(1 Sam. 8:19</w:t>
      </w:r>
      <w:r w:rsidR="00E325E8">
        <w:t>-</w:t>
      </w:r>
      <w:r w:rsidR="00FE0D26">
        <w:t>10:</w:t>
      </w:r>
      <w:r w:rsidR="00E325E8">
        <w:t>25</w:t>
      </w:r>
      <w:r w:rsidR="00FE0D26">
        <w:t>)</w:t>
      </w:r>
      <w:r w:rsidR="00E325E8">
        <w:t>, but not before Samuel has explained to the people his rights and duties, written them on a scroll and deposited it before YHWH (10:25)</w:t>
      </w:r>
      <w:r w:rsidR="00AD383C">
        <w:t xml:space="preserve"> – a sign of covenant between God, the people and the king</w:t>
      </w:r>
      <w:r w:rsidR="007D0B7B">
        <w:t xml:space="preserve"> and a </w:t>
      </w:r>
      <w:r w:rsidR="007D0B7B">
        <w:lastRenderedPageBreak/>
        <w:t>tangible ever-present reminder of God’s constant presence with all kings who are obedient to God’s word</w:t>
      </w:r>
      <w:r w:rsidR="00AD383C">
        <w:t xml:space="preserve">. </w:t>
      </w:r>
      <w:r w:rsidR="00150C32">
        <w:t xml:space="preserve">No discussion of David can ensue without the underlying </w:t>
      </w:r>
      <w:r w:rsidR="00206B8D">
        <w:t xml:space="preserve">assumption of covenant, </w:t>
      </w:r>
      <w:r w:rsidR="00A26971">
        <w:t>evident in</w:t>
      </w:r>
      <w:r w:rsidR="00206B8D">
        <w:t xml:space="preserve"> David’s poetic compositions.</w:t>
      </w:r>
    </w:p>
    <w:p w14:paraId="1B09F3E4" w14:textId="67DE4200" w:rsidR="00E325E8" w:rsidRDefault="00E325E8" w:rsidP="007A4CA6">
      <w:pPr>
        <w:spacing w:line="480" w:lineRule="auto"/>
        <w:rPr>
          <w:b/>
          <w:bCs/>
        </w:rPr>
      </w:pPr>
    </w:p>
    <w:p w14:paraId="25909870" w14:textId="0E3C0602" w:rsidR="00220658" w:rsidRDefault="00BF110B" w:rsidP="007A4CA6">
      <w:pPr>
        <w:spacing w:line="480" w:lineRule="auto"/>
        <w:rPr>
          <w:b/>
          <w:bCs/>
        </w:rPr>
      </w:pPr>
      <w:r>
        <w:rPr>
          <w:b/>
          <w:bCs/>
        </w:rPr>
        <w:t xml:space="preserve">David the </w:t>
      </w:r>
      <w:r w:rsidR="00220658">
        <w:rPr>
          <w:b/>
          <w:bCs/>
        </w:rPr>
        <w:t>Poet</w:t>
      </w:r>
    </w:p>
    <w:p w14:paraId="5E96FB1F" w14:textId="1B706A39" w:rsidR="00220658" w:rsidRDefault="00F50515" w:rsidP="007A4CA6">
      <w:pPr>
        <w:spacing w:line="480" w:lineRule="auto"/>
      </w:pPr>
      <w:r>
        <w:t xml:space="preserve">David </w:t>
      </w:r>
      <w:r w:rsidR="00206B8D">
        <w:t xml:space="preserve">refers to himself as </w:t>
      </w:r>
      <w:r w:rsidR="007A4CA6">
        <w:t>“</w:t>
      </w:r>
      <w:r w:rsidR="00206B8D">
        <w:t>the anointed of the God of Jacob, the sweet psalmist of Israel</w:t>
      </w:r>
      <w:r w:rsidR="007A4CA6">
        <w:t>”</w:t>
      </w:r>
      <w:r w:rsidR="00206B8D">
        <w:t xml:space="preserve"> (2 Sam. 23:1),</w:t>
      </w:r>
      <w:r>
        <w:t xml:space="preserve"> unique</w:t>
      </w:r>
      <w:r w:rsidR="00206B8D">
        <w:t>ly and fully</w:t>
      </w:r>
      <w:r>
        <w:t xml:space="preserve"> known </w:t>
      </w:r>
      <w:r w:rsidR="007A4CA6">
        <w:t>“</w:t>
      </w:r>
      <w:r>
        <w:t>from the outside (as subject of narrative writing) and from the inside (as writer of lyric poems)</w:t>
      </w:r>
      <w:r w:rsidR="007A4CA6">
        <w:t>”</w:t>
      </w:r>
      <w:r w:rsidR="00206B8D">
        <w:t>.</w:t>
      </w:r>
      <w:r w:rsidR="00206B8D">
        <w:rPr>
          <w:rStyle w:val="FootnoteReference"/>
        </w:rPr>
        <w:footnoteReference w:id="7"/>
      </w:r>
      <w:r w:rsidRPr="00F50515">
        <w:t xml:space="preserve"> </w:t>
      </w:r>
    </w:p>
    <w:p w14:paraId="0A962D95" w14:textId="77777777" w:rsidR="003B1E88" w:rsidRDefault="003B1E88" w:rsidP="007A4CA6">
      <w:pPr>
        <w:spacing w:line="480" w:lineRule="auto"/>
      </w:pPr>
    </w:p>
    <w:p w14:paraId="06D2ACF5" w14:textId="53D789D4" w:rsidR="0070708D" w:rsidRDefault="00220658" w:rsidP="007A4CA6">
      <w:pPr>
        <w:spacing w:line="480" w:lineRule="auto"/>
      </w:pPr>
      <w:r>
        <w:t>Psalms ascribed to</w:t>
      </w:r>
      <w:r w:rsidR="00F322D5">
        <w:t xml:space="preserve"> </w:t>
      </w:r>
      <w:r w:rsidR="00E81A54">
        <w:t>David show him as a skilled</w:t>
      </w:r>
      <w:r w:rsidR="00FB4FB5">
        <w:t xml:space="preserve">, </w:t>
      </w:r>
      <w:r w:rsidR="00E81A54">
        <w:t xml:space="preserve">honest writer, </w:t>
      </w:r>
      <w:r w:rsidR="00206B8D">
        <w:t xml:space="preserve">evidencing </w:t>
      </w:r>
      <w:r w:rsidR="00E81A54">
        <w:t>beauty of structure, vocabulary</w:t>
      </w:r>
      <w:r w:rsidR="00206B8D">
        <w:t xml:space="preserve"> and</w:t>
      </w:r>
      <w:r w:rsidR="00E81A54">
        <w:t xml:space="preserve"> style sadly</w:t>
      </w:r>
      <w:r w:rsidR="00206B8D">
        <w:t xml:space="preserve"> lacking</w:t>
      </w:r>
      <w:r w:rsidR="00E81A54">
        <w:t xml:space="preserve"> in English translations. </w:t>
      </w:r>
      <w:r w:rsidR="00F322D5">
        <w:t xml:space="preserve">Many emerge from David’s experiences as a musician, shepherd, warrior, king and even as one seeking refuge and safety </w:t>
      </w:r>
      <w:r w:rsidR="007D0B7B">
        <w:t>from</w:t>
      </w:r>
      <w:r w:rsidR="00F322D5">
        <w:t xml:space="preserve"> his enemies.</w:t>
      </w:r>
      <w:r w:rsidR="00F322D5">
        <w:rPr>
          <w:rStyle w:val="FootnoteReference"/>
        </w:rPr>
        <w:footnoteReference w:id="8"/>
      </w:r>
      <w:r>
        <w:t xml:space="preserve"> </w:t>
      </w:r>
    </w:p>
    <w:p w14:paraId="084284BC" w14:textId="77777777" w:rsidR="0070708D" w:rsidRDefault="0070708D" w:rsidP="007A4CA6">
      <w:pPr>
        <w:spacing w:line="480" w:lineRule="auto"/>
      </w:pPr>
    </w:p>
    <w:p w14:paraId="157420D1" w14:textId="13629DA5" w:rsidR="00E8600E" w:rsidRDefault="00206B8D" w:rsidP="007A4CA6">
      <w:pPr>
        <w:pStyle w:val="ListParagraph"/>
        <w:numPr>
          <w:ilvl w:val="0"/>
          <w:numId w:val="6"/>
        </w:numPr>
        <w:spacing w:line="480" w:lineRule="auto"/>
      </w:pPr>
      <w:r>
        <w:t xml:space="preserve">The theme of </w:t>
      </w:r>
      <w:r w:rsidR="003C5D2D">
        <w:t xml:space="preserve">danger and rescue </w:t>
      </w:r>
      <w:r>
        <w:t>often appears</w:t>
      </w:r>
      <w:r w:rsidR="003C5D2D">
        <w:t xml:space="preserve"> – individual complaints pleading for God to rescue </w:t>
      </w:r>
      <w:r w:rsidR="007D0B7B">
        <w:t xml:space="preserve">him </w:t>
      </w:r>
      <w:r w:rsidR="003C5D2D">
        <w:t>from difficult situations, often enemies, often Saul and his armies.</w:t>
      </w:r>
      <w:r w:rsidR="003C5D2D">
        <w:rPr>
          <w:rStyle w:val="FootnoteReference"/>
        </w:rPr>
        <w:footnoteReference w:id="9"/>
      </w:r>
      <w:r w:rsidR="00802524">
        <w:t xml:space="preserve"> </w:t>
      </w:r>
      <w:r w:rsidR="003A5CB2">
        <w:t xml:space="preserve">They are earthy, heart-felt and real; they show David’s complete </w:t>
      </w:r>
      <w:r w:rsidR="00802524">
        <w:t>trust in God, even when in mortal danger (</w:t>
      </w:r>
      <w:r w:rsidR="00E8600E">
        <w:t xml:space="preserve">Ps. </w:t>
      </w:r>
      <w:r w:rsidR="00802524">
        <w:t xml:space="preserve">54:4-5; 56: 2-4; </w:t>
      </w:r>
      <w:r w:rsidR="003A5CB2">
        <w:t xml:space="preserve">57:10; 59:16-17; </w:t>
      </w:r>
      <w:r w:rsidR="00802524">
        <w:t xml:space="preserve">142:5-6). </w:t>
      </w:r>
    </w:p>
    <w:p w14:paraId="0D68207F" w14:textId="4D3E47E3" w:rsidR="00220658" w:rsidRDefault="003A5CB2" w:rsidP="007A4CA6">
      <w:pPr>
        <w:pStyle w:val="ListParagraph"/>
        <w:numPr>
          <w:ilvl w:val="0"/>
          <w:numId w:val="6"/>
        </w:numPr>
        <w:spacing w:line="480" w:lineRule="auto"/>
      </w:pPr>
      <w:r>
        <w:t xml:space="preserve">Some express deep panic (cf. 57:4-7). Some, even in his fear, </w:t>
      </w:r>
      <w:r w:rsidR="00101853">
        <w:t>seek</w:t>
      </w:r>
      <w:r>
        <w:t xml:space="preserve"> compassion</w:t>
      </w:r>
      <w:r w:rsidR="00101853">
        <w:t>ate</w:t>
      </w:r>
      <w:r>
        <w:t xml:space="preserve"> justice for his enemies (cf. 59:11-13).</w:t>
      </w:r>
    </w:p>
    <w:p w14:paraId="0C078BAB" w14:textId="3EC8A84D" w:rsidR="00CE6DBF" w:rsidRDefault="00CE6DBF" w:rsidP="007A4CA6">
      <w:pPr>
        <w:pStyle w:val="ListParagraph"/>
        <w:numPr>
          <w:ilvl w:val="0"/>
          <w:numId w:val="6"/>
        </w:numPr>
        <w:spacing w:line="480" w:lineRule="auto"/>
      </w:pPr>
      <w:r>
        <w:lastRenderedPageBreak/>
        <w:t xml:space="preserve">Many show his absolute confidence </w:t>
      </w:r>
      <w:r w:rsidR="00101853">
        <w:t>in</w:t>
      </w:r>
      <w:r>
        <w:t xml:space="preserve"> the protective love of God, to whom he owes obedience and praise:</w:t>
      </w:r>
    </w:p>
    <w:p w14:paraId="28EFA745" w14:textId="46AB96DD" w:rsidR="00CE6DBF" w:rsidRDefault="00447E9E" w:rsidP="007A4CA6">
      <w:pPr>
        <w:pStyle w:val="ListParagraph"/>
        <w:numPr>
          <w:ilvl w:val="1"/>
          <w:numId w:val="6"/>
        </w:numPr>
        <w:spacing w:line="480" w:lineRule="auto"/>
      </w:pPr>
      <w:r>
        <w:t>Abraham looks up at the night sky and sees the vastness of God’s c</w:t>
      </w:r>
      <w:r w:rsidR="00AB7A64">
        <w:t>o</w:t>
      </w:r>
      <w:r>
        <w:t>venantal generosity (Gen. 15:1-</w:t>
      </w:r>
      <w:r w:rsidR="006D4DEF">
        <w:t>6)</w:t>
      </w:r>
      <w:r w:rsidR="00C2346F">
        <w:t>;</w:t>
      </w:r>
      <w:r>
        <w:t xml:space="preserve"> </w:t>
      </w:r>
      <w:r w:rsidR="00A26971">
        <w:t>as a shepherd boy</w:t>
      </w:r>
      <w:r w:rsidR="00A26971">
        <w:t xml:space="preserve"> </w:t>
      </w:r>
      <w:r>
        <w:t>David looks up at the sky</w:t>
      </w:r>
      <w:r w:rsidR="00206B8D">
        <w:t xml:space="preserve">, </w:t>
      </w:r>
      <w:r w:rsidR="00E8600E">
        <w:t>wonders at</w:t>
      </w:r>
      <w:r>
        <w:t xml:space="preserve"> the vastness of God</w:t>
      </w:r>
      <w:r w:rsidR="00206B8D">
        <w:t xml:space="preserve"> and humbly</w:t>
      </w:r>
      <w:r>
        <w:t xml:space="preserve"> </w:t>
      </w:r>
      <w:r w:rsidR="00206B8D">
        <w:t xml:space="preserve">sees the smallness and insignificance of humans, yet the great majestic God finds space to care intimately for each one. </w:t>
      </w:r>
      <w:r>
        <w:t>(</w:t>
      </w:r>
      <w:r w:rsidR="006D4DEF">
        <w:t xml:space="preserve">Ps. </w:t>
      </w:r>
      <w:r>
        <w:t xml:space="preserve">8:3-9). </w:t>
      </w:r>
      <w:r w:rsidR="006D4DEF">
        <w:t>Likewise</w:t>
      </w:r>
      <w:r w:rsidR="00CE6DBF">
        <w:t xml:space="preserve"> in Psalm 139</w:t>
      </w:r>
      <w:r w:rsidR="006D4DEF">
        <w:t xml:space="preserve">, David reflects reverently on </w:t>
      </w:r>
      <w:r w:rsidR="00CE6DBF">
        <w:t>how</w:t>
      </w:r>
      <w:r w:rsidR="00A26971">
        <w:t xml:space="preserve"> God’s</w:t>
      </w:r>
      <w:r w:rsidR="006D4DEF">
        <w:t xml:space="preserve"> </w:t>
      </w:r>
      <w:r w:rsidR="00A26971">
        <w:t xml:space="preserve">intimate </w:t>
      </w:r>
      <w:r w:rsidR="006D4DEF">
        <w:t>omniscie</w:t>
      </w:r>
      <w:r w:rsidR="00A26971">
        <w:t>nce</w:t>
      </w:r>
      <w:r w:rsidR="006D4DEF">
        <w:t xml:space="preserve"> and omniprese</w:t>
      </w:r>
      <w:r w:rsidR="00CE6DBF">
        <w:t>n</w:t>
      </w:r>
      <w:r w:rsidR="00A26971">
        <w:t>ce</w:t>
      </w:r>
      <w:r w:rsidR="00CE6DBF">
        <w:t>. There is</w:t>
      </w:r>
      <w:r w:rsidR="006D4DEF">
        <w:t xml:space="preserve"> no hiding place</w:t>
      </w:r>
      <w:r w:rsidR="00CE6DBF">
        <w:t xml:space="preserve"> from him</w:t>
      </w:r>
      <w:r w:rsidR="006D4DEF">
        <w:t xml:space="preserve"> (139:1-7, 13-14, 23-24). </w:t>
      </w:r>
    </w:p>
    <w:p w14:paraId="5B541610" w14:textId="5835FD5F" w:rsidR="0088578B" w:rsidRDefault="006D4DEF" w:rsidP="007A4CA6">
      <w:pPr>
        <w:pStyle w:val="ListParagraph"/>
        <w:numPr>
          <w:ilvl w:val="1"/>
          <w:numId w:val="6"/>
        </w:numPr>
        <w:spacing w:line="480" w:lineRule="auto"/>
      </w:pPr>
      <w:r>
        <w:t xml:space="preserve">David </w:t>
      </w:r>
      <w:r w:rsidR="00A26971">
        <w:t>shows great</w:t>
      </w:r>
      <w:r>
        <w:t xml:space="preserve"> joy</w:t>
      </w:r>
      <w:r w:rsidR="00101853">
        <w:t>, faith and worship</w:t>
      </w:r>
      <w:r>
        <w:t>, as when he brings the Ark of the Covenant to its permanent home in Jerusalem (2 Sam. 6:14-19; Ps. 96).</w:t>
      </w:r>
    </w:p>
    <w:p w14:paraId="1190ADB3" w14:textId="62C5A4E4" w:rsidR="001027EB" w:rsidRDefault="001027EB" w:rsidP="007A4CA6">
      <w:pPr>
        <w:spacing w:line="480" w:lineRule="auto"/>
      </w:pPr>
    </w:p>
    <w:p w14:paraId="3B3C8650" w14:textId="6D0B359E" w:rsidR="003A5CB2" w:rsidRDefault="00CE6DBF" w:rsidP="007A4CA6">
      <w:pPr>
        <w:spacing w:line="480" w:lineRule="auto"/>
      </w:pPr>
      <w:r>
        <w:t>In his</w:t>
      </w:r>
      <w:r w:rsidR="00663BC0">
        <w:t xml:space="preserve"> Song of Thanksgiving (2 Sam. 22-23) </w:t>
      </w:r>
      <w:r>
        <w:t>David</w:t>
      </w:r>
      <w:r w:rsidR="007A41D4">
        <w:t xml:space="preserve"> </w:t>
      </w:r>
      <w:r w:rsidR="00663BC0">
        <w:t xml:space="preserve">reflects on the turmoil of his life and the constancy of his faith in God (22:1-4), God’s strength and underpinning power, love and protection (22:17-20). David vows that he has never strayed from God’s ways, </w:t>
      </w:r>
      <w:proofErr w:type="spellStart"/>
      <w:r w:rsidR="00A26971">
        <w:t>withoit</w:t>
      </w:r>
      <w:proofErr w:type="spellEnd"/>
      <w:r w:rsidR="00A26971">
        <w:t xml:space="preserve"> acknowledging</w:t>
      </w:r>
      <w:r w:rsidR="00663BC0">
        <w:t xml:space="preserve"> the sinfulness and disobedience surrounding his adulterous love for Bathsheba. </w:t>
      </w:r>
      <w:r w:rsidR="00C076C0">
        <w:t>T</w:t>
      </w:r>
      <w:r w:rsidR="00663BC0">
        <w:t xml:space="preserve">his </w:t>
      </w:r>
      <w:r w:rsidR="007D0B7B">
        <w:t>Song of Deliverance finds a voice in</w:t>
      </w:r>
      <w:r w:rsidR="00BF110B">
        <w:t xml:space="preserve"> the</w:t>
      </w:r>
      <w:r w:rsidR="00663BC0">
        <w:t xml:space="preserve"> parallel Psalm 37</w:t>
      </w:r>
      <w:r w:rsidR="001027EB" w:rsidRPr="00212A37">
        <w:t>,</w:t>
      </w:r>
      <w:r w:rsidR="00BF110B" w:rsidRPr="00212A37">
        <w:t xml:space="preserve"> </w:t>
      </w:r>
      <w:r w:rsidR="00212A37">
        <w:t>“</w:t>
      </w:r>
      <w:r w:rsidR="00212A37">
        <w:rPr>
          <w:lang w:val="en-US"/>
        </w:rPr>
        <w:t>a</w:t>
      </w:r>
      <w:r w:rsidR="00212A37" w:rsidRPr="00212A37">
        <w:rPr>
          <w:lang w:val="en-US"/>
        </w:rPr>
        <w:t xml:space="preserve">n </w:t>
      </w:r>
      <w:r w:rsidR="00212A37">
        <w:rPr>
          <w:lang w:val="en-US"/>
        </w:rPr>
        <w:t>a</w:t>
      </w:r>
      <w:r w:rsidR="00212A37" w:rsidRPr="00212A37">
        <w:rPr>
          <w:lang w:val="en-US"/>
        </w:rPr>
        <w:t>crostic Psalm of Wisdom</w:t>
      </w:r>
      <w:r w:rsidR="00212A37">
        <w:rPr>
          <w:lang w:val="en-US"/>
        </w:rPr>
        <w:t>”</w:t>
      </w:r>
      <w:r w:rsidR="00212A37" w:rsidRPr="00212A37">
        <w:rPr>
          <w:vertAlign w:val="superscript"/>
        </w:rPr>
        <w:footnoteReference w:id="10"/>
      </w:r>
      <w:r w:rsidR="00212A37" w:rsidRPr="00212A37">
        <w:rPr>
          <w:lang w:val="en-US"/>
        </w:rPr>
        <w:t>,</w:t>
      </w:r>
      <w:r w:rsidR="00212A37" w:rsidRPr="00212A37">
        <w:t xml:space="preserve"> </w:t>
      </w:r>
      <w:r w:rsidR="001027EB">
        <w:t xml:space="preserve">purposefully </w:t>
      </w:r>
      <w:r>
        <w:t>speak</w:t>
      </w:r>
      <w:r w:rsidR="00101853">
        <w:t>ing</w:t>
      </w:r>
      <w:r>
        <w:t xml:space="preserve"> </w:t>
      </w:r>
      <w:r w:rsidR="00A26971">
        <w:t xml:space="preserve">wisdom </w:t>
      </w:r>
      <w:r>
        <w:t xml:space="preserve">to </w:t>
      </w:r>
      <w:r w:rsidR="001027EB">
        <w:t>future generations</w:t>
      </w:r>
      <w:r w:rsidR="00BF110B">
        <w:t>.</w:t>
      </w:r>
      <w:r w:rsidRPr="00CE6DBF">
        <w:t xml:space="preserve"> </w:t>
      </w:r>
      <w:r>
        <w:t>His Psalms give testimony to the emotions and depths of character which accompany David’s actions and the fortunes of the nation.</w:t>
      </w:r>
    </w:p>
    <w:p w14:paraId="7CBC97BE" w14:textId="2B2F11C2" w:rsidR="00220658" w:rsidRDefault="00220658" w:rsidP="007A4CA6">
      <w:pPr>
        <w:spacing w:line="480" w:lineRule="auto"/>
        <w:rPr>
          <w:b/>
          <w:bCs/>
        </w:rPr>
      </w:pPr>
    </w:p>
    <w:p w14:paraId="08672F67" w14:textId="349DB9DF" w:rsidR="00310192" w:rsidRPr="00E325E8" w:rsidRDefault="00BF110B" w:rsidP="007A4CA6">
      <w:pPr>
        <w:spacing w:line="480" w:lineRule="auto"/>
        <w:rPr>
          <w:b/>
          <w:bCs/>
        </w:rPr>
      </w:pPr>
      <w:r>
        <w:rPr>
          <w:b/>
          <w:bCs/>
        </w:rPr>
        <w:t>David’s Anointing</w:t>
      </w:r>
    </w:p>
    <w:p w14:paraId="577A27BD" w14:textId="29A94D2B" w:rsidR="00340FEA" w:rsidRDefault="00310192" w:rsidP="007A4CA6">
      <w:pPr>
        <w:spacing w:line="480" w:lineRule="auto"/>
      </w:pPr>
      <w:r>
        <w:lastRenderedPageBreak/>
        <w:t xml:space="preserve">Covenantal blessing shapes David’s life and reign. </w:t>
      </w:r>
      <w:r w:rsidR="00CE6DBF">
        <w:t xml:space="preserve">He first appears in the life of the nation at the point where God rejects Saul and calls Samuel to seek his successor, </w:t>
      </w:r>
      <w:r>
        <w:t xml:space="preserve">leading to his anointing and blessing (16:1, 11-13). David is first and foremost God’s chosen one (16:1), anointed openly and confirmed with a powerful outpouring </w:t>
      </w:r>
      <w:r w:rsidR="00C2346F">
        <w:t>of God’s</w:t>
      </w:r>
      <w:r>
        <w:t xml:space="preserve"> Spirit (16:13). </w:t>
      </w:r>
      <w:r w:rsidR="00CE6DBF">
        <w:t xml:space="preserve">Constant reminders appear throughout </w:t>
      </w:r>
      <w:r w:rsidR="00340FEA">
        <w:t xml:space="preserve">the narration that follows. </w:t>
      </w:r>
    </w:p>
    <w:p w14:paraId="0FAC1482" w14:textId="77777777" w:rsidR="00340FEA" w:rsidRDefault="00340FEA" w:rsidP="007A4CA6">
      <w:pPr>
        <w:spacing w:line="480" w:lineRule="auto"/>
      </w:pPr>
    </w:p>
    <w:p w14:paraId="799244F3" w14:textId="42711A2D" w:rsidR="00310192" w:rsidRDefault="00340FEA" w:rsidP="007A4CA6">
      <w:pPr>
        <w:spacing w:line="480" w:lineRule="auto"/>
      </w:pPr>
      <w:r>
        <w:t xml:space="preserve">A shepherd boy, </w:t>
      </w:r>
      <w:r w:rsidR="00310192">
        <w:t xml:space="preserve">David </w:t>
      </w:r>
      <w:r>
        <w:t>presumably</w:t>
      </w:r>
      <w:r w:rsidR="00310192">
        <w:t xml:space="preserve"> learn</w:t>
      </w:r>
      <w:r>
        <w:t>s</w:t>
      </w:r>
      <w:r w:rsidR="00310192">
        <w:t xml:space="preserve"> all the skills necessary to be a good shepherd – caring, protective, strong, fearless in the face of danger from wild animals, possessing guile and cunning to confront them, a skilled fighter, albeit with the ordinary </w:t>
      </w:r>
      <w:r w:rsidR="00101853">
        <w:t>weapons</w:t>
      </w:r>
      <w:r w:rsidR="00310192">
        <w:t xml:space="preserve"> at his disposal (slingshot and stones, etc), </w:t>
      </w:r>
      <w:r>
        <w:t xml:space="preserve">in themselves </w:t>
      </w:r>
      <w:r w:rsidR="00310192">
        <w:t xml:space="preserve">vital skills for </w:t>
      </w:r>
      <w:r>
        <w:t xml:space="preserve">strong </w:t>
      </w:r>
      <w:r w:rsidR="00310192">
        <w:t>kingship.</w:t>
      </w:r>
      <w:r w:rsidR="00310192">
        <w:rPr>
          <w:rStyle w:val="FootnoteReference"/>
        </w:rPr>
        <w:footnoteReference w:id="11"/>
      </w:r>
      <w:r w:rsidR="00310192">
        <w:t xml:space="preserve"> He is noted as a lyre player (16:23), </w:t>
      </w:r>
      <w:r>
        <w:t>perhaps</w:t>
      </w:r>
      <w:r w:rsidR="00310192">
        <w:t xml:space="preserve"> learned while tending the sheep. </w:t>
      </w:r>
      <w:r w:rsidR="00FB209A">
        <w:t xml:space="preserve">Whilst little is known about his father, Jesse, it can be assumed that Jesse and his family ‘know’ God (16:1b). </w:t>
      </w:r>
      <w:r w:rsidR="00310192">
        <w:t>Jesse is a Bethlehemite (1 Sam 16:1), tracing his roots through Ruth and Boaz (Ruth 4:17, 21-22) back to Adam</w:t>
      </w:r>
      <w:r>
        <w:t>.</w:t>
      </w:r>
      <w:r>
        <w:rPr>
          <w:rStyle w:val="FootnoteReference"/>
        </w:rPr>
        <w:footnoteReference w:id="12"/>
      </w:r>
      <w:r w:rsidR="00310192">
        <w:t xml:space="preserve"> These </w:t>
      </w:r>
      <w:r w:rsidR="00FB209A">
        <w:t xml:space="preserve">shape </w:t>
      </w:r>
      <w:r w:rsidR="00310192">
        <w:t xml:space="preserve">David’s </w:t>
      </w:r>
      <w:r w:rsidR="00FB209A">
        <w:t>underlying life as a person and leader.</w:t>
      </w:r>
      <w:r w:rsidR="00310192">
        <w:t xml:space="preserve"> </w:t>
      </w:r>
      <w:r w:rsidR="00FB209A">
        <w:t>Attention is needed to t</w:t>
      </w:r>
      <w:r w:rsidR="00BF45F5">
        <w:t>he narrat</w:t>
      </w:r>
      <w:r w:rsidR="00FB209A">
        <w:t>or’s physical description of David at his s</w:t>
      </w:r>
      <w:r w:rsidR="00BF45F5">
        <w:t>election</w:t>
      </w:r>
      <w:r w:rsidR="00AB7A64">
        <w:t xml:space="preserve"> </w:t>
      </w:r>
      <w:r w:rsidR="00BF45F5">
        <w:t>and anointing as the future king</w:t>
      </w:r>
      <w:r w:rsidR="00101853">
        <w:t>, words which initiate speculation about David’s encounters with Jonathan</w:t>
      </w:r>
    </w:p>
    <w:p w14:paraId="095BE215" w14:textId="014C5FC9" w:rsidR="009E705A" w:rsidRPr="00BF45F5" w:rsidRDefault="009E705A" w:rsidP="007A4CA6">
      <w:pPr>
        <w:pStyle w:val="ListParagraph"/>
        <w:numPr>
          <w:ilvl w:val="0"/>
          <w:numId w:val="8"/>
        </w:numPr>
        <w:spacing w:line="480" w:lineRule="auto"/>
        <w:rPr>
          <w:rFonts w:cstheme="minorHAnsi"/>
          <w:b/>
          <w:bCs/>
        </w:rPr>
      </w:pPr>
      <w:r>
        <w:t>Samuel seeks out God’s chosen</w:t>
      </w:r>
      <w:r w:rsidR="00BF45F5">
        <w:t xml:space="preserve"> </w:t>
      </w:r>
      <w:r>
        <w:t xml:space="preserve">successor to replace the rejected Saul (1 Sam. 16:1-13). Guided to Jesse’s family and </w:t>
      </w:r>
      <w:r w:rsidR="00BF45F5">
        <w:t xml:space="preserve">he </w:t>
      </w:r>
      <w:r>
        <w:t>sees each son in turn, but fail</w:t>
      </w:r>
      <w:r w:rsidR="00BF45F5">
        <w:t>s</w:t>
      </w:r>
      <w:r>
        <w:t xml:space="preserve"> to </w:t>
      </w:r>
      <w:r w:rsidR="00BF45F5">
        <w:t>find</w:t>
      </w:r>
      <w:r>
        <w:t xml:space="preserve"> the right one. On meeting Eliab, God emphatically tells Samuel not to judge by a person’s appearance (16:7)</w:t>
      </w:r>
      <w:r w:rsidR="00BF45F5">
        <w:t>. Finally David, out in the fields, is sent for.</w:t>
      </w:r>
    </w:p>
    <w:p w14:paraId="24FD04DD" w14:textId="6FE674F2" w:rsidR="009E705A" w:rsidRDefault="00BF45F5" w:rsidP="007A4CA6">
      <w:pPr>
        <w:pStyle w:val="ListParagraph"/>
        <w:numPr>
          <w:ilvl w:val="0"/>
          <w:numId w:val="7"/>
        </w:numPr>
        <w:spacing w:line="480" w:lineRule="auto"/>
      </w:pPr>
      <w:r>
        <w:lastRenderedPageBreak/>
        <w:t>Despite God’s words concerning Eliab, t</w:t>
      </w:r>
      <w:r w:rsidR="009E705A">
        <w:t>he narrator pointedly describes David’s physical appearance similar</w:t>
      </w:r>
      <w:r>
        <w:t xml:space="preserve">ly </w:t>
      </w:r>
      <w:r w:rsidR="009E705A">
        <w:t>(the youngest, a shepherd boy, glowing in health, of fine appearance and handsome) followed by God indicating David as his chosen one (16:11-12).</w:t>
      </w:r>
      <w:r w:rsidR="00AB7A64">
        <w:t xml:space="preserve"> Samuel anoints and blesses David.</w:t>
      </w:r>
    </w:p>
    <w:p w14:paraId="6074D384" w14:textId="7176CC73" w:rsidR="00FB209A" w:rsidRDefault="00AB7A64" w:rsidP="007A4CA6">
      <w:pPr>
        <w:pStyle w:val="ListParagraph"/>
        <w:numPr>
          <w:ilvl w:val="0"/>
          <w:numId w:val="7"/>
        </w:numPr>
        <w:spacing w:line="480" w:lineRule="auto"/>
      </w:pPr>
      <w:r>
        <w:t xml:space="preserve">Narrative shifts to Saul’s spiritual torment and </w:t>
      </w:r>
      <w:r w:rsidR="00FB209A">
        <w:t>David</w:t>
      </w:r>
      <w:r>
        <w:t>’s</w:t>
      </w:r>
      <w:r w:rsidR="00FB209A">
        <w:t xml:space="preserve"> invit</w:t>
      </w:r>
      <w:r>
        <w:t>ation</w:t>
      </w:r>
      <w:r w:rsidR="00FB209A">
        <w:t xml:space="preserve"> into Saul’s service as musician and armour-bearer.</w:t>
      </w:r>
    </w:p>
    <w:p w14:paraId="1032D544" w14:textId="77777777" w:rsidR="00BF45F5" w:rsidRDefault="00BF45F5" w:rsidP="007A4CA6">
      <w:pPr>
        <w:spacing w:line="480" w:lineRule="auto"/>
        <w:rPr>
          <w:b/>
          <w:bCs/>
        </w:rPr>
      </w:pPr>
    </w:p>
    <w:p w14:paraId="043D0A50" w14:textId="775CC7D2" w:rsidR="007858D8" w:rsidRDefault="007858D8" w:rsidP="007A4CA6">
      <w:pPr>
        <w:spacing w:line="480" w:lineRule="auto"/>
        <w:rPr>
          <w:b/>
          <w:bCs/>
        </w:rPr>
      </w:pPr>
      <w:r>
        <w:rPr>
          <w:b/>
          <w:bCs/>
        </w:rPr>
        <w:t>David</w:t>
      </w:r>
      <w:r w:rsidR="008E12F4">
        <w:rPr>
          <w:b/>
          <w:bCs/>
        </w:rPr>
        <w:t xml:space="preserve">, Saul and </w:t>
      </w:r>
      <w:r>
        <w:rPr>
          <w:b/>
          <w:bCs/>
        </w:rPr>
        <w:t>Jonathan</w:t>
      </w:r>
    </w:p>
    <w:p w14:paraId="071AC118" w14:textId="0651D52F" w:rsidR="00AB7A64" w:rsidRDefault="00AB7A64" w:rsidP="007A4CA6">
      <w:pPr>
        <w:spacing w:line="480" w:lineRule="auto"/>
      </w:pPr>
      <w:r>
        <w:t xml:space="preserve">Complex arguments continue to arise over the nature of David’s and Saul’s son, Jonathan’s </w:t>
      </w:r>
      <w:r w:rsidR="0002690D">
        <w:t xml:space="preserve">potential homosexual </w:t>
      </w:r>
      <w:r>
        <w:t>relationship.</w:t>
      </w:r>
      <w:r w:rsidR="004316EC">
        <w:rPr>
          <w:rStyle w:val="FootnoteReference"/>
        </w:rPr>
        <w:footnoteReference w:id="13"/>
      </w:r>
      <w:r w:rsidR="004316EC">
        <w:t xml:space="preserve"> </w:t>
      </w:r>
      <w:r w:rsidR="00007C8D">
        <w:t>Vocabulary, context and actions fuel the discussions</w:t>
      </w:r>
      <w:r>
        <w:t>:</w:t>
      </w:r>
    </w:p>
    <w:p w14:paraId="61CCDDB7" w14:textId="0094C06D" w:rsidR="005669FA" w:rsidRDefault="00AB7A64" w:rsidP="007A4CA6">
      <w:pPr>
        <w:pStyle w:val="ListParagraph"/>
        <w:numPr>
          <w:ilvl w:val="0"/>
          <w:numId w:val="7"/>
        </w:numPr>
        <w:spacing w:line="480" w:lineRule="auto"/>
      </w:pPr>
      <w:r>
        <w:t>The</w:t>
      </w:r>
      <w:r w:rsidR="00282ED8">
        <w:t xml:space="preserve"> pointed description</w:t>
      </w:r>
      <w:r w:rsidR="00BF45F5">
        <w:t xml:space="preserve"> </w:t>
      </w:r>
      <w:r>
        <w:t xml:space="preserve">of David’s physical appearance bears strong </w:t>
      </w:r>
      <w:r w:rsidR="00BF45F5">
        <w:t>similar</w:t>
      </w:r>
      <w:r>
        <w:t>ity</w:t>
      </w:r>
      <w:r w:rsidR="00BF45F5">
        <w:t xml:space="preserve"> to th</w:t>
      </w:r>
      <w:r>
        <w:t xml:space="preserve">at provided by Saul’s servant (himself ‘a young man’), </w:t>
      </w:r>
      <w:r w:rsidR="00282ED8">
        <w:t xml:space="preserve">again followed immediately by God’s approval: ‘and the Lord is with him’(16:18). </w:t>
      </w:r>
    </w:p>
    <w:p w14:paraId="1F853107" w14:textId="301320EB" w:rsidR="005669FA" w:rsidRDefault="00153871" w:rsidP="007A4CA6">
      <w:pPr>
        <w:pStyle w:val="ListParagraph"/>
        <w:numPr>
          <w:ilvl w:val="0"/>
          <w:numId w:val="7"/>
        </w:numPr>
        <w:spacing w:line="480" w:lineRule="auto"/>
      </w:pPr>
      <w:r>
        <w:t xml:space="preserve">Saul’s immediate response to </w:t>
      </w:r>
      <w:r w:rsidR="005E2151">
        <w:t>David</w:t>
      </w:r>
      <w:r>
        <w:t xml:space="preserve"> is to love him greatly (16:21), engag</w:t>
      </w:r>
      <w:r w:rsidR="005E2151">
        <w:t>e</w:t>
      </w:r>
      <w:r>
        <w:t xml:space="preserve"> him to be armour-bearer, </w:t>
      </w:r>
      <w:r w:rsidR="005E2151">
        <w:t>draw him to r</w:t>
      </w:r>
      <w:r>
        <w:t>emain in Saul’s service, hav</w:t>
      </w:r>
      <w:r w:rsidR="005E2151">
        <w:t>ing</w:t>
      </w:r>
      <w:r>
        <w:t xml:space="preserve"> ‘found favour’ in his sight (16:21-22).</w:t>
      </w:r>
      <w:r w:rsidR="00D66179">
        <w:rPr>
          <w:rStyle w:val="FootnoteReference"/>
        </w:rPr>
        <w:footnoteReference w:id="14"/>
      </w:r>
      <w:r>
        <w:t xml:space="preserve"> David’s soothing playing is carefully noted (16:23). </w:t>
      </w:r>
    </w:p>
    <w:p w14:paraId="0A0595AD" w14:textId="5FA18A7E" w:rsidR="0002690D" w:rsidRPr="0002690D" w:rsidRDefault="00282ED8" w:rsidP="007A4CA6">
      <w:pPr>
        <w:pStyle w:val="ListParagraph"/>
        <w:numPr>
          <w:ilvl w:val="0"/>
          <w:numId w:val="7"/>
        </w:numPr>
        <w:spacing w:line="480" w:lineRule="auto"/>
      </w:pPr>
      <w:r>
        <w:t xml:space="preserve">His appearance is again </w:t>
      </w:r>
      <w:r w:rsidR="005669FA">
        <w:t xml:space="preserve">emphasised </w:t>
      </w:r>
      <w:r>
        <w:t>when Goliath contemptuously confronts him (17:41</w:t>
      </w:r>
      <w:r w:rsidR="005669FA">
        <w:t>-42</w:t>
      </w:r>
      <w:r>
        <w:t>).</w:t>
      </w:r>
      <w:r w:rsidR="00A6418D">
        <w:t xml:space="preserve"> </w:t>
      </w:r>
      <w:r w:rsidR="00A6418D" w:rsidRPr="00A6418D">
        <w:rPr>
          <w:rFonts w:cstheme="minorHAnsi"/>
        </w:rPr>
        <w:t xml:space="preserve">David contrasts with all the main characters, Saul, Goliath, and David’s </w:t>
      </w:r>
      <w:r w:rsidR="00A6418D" w:rsidRPr="00A6418D">
        <w:rPr>
          <w:rFonts w:cstheme="minorHAnsi"/>
        </w:rPr>
        <w:lastRenderedPageBreak/>
        <w:t xml:space="preserve">brother, Eliab. </w:t>
      </w:r>
      <w:r w:rsidR="00A6418D">
        <w:rPr>
          <w:rFonts w:cstheme="minorHAnsi"/>
        </w:rPr>
        <w:t xml:space="preserve">He is a history maker, </w:t>
      </w:r>
      <w:r w:rsidR="007A4CA6">
        <w:rPr>
          <w:rFonts w:cstheme="minorHAnsi"/>
        </w:rPr>
        <w:t>“</w:t>
      </w:r>
      <w:r w:rsidR="00A6418D" w:rsidRPr="00A6418D">
        <w:rPr>
          <w:rFonts w:cstheme="minorHAnsi"/>
          <w:lang w:val="en-US"/>
        </w:rPr>
        <w:t xml:space="preserve">a singular focus on David at the expense of all the others. </w:t>
      </w:r>
      <w:r w:rsidR="00A6418D">
        <w:rPr>
          <w:rFonts w:cstheme="minorHAnsi"/>
          <w:lang w:val="en-US"/>
        </w:rPr>
        <w:t>… H</w:t>
      </w:r>
      <w:r w:rsidR="00A6418D" w:rsidRPr="00A6418D">
        <w:rPr>
          <w:rFonts w:cstheme="minorHAnsi"/>
          <w:lang w:val="en-US"/>
        </w:rPr>
        <w:t>e acts in ways that give a new future to his community</w:t>
      </w:r>
      <w:r w:rsidR="007A4CA6">
        <w:rPr>
          <w:rFonts w:cstheme="minorHAnsi"/>
          <w:lang w:val="en-US"/>
        </w:rPr>
        <w:t>”</w:t>
      </w:r>
      <w:r w:rsidR="0080377D">
        <w:rPr>
          <w:rFonts w:cstheme="minorHAnsi"/>
          <w:lang w:val="en-US"/>
        </w:rPr>
        <w:t>.</w:t>
      </w:r>
      <w:r w:rsidR="00A6418D" w:rsidRPr="000D292F">
        <w:rPr>
          <w:vertAlign w:val="superscript"/>
        </w:rPr>
        <w:footnoteReference w:id="15"/>
      </w:r>
    </w:p>
    <w:p w14:paraId="203B847B" w14:textId="77777777" w:rsidR="0002690D" w:rsidRDefault="00A6418D" w:rsidP="007A4CA6">
      <w:pPr>
        <w:pStyle w:val="ListParagraph"/>
        <w:numPr>
          <w:ilvl w:val="0"/>
          <w:numId w:val="7"/>
        </w:numPr>
        <w:spacing w:line="480" w:lineRule="auto"/>
      </w:pPr>
      <w:r>
        <w:t xml:space="preserve">Saul’s </w:t>
      </w:r>
      <w:r w:rsidR="0002690D">
        <w:t>favour</w:t>
      </w:r>
      <w:r>
        <w:t xml:space="preserve"> turns quickly to jealous rage, suspicious of David’s growing popularity. Key to David’s survival against Saul’s jealous rages are not just his strength, cunning and agility, but especially his relationship with Saul’s son, Jonathan. A strong bond develops (1 Sam 18:1)</w:t>
      </w:r>
      <w:r w:rsidR="0002690D">
        <w:t>.</w:t>
      </w:r>
    </w:p>
    <w:p w14:paraId="597C7E2A" w14:textId="5E150E1C" w:rsidR="0002690D" w:rsidRDefault="00195D27" w:rsidP="007A4CA6">
      <w:pPr>
        <w:pStyle w:val="ListParagraph"/>
        <w:numPr>
          <w:ilvl w:val="0"/>
          <w:numId w:val="7"/>
        </w:numPr>
        <w:spacing w:line="480" w:lineRule="auto"/>
      </w:pPr>
      <w:r>
        <w:t>Jonathan b</w:t>
      </w:r>
      <w:r w:rsidR="0002690D">
        <w:t xml:space="preserve">inds </w:t>
      </w:r>
      <w:r>
        <w:t>his soul together with David’s, ‘loving him as his own soul’</w:t>
      </w:r>
      <w:r w:rsidR="0080377D">
        <w:t>.</w:t>
      </w:r>
      <w:r>
        <w:t xml:space="preserve"> </w:t>
      </w:r>
      <w:r w:rsidR="0080377D">
        <w:t>A</w:t>
      </w:r>
      <w:r>
        <w:t xml:space="preserve"> covenant seals them in friendship and loyalty, repeating once more </w:t>
      </w:r>
      <w:r w:rsidR="00C2346F">
        <w:t>‘</w:t>
      </w:r>
      <w:r>
        <w:t>loving</w:t>
      </w:r>
      <w:r w:rsidR="0080377D">
        <w:t xml:space="preserve"> him</w:t>
      </w:r>
      <w:r>
        <w:t xml:space="preserve"> as his own soul</w:t>
      </w:r>
      <w:r w:rsidR="00C2346F">
        <w:t>’</w:t>
      </w:r>
      <w:r>
        <w:t xml:space="preserve">, then giving David his robe, armour, sword, belt and bow (18:1-5). This is </w:t>
      </w:r>
      <w:r w:rsidR="0080377D">
        <w:t>total</w:t>
      </w:r>
      <w:r>
        <w:t xml:space="preserve"> covenant</w:t>
      </w:r>
      <w:r w:rsidR="0080377D">
        <w:t>al</w:t>
      </w:r>
      <w:r>
        <w:t xml:space="preserve"> bonding</w:t>
      </w:r>
      <w:r w:rsidR="005669FA">
        <w:t xml:space="preserve">. </w:t>
      </w:r>
    </w:p>
    <w:p w14:paraId="6CD4F4CB" w14:textId="13510FB4" w:rsidR="00195D27" w:rsidRDefault="0002690D" w:rsidP="007A4CA6">
      <w:pPr>
        <w:pStyle w:val="ListParagraph"/>
        <w:numPr>
          <w:ilvl w:val="0"/>
          <w:numId w:val="7"/>
        </w:numPr>
        <w:spacing w:line="480" w:lineRule="auto"/>
      </w:pPr>
      <w:r>
        <w:t xml:space="preserve">Saul’s </w:t>
      </w:r>
      <w:r w:rsidR="0080377D">
        <w:t>fiercely aroused</w:t>
      </w:r>
      <w:r>
        <w:t xml:space="preserve"> jealousy as</w:t>
      </w:r>
      <w:r w:rsidR="003B2EB5">
        <w:t xml:space="preserve"> </w:t>
      </w:r>
      <w:r w:rsidR="00995AEF">
        <w:t xml:space="preserve">the women </w:t>
      </w:r>
      <w:r>
        <w:t>acknowledge David for</w:t>
      </w:r>
      <w:r w:rsidR="00995AEF">
        <w:t xml:space="preserve"> </w:t>
      </w:r>
      <w:r w:rsidR="003B2EB5">
        <w:t>his</w:t>
      </w:r>
      <w:r w:rsidR="00995AEF">
        <w:t xml:space="preserve"> greater prowess </w:t>
      </w:r>
      <w:r w:rsidR="003B2EB5">
        <w:t>in their joyful chants</w:t>
      </w:r>
      <w:r w:rsidR="003B2EB5">
        <w:rPr>
          <w:rStyle w:val="FootnoteReference"/>
        </w:rPr>
        <w:footnoteReference w:id="16"/>
      </w:r>
      <w:r>
        <w:t xml:space="preserve"> sees Jonathan</w:t>
      </w:r>
      <w:r w:rsidR="00995AEF">
        <w:t xml:space="preserve"> </w:t>
      </w:r>
      <w:r w:rsidR="003B2EB5">
        <w:t>interced</w:t>
      </w:r>
      <w:r>
        <w:t>ing</w:t>
      </w:r>
      <w:r w:rsidR="003B2EB5">
        <w:t xml:space="preserve"> for </w:t>
      </w:r>
      <w:r w:rsidR="0080377D">
        <w:t>David,</w:t>
      </w:r>
      <w:r w:rsidR="003B2EB5">
        <w:t xml:space="preserve"> to appease his father (19:4-7), and later, </w:t>
      </w:r>
      <w:r w:rsidR="0080377D">
        <w:t xml:space="preserve">through </w:t>
      </w:r>
      <w:r w:rsidR="003B2EB5">
        <w:t>loyal</w:t>
      </w:r>
      <w:r w:rsidR="0080377D">
        <w:t>t</w:t>
      </w:r>
      <w:r w:rsidR="003B2EB5">
        <w:t xml:space="preserve">y and great danger to himself, </w:t>
      </w:r>
      <w:r w:rsidR="00067B7D">
        <w:t>plot</w:t>
      </w:r>
      <w:r>
        <w:t>ting</w:t>
      </w:r>
      <w:r w:rsidR="003B2EB5">
        <w:t xml:space="preserve"> to</w:t>
      </w:r>
      <w:r w:rsidR="00067B7D">
        <w:t xml:space="preserve"> p</w:t>
      </w:r>
      <w:r w:rsidR="00995AEF">
        <w:t>rovide information to allow David to evade Saul’s jealous purge of him</w:t>
      </w:r>
      <w:r w:rsidR="00067B7D">
        <w:t xml:space="preserve"> (20). Here, the narrator emphasises</w:t>
      </w:r>
      <w:r>
        <w:t xml:space="preserve"> once more</w:t>
      </w:r>
      <w:r w:rsidR="00067B7D">
        <w:t xml:space="preserve"> David</w:t>
      </w:r>
      <w:r w:rsidR="0080377D">
        <w:t>’s</w:t>
      </w:r>
      <w:r w:rsidR="00067B7D">
        <w:t xml:space="preserve"> and Jonathan’s deep covenantal and, perhaps, homosexual relationship (20:41-42).</w:t>
      </w:r>
      <w:r w:rsidR="00067B7D">
        <w:rPr>
          <w:rStyle w:val="FootnoteReference"/>
        </w:rPr>
        <w:footnoteReference w:id="17"/>
      </w:r>
    </w:p>
    <w:p w14:paraId="07E5AFF6" w14:textId="119C366E" w:rsidR="00CD1F1A" w:rsidRDefault="00CD1F1A" w:rsidP="007A4CA6">
      <w:pPr>
        <w:spacing w:line="480" w:lineRule="auto"/>
      </w:pPr>
    </w:p>
    <w:p w14:paraId="29A6A964" w14:textId="21FD47D7" w:rsidR="00CD1F1A" w:rsidRDefault="00CD1F1A" w:rsidP="007A4CA6">
      <w:pPr>
        <w:spacing w:line="480" w:lineRule="auto"/>
      </w:pPr>
      <w:r>
        <w:t xml:space="preserve">The contrasting arguments concerning the sexual relationship between David and Jonathan are inconclusive. </w:t>
      </w:r>
      <w:r w:rsidR="004D2D1E">
        <w:t xml:space="preserve">There is a danger in not recognising one’s own biases and concepts about </w:t>
      </w:r>
      <w:r w:rsidR="004D2D1E">
        <w:lastRenderedPageBreak/>
        <w:t>the nature and function of the Bible.</w:t>
      </w:r>
      <w:r w:rsidR="004D2D1E">
        <w:rPr>
          <w:rStyle w:val="FootnoteReference"/>
        </w:rPr>
        <w:footnoteReference w:id="18"/>
      </w:r>
      <w:r w:rsidR="004D2D1E">
        <w:t xml:space="preserve"> </w:t>
      </w:r>
      <w:r w:rsidR="00C72160">
        <w:t xml:space="preserve">Those who hold strong views on either hetero- or homosexual relationships </w:t>
      </w:r>
      <w:r w:rsidR="00CD4321">
        <w:t>do not have specific interests in David and Jonathan, but have their own agendas. They seek biblical evidence to support biblical arguments for homosexuality, or condemn modern views on homosexuality and anyone who holds such views, seeing David and Jonathan as pure, strongly linked, loving friends.</w:t>
      </w:r>
      <w:r w:rsidR="003335EC">
        <w:rPr>
          <w:rStyle w:val="FootnoteReference"/>
        </w:rPr>
        <w:footnoteReference w:id="19"/>
      </w:r>
      <w:r w:rsidR="000F584D">
        <w:t xml:space="preserve"> </w:t>
      </w:r>
    </w:p>
    <w:p w14:paraId="6AECF9CB" w14:textId="77777777" w:rsidR="00CD1F1A" w:rsidRDefault="00CD1F1A" w:rsidP="007A4CA6">
      <w:pPr>
        <w:spacing w:line="480" w:lineRule="auto"/>
      </w:pPr>
    </w:p>
    <w:p w14:paraId="40246496" w14:textId="0C6C1E21" w:rsidR="00A27750" w:rsidRPr="00A27750" w:rsidRDefault="00A27750" w:rsidP="007A4CA6">
      <w:pPr>
        <w:spacing w:line="480" w:lineRule="auto"/>
        <w:rPr>
          <w:b/>
          <w:bCs/>
        </w:rPr>
      </w:pPr>
      <w:r>
        <w:t xml:space="preserve">David’s lament later at Jonathan’s death ‘greatly beloved were you to me; your love to me was wonderful, passing the love of women’ (2 Sam. 1:26) fuels speculation. Is the relationship </w:t>
      </w:r>
      <w:r w:rsidR="007A4CA6">
        <w:t>“</w:t>
      </w:r>
      <w:r>
        <w:t>intimate camaraderie between two young soldiers</w:t>
      </w:r>
      <w:r w:rsidR="007A4CA6">
        <w:t>”</w:t>
      </w:r>
      <w:r w:rsidR="00007C8D">
        <w:t xml:space="preserve"> </w:t>
      </w:r>
      <w:r>
        <w:t>or homosexual?</w:t>
      </w:r>
      <w:r w:rsidR="00007C8D">
        <w:rPr>
          <w:rStyle w:val="FootnoteReference"/>
        </w:rPr>
        <w:footnoteReference w:id="20"/>
      </w:r>
      <w:r w:rsidR="00007C8D">
        <w:t xml:space="preserve"> </w:t>
      </w:r>
      <w:r>
        <w:t>It depends on cultural interpretation.</w:t>
      </w:r>
      <w:r>
        <w:rPr>
          <w:b/>
          <w:bCs/>
        </w:rPr>
        <w:t xml:space="preserve"> </w:t>
      </w:r>
      <w:r w:rsidR="00C076C0">
        <w:t>Whilst important, w</w:t>
      </w:r>
      <w:r w:rsidR="00CD1F1A">
        <w:t xml:space="preserve">hat is </w:t>
      </w:r>
      <w:r w:rsidR="00C076C0">
        <w:t>more relevant to this discussion</w:t>
      </w:r>
      <w:r w:rsidR="00CD1F1A">
        <w:t xml:space="preserve"> is </w:t>
      </w:r>
      <w:r>
        <w:t xml:space="preserve">how God perhaps uses </w:t>
      </w:r>
      <w:r w:rsidR="00CD1F1A">
        <w:t xml:space="preserve">their strong loyal bond </w:t>
      </w:r>
      <w:r>
        <w:t xml:space="preserve">to </w:t>
      </w:r>
      <w:r w:rsidR="00CD1F1A">
        <w:t xml:space="preserve">enable David, as </w:t>
      </w:r>
      <w:r>
        <w:t>his</w:t>
      </w:r>
      <w:r w:rsidR="00CD1F1A">
        <w:t xml:space="preserve"> chosen future king, to succeed Saul who was increasingly failing as a Godly king. </w:t>
      </w:r>
    </w:p>
    <w:p w14:paraId="0DC49FEC" w14:textId="77777777" w:rsidR="00A27750" w:rsidRDefault="00A27750" w:rsidP="007A4CA6">
      <w:pPr>
        <w:spacing w:line="480" w:lineRule="auto"/>
      </w:pPr>
    </w:p>
    <w:p w14:paraId="092C38E2" w14:textId="14B2FF61" w:rsidR="00101175" w:rsidRPr="00A65C50" w:rsidRDefault="009264E7" w:rsidP="007A4CA6">
      <w:pPr>
        <w:spacing w:line="480" w:lineRule="auto"/>
      </w:pPr>
      <w:r>
        <w:t xml:space="preserve">The narrator links David’s character and person with the fortunes of the nation, recording simply and dispassionately David’s realisation of the magnitude of </w:t>
      </w:r>
      <w:r w:rsidR="00A65C50">
        <w:t>God’s grace and hand upon him and the nation of Israel (5:12)</w:t>
      </w:r>
      <w:r>
        <w:t>.</w:t>
      </w:r>
      <w:r w:rsidR="00706C87">
        <w:t xml:space="preserve"> David remains faithful to God, and God seals an eternal covenant with the house and kingdom of David (7:16).</w:t>
      </w:r>
    </w:p>
    <w:p w14:paraId="4A4A137A" w14:textId="16DA1886" w:rsidR="008C026D" w:rsidRPr="008C026D" w:rsidRDefault="008C026D" w:rsidP="007A4CA6">
      <w:pPr>
        <w:spacing w:line="480" w:lineRule="auto"/>
      </w:pPr>
    </w:p>
    <w:p w14:paraId="6FDC689E" w14:textId="5A9D6A40" w:rsidR="00C55D0C" w:rsidRPr="008C026D" w:rsidRDefault="008C026D" w:rsidP="007A4CA6">
      <w:pPr>
        <w:spacing w:line="480" w:lineRule="auto"/>
      </w:pPr>
      <w:r>
        <w:rPr>
          <w:b/>
          <w:bCs/>
        </w:rPr>
        <w:t>David and Bathsheba</w:t>
      </w:r>
    </w:p>
    <w:p w14:paraId="1D3E4C46" w14:textId="4055F231" w:rsidR="00D52E2F" w:rsidRDefault="00AA0870" w:rsidP="007A4CA6">
      <w:pPr>
        <w:spacing w:line="480" w:lineRule="auto"/>
      </w:pPr>
      <w:r>
        <w:lastRenderedPageBreak/>
        <w:t xml:space="preserve">At the height of his many successes, David’s adultery with Bathsheba marks a turning point, an </w:t>
      </w:r>
      <w:r w:rsidR="007A4CA6">
        <w:t>“</w:t>
      </w:r>
      <w:r>
        <w:t>epic fall from grace</w:t>
      </w:r>
      <w:r w:rsidR="007A4CA6">
        <w:t>”</w:t>
      </w:r>
      <w:r>
        <w:rPr>
          <w:rStyle w:val="FootnoteReference"/>
        </w:rPr>
        <w:footnoteReference w:id="21"/>
      </w:r>
      <w:r>
        <w:t>. For both David and Israel, it is the point of no return</w:t>
      </w:r>
      <w:r w:rsidR="001334A9">
        <w:t>.</w:t>
      </w:r>
      <w:r w:rsidR="001334A9">
        <w:rPr>
          <w:rStyle w:val="FootnoteReference"/>
        </w:rPr>
        <w:footnoteReference w:id="22"/>
      </w:r>
      <w:r>
        <w:t xml:space="preserve"> Like the mark of Cain (Gen. 4:16), </w:t>
      </w:r>
      <w:r w:rsidR="00A27750">
        <w:t>Barron comments:</w:t>
      </w:r>
    </w:p>
    <w:p w14:paraId="15EDCE6B" w14:textId="77777777" w:rsidR="007A4CA6" w:rsidRDefault="007A4CA6" w:rsidP="007A4CA6">
      <w:pPr>
        <w:spacing w:line="480" w:lineRule="auto"/>
        <w:ind w:left="720" w:right="1082"/>
      </w:pPr>
    </w:p>
    <w:p w14:paraId="1B748090" w14:textId="1BCCABF6" w:rsidR="00D52E2F" w:rsidRDefault="00AA0870" w:rsidP="007A4CA6">
      <w:pPr>
        <w:spacing w:line="480" w:lineRule="auto"/>
        <w:ind w:left="720" w:right="1082"/>
      </w:pPr>
      <w:r>
        <w:t>innocence is never to be retrieved. From now on the life of David is marked, and all Israel must live with that mark.</w:t>
      </w:r>
      <w:r w:rsidR="00D52E2F">
        <w:t xml:space="preserve"> … the narrative shift from public triumph … to personal pathos … from a life of blessing to a life under curse</w:t>
      </w:r>
      <w:r w:rsidR="009A7E10">
        <w:t>.</w:t>
      </w:r>
      <w:r>
        <w:rPr>
          <w:rStyle w:val="FootnoteReference"/>
        </w:rPr>
        <w:footnoteReference w:id="23"/>
      </w:r>
    </w:p>
    <w:p w14:paraId="0E7C3288" w14:textId="77777777" w:rsidR="00D52E2F" w:rsidRDefault="00D52E2F" w:rsidP="007A4CA6">
      <w:pPr>
        <w:spacing w:line="480" w:lineRule="auto"/>
        <w:ind w:left="720" w:right="1082"/>
      </w:pPr>
    </w:p>
    <w:p w14:paraId="11A1377B" w14:textId="630DB8A7" w:rsidR="00706C87" w:rsidRDefault="00C03E1D" w:rsidP="007A4CA6">
      <w:pPr>
        <w:spacing w:line="480" w:lineRule="auto"/>
      </w:pPr>
      <w:r>
        <w:t>The narrative i</w:t>
      </w:r>
      <w:r w:rsidR="00835A6C">
        <w:t>s</w:t>
      </w:r>
      <w:r>
        <w:t xml:space="preserve"> best viewed as </w:t>
      </w:r>
      <w:r w:rsidR="007A4CA6">
        <w:rPr>
          <w:rFonts w:cstheme="minorHAnsi"/>
        </w:rPr>
        <w:t>“</w:t>
      </w:r>
      <w:proofErr w:type="spellStart"/>
      <w:r w:rsidR="00DE01A2" w:rsidRPr="00DE01A2">
        <w:rPr>
          <w:rFonts w:cstheme="minorHAnsi"/>
        </w:rPr>
        <w:t>semihistorical</w:t>
      </w:r>
      <w:proofErr w:type="spellEnd"/>
      <w:r w:rsidR="00DE01A2" w:rsidRPr="00DE01A2">
        <w:rPr>
          <w:rFonts w:cstheme="minorHAnsi"/>
        </w:rPr>
        <w:t xml:space="preserve"> writing of a theological, ethical, social, and national character</w:t>
      </w:r>
      <w:r w:rsidR="007A4CA6">
        <w:rPr>
          <w:rFonts w:cstheme="minorHAnsi"/>
        </w:rPr>
        <w:t>”</w:t>
      </w:r>
      <w:r w:rsidR="00DE01A2">
        <w:rPr>
          <w:rStyle w:val="FootnoteReference"/>
          <w:rFonts w:cstheme="minorHAnsi"/>
        </w:rPr>
        <w:footnoteReference w:id="24"/>
      </w:r>
      <w:r w:rsidR="00DE01A2">
        <w:rPr>
          <w:rFonts w:cstheme="minorHAnsi"/>
        </w:rPr>
        <w:t>.</w:t>
      </w:r>
      <w:r w:rsidR="00DE01A2" w:rsidRPr="00DE01A2">
        <w:rPr>
          <w:rFonts w:cstheme="minorHAnsi"/>
          <w:sz w:val="22"/>
          <w:szCs w:val="22"/>
        </w:rPr>
        <w:t xml:space="preserve"> </w:t>
      </w:r>
      <w:r w:rsidR="006E24F9">
        <w:t>Importantly, 2 Samuel 11 and 12 should be seen as one unit</w:t>
      </w:r>
      <w:r w:rsidR="0094492F">
        <w:t>, a key part within the cycle of David’s life.</w:t>
      </w:r>
      <w:r w:rsidR="00DE01A2">
        <w:rPr>
          <w:rStyle w:val="FootnoteReference"/>
        </w:rPr>
        <w:footnoteReference w:id="25"/>
      </w:r>
      <w:r w:rsidR="0094492F">
        <w:t xml:space="preserve"> </w:t>
      </w:r>
      <w:r w:rsidR="00BE3058">
        <w:t xml:space="preserve">David’s </w:t>
      </w:r>
      <w:r w:rsidR="00706C87">
        <w:t xml:space="preserve">relationship with God </w:t>
      </w:r>
      <w:r w:rsidR="00007C8D">
        <w:t xml:space="preserve">is paralleled </w:t>
      </w:r>
      <w:r w:rsidR="00706C87">
        <w:t>with</w:t>
      </w:r>
      <w:r w:rsidR="00BE3058">
        <w:t xml:space="preserve"> the nation’s </w:t>
      </w:r>
      <w:r w:rsidR="00706C87">
        <w:t xml:space="preserve">and his family’s </w:t>
      </w:r>
      <w:r w:rsidR="00BE3058">
        <w:t>rise and fall</w:t>
      </w:r>
      <w:r w:rsidR="00596F6A">
        <w:t xml:space="preserve">. </w:t>
      </w:r>
    </w:p>
    <w:p w14:paraId="78EE52F6" w14:textId="77777777" w:rsidR="00706C87" w:rsidRDefault="00706C87" w:rsidP="007A4CA6">
      <w:pPr>
        <w:spacing w:line="480" w:lineRule="auto"/>
      </w:pPr>
    </w:p>
    <w:p w14:paraId="42B13A42" w14:textId="1A1779C7" w:rsidR="00706C87" w:rsidRDefault="00706C87" w:rsidP="007A4CA6">
      <w:pPr>
        <w:spacing w:line="480" w:lineRule="auto"/>
      </w:pPr>
      <w:r>
        <w:t>T</w:t>
      </w:r>
      <w:r w:rsidR="00AD0AEE">
        <w:t>he very traits that bring success are also flawed trait</w:t>
      </w:r>
      <w:r w:rsidR="00C543C3">
        <w:t>s</w:t>
      </w:r>
      <w:r>
        <w:t xml:space="preserve">. </w:t>
      </w:r>
      <w:r w:rsidR="00AD0AEE">
        <w:t xml:space="preserve">David slowly moves away from God’s bidding and is distracted by other </w:t>
      </w:r>
      <w:r w:rsidR="00C543C3">
        <w:t>worldly temptations</w:t>
      </w:r>
      <w:r w:rsidR="000D28F1">
        <w:t>. He disregards God’s essential requirements for kingship</w:t>
      </w:r>
      <w:r>
        <w:t xml:space="preserve"> with</w:t>
      </w:r>
      <w:r w:rsidR="000D28F1">
        <w:t xml:space="preserve"> many wives and concubines (5:13-15)</w:t>
      </w:r>
      <w:r>
        <w:t xml:space="preserve">, </w:t>
      </w:r>
      <w:r w:rsidR="000D28F1">
        <w:t>many horses and chariots (</w:t>
      </w:r>
      <w:r w:rsidR="00835A6C">
        <w:t>cf. 8:4), much wealth (cf. 8:7-8)</w:t>
      </w:r>
      <w:r>
        <w:t xml:space="preserve"> -</w:t>
      </w:r>
      <w:r w:rsidR="00835A6C">
        <w:t xml:space="preserve"> some of which David did</w:t>
      </w:r>
      <w:r w:rsidR="00007C8D">
        <w:t>, admittedly,</w:t>
      </w:r>
      <w:r w:rsidR="00835A6C">
        <w:t xml:space="preserve"> dedicate to the Lord (8:10-12).</w:t>
      </w:r>
      <w:r w:rsidR="00835A6C">
        <w:rPr>
          <w:rStyle w:val="FootnoteReference"/>
        </w:rPr>
        <w:footnoteReference w:id="26"/>
      </w:r>
    </w:p>
    <w:p w14:paraId="4F4CC163" w14:textId="77777777" w:rsidR="00706C87" w:rsidRDefault="00706C87" w:rsidP="007A4CA6">
      <w:pPr>
        <w:spacing w:line="480" w:lineRule="auto"/>
      </w:pPr>
    </w:p>
    <w:p w14:paraId="437B08EE" w14:textId="11A787E2" w:rsidR="009B2C10" w:rsidRDefault="00706C87" w:rsidP="007A4CA6">
      <w:pPr>
        <w:spacing w:line="480" w:lineRule="auto"/>
      </w:pPr>
      <w:r>
        <w:t xml:space="preserve">Important for </w:t>
      </w:r>
      <w:r w:rsidR="00DD2EC4">
        <w:t>the narrator is David’s obedience to word of God and moral rectitude. David falls short on both accounts</w:t>
      </w:r>
      <w:r>
        <w:t xml:space="preserve"> through his disregard for </w:t>
      </w:r>
      <w:r w:rsidR="009A7E10">
        <w:t>God’s Commandments and the conditions of Godly kingship.</w:t>
      </w:r>
      <w:r w:rsidR="009B2C10">
        <w:t xml:space="preserve"> The narrator contrasts David’s adultery with a married woman and murder of </w:t>
      </w:r>
      <w:r w:rsidR="00142F7D">
        <w:t>her husband Uriah</w:t>
      </w:r>
      <w:r w:rsidR="009B2C10">
        <w:t xml:space="preserve"> with </w:t>
      </w:r>
      <w:r w:rsidR="00142F7D">
        <w:t xml:space="preserve">Uriah’s rectitude on his return from fighting (11:6-13), </w:t>
      </w:r>
      <w:r w:rsidR="002C4FAE">
        <w:t xml:space="preserve">the irony of Uriah carrying the order for his own death to the commander, Joab, </w:t>
      </w:r>
      <w:r w:rsidR="00142F7D">
        <w:t xml:space="preserve">and </w:t>
      </w:r>
      <w:r w:rsidR="002C4FAE">
        <w:t>with Joab’s reinterpretation of David’s order (11:14-17)</w:t>
      </w:r>
      <w:r w:rsidR="009B2C10">
        <w:t>.</w:t>
      </w:r>
    </w:p>
    <w:p w14:paraId="77223F88" w14:textId="77777777" w:rsidR="009B2C10" w:rsidRDefault="009B2C10" w:rsidP="007A4CA6">
      <w:pPr>
        <w:spacing w:line="480" w:lineRule="auto"/>
      </w:pPr>
    </w:p>
    <w:p w14:paraId="333B1776" w14:textId="60767083" w:rsidR="00596F6A" w:rsidRDefault="00DD2EC4" w:rsidP="007A4CA6">
      <w:pPr>
        <w:spacing w:line="480" w:lineRule="auto"/>
      </w:pPr>
      <w:r>
        <w:t>The short, but tantalising description (11:2-5) leave</w:t>
      </w:r>
      <w:r w:rsidR="00142F7D">
        <w:t>s</w:t>
      </w:r>
      <w:r>
        <w:t xml:space="preserve"> room for speculation of David’s character and intentions: Why was David not with his troops? </w:t>
      </w:r>
      <w:r w:rsidR="00142F7D">
        <w:t>Was David anxiously waiting for news, deliberately scanning the view over Jerusalem or</w:t>
      </w:r>
      <w:r w:rsidR="00142F7D" w:rsidRPr="00142F7D">
        <w:t xml:space="preserve"> </w:t>
      </w:r>
      <w:r w:rsidR="00142F7D">
        <w:t>bored, in a somnolent state more open to temptation? David had many concubines and wives</w:t>
      </w:r>
      <w:r w:rsidR="009B2C10">
        <w:t>. W</w:t>
      </w:r>
      <w:r w:rsidR="00142F7D">
        <w:t xml:space="preserve">as this </w:t>
      </w:r>
      <w:r w:rsidR="00007C8D">
        <w:t xml:space="preserve">event </w:t>
      </w:r>
      <w:r w:rsidR="00142F7D">
        <w:t>a normal part of David’s behaviour? Was Bathsheba innocently undergoing ritual bathing after her period? Was she in the privacy of a room or bathing outside for all to see her present availability?</w:t>
      </w:r>
    </w:p>
    <w:p w14:paraId="5ED14013" w14:textId="1C940121" w:rsidR="00666F6D" w:rsidRDefault="00666F6D" w:rsidP="007A4CA6">
      <w:pPr>
        <w:spacing w:line="480" w:lineRule="auto"/>
        <w:rPr>
          <w:b/>
          <w:bCs/>
        </w:rPr>
      </w:pPr>
    </w:p>
    <w:p w14:paraId="06C5D511" w14:textId="4840062A" w:rsidR="00666F6D" w:rsidRPr="008C026D" w:rsidRDefault="00666F6D" w:rsidP="007A4CA6">
      <w:pPr>
        <w:spacing w:line="480" w:lineRule="auto"/>
      </w:pPr>
      <w:r>
        <w:rPr>
          <w:b/>
          <w:bCs/>
        </w:rPr>
        <w:t>Nathan and Repentanc</w:t>
      </w:r>
      <w:r w:rsidR="00620278">
        <w:rPr>
          <w:b/>
          <w:bCs/>
        </w:rPr>
        <w:t>e</w:t>
      </w:r>
    </w:p>
    <w:p w14:paraId="58FB6DD5" w14:textId="44BE7DF4" w:rsidR="009B2C10" w:rsidRDefault="00DD17B0" w:rsidP="007A4CA6">
      <w:pPr>
        <w:spacing w:line="480" w:lineRule="auto"/>
      </w:pPr>
      <w:r>
        <w:t xml:space="preserve">If David’s adultery with Bathsheba </w:t>
      </w:r>
      <w:r w:rsidR="009B2C10">
        <w:t>occur</w:t>
      </w:r>
      <w:r w:rsidR="00007C8D">
        <w:t>s</w:t>
      </w:r>
      <w:r w:rsidR="009B2C10">
        <w:t xml:space="preserve"> at</w:t>
      </w:r>
      <w:r>
        <w:t xml:space="preserve"> the peak of David’s actions and fame</w:t>
      </w:r>
      <w:r w:rsidR="009B2C10">
        <w:t xml:space="preserve"> and </w:t>
      </w:r>
      <w:r>
        <w:t>t</w:t>
      </w:r>
      <w:r w:rsidR="000B7C55">
        <w:t>he nation’s</w:t>
      </w:r>
      <w:r>
        <w:t xml:space="preserve"> height of prosperity and influence, it also beg</w:t>
      </w:r>
      <w:r w:rsidR="000B7C55">
        <w:t>ins</w:t>
      </w:r>
      <w:r>
        <w:t xml:space="preserve"> their decline. It </w:t>
      </w:r>
      <w:r w:rsidR="000B7C55">
        <w:t xml:space="preserve">is </w:t>
      </w:r>
      <w:r>
        <w:t>Nathan’s parable (2 Sam. 12) that jolt</w:t>
      </w:r>
      <w:r w:rsidR="000B7C55">
        <w:t>s</w:t>
      </w:r>
      <w:r>
        <w:t xml:space="preserve"> David to his moral and spiritual senses and beg</w:t>
      </w:r>
      <w:r w:rsidR="000B7C55">
        <w:t>ins</w:t>
      </w:r>
      <w:r>
        <w:t xml:space="preserve"> </w:t>
      </w:r>
      <w:r w:rsidR="00007C8D">
        <w:t>his attempts at</w:t>
      </w:r>
      <w:r>
        <w:t xml:space="preserve"> repentance</w:t>
      </w:r>
      <w:r w:rsidR="0005010E">
        <w:t>.</w:t>
      </w:r>
    </w:p>
    <w:p w14:paraId="3DB47B8A" w14:textId="77777777" w:rsidR="0005010E" w:rsidRPr="008C026D" w:rsidRDefault="0005010E" w:rsidP="007A4CA6">
      <w:pPr>
        <w:spacing w:line="480" w:lineRule="auto"/>
      </w:pPr>
    </w:p>
    <w:p w14:paraId="1C1F4617" w14:textId="27FE68B4" w:rsidR="00C05C38" w:rsidRDefault="0019104B" w:rsidP="007A4CA6">
      <w:pPr>
        <w:spacing w:line="480" w:lineRule="auto"/>
        <w:rPr>
          <w:rFonts w:eastAsia="Times New Roman" w:cstheme="minorHAnsi"/>
          <w:color w:val="000000"/>
          <w:shd w:val="clear" w:color="auto" w:fill="FFFFFF"/>
          <w:lang w:eastAsia="en-GB"/>
        </w:rPr>
      </w:pPr>
      <w:r>
        <w:t xml:space="preserve">Previously, David </w:t>
      </w:r>
      <w:r w:rsidR="007A4CA6">
        <w:t>‘</w:t>
      </w:r>
      <w:r>
        <w:t>sent</w:t>
      </w:r>
      <w:r w:rsidR="007A4CA6">
        <w:t>’</w:t>
      </w:r>
      <w:r>
        <w:t xml:space="preserve"> (cf. 11:3, 4, 14, 16)</w:t>
      </w:r>
      <w:r w:rsidR="009B2C10">
        <w:t xml:space="preserve">. Now </w:t>
      </w:r>
      <w:r>
        <w:t xml:space="preserve">the tables turn; David no longer sends, but only receives. </w:t>
      </w:r>
      <w:r w:rsidRPr="009B2C10">
        <w:rPr>
          <w:b/>
          <w:bCs/>
        </w:rPr>
        <w:t>God</w:t>
      </w:r>
      <w:r>
        <w:t xml:space="preserve"> sends and David has no option other than to receive the one God sends, </w:t>
      </w:r>
      <w:r>
        <w:lastRenderedPageBreak/>
        <w:t>Nathan</w:t>
      </w:r>
      <w:r w:rsidR="000B7C55">
        <w:t>,</w:t>
      </w:r>
      <w:r>
        <w:t xml:space="preserve"> to deliver a pointed parable </w:t>
      </w:r>
      <w:r w:rsidR="000B7C55">
        <w:t xml:space="preserve">that </w:t>
      </w:r>
      <w:r w:rsidR="009B2C10">
        <w:t>arouses</w:t>
      </w:r>
      <w:r w:rsidR="000B7C55">
        <w:t xml:space="preserve"> David’s moral and legal </w:t>
      </w:r>
      <w:r w:rsidR="007633FD">
        <w:t>rectitude</w:t>
      </w:r>
      <w:r>
        <w:t xml:space="preserve">. </w:t>
      </w:r>
      <w:r w:rsidR="00C05C38">
        <w:t>David’s response is</w:t>
      </w:r>
      <w:r>
        <w:t xml:space="preserve"> immediate</w:t>
      </w:r>
      <w:r w:rsidR="00C05C38">
        <w:t xml:space="preserve"> and</w:t>
      </w:r>
      <w:r>
        <w:t xml:space="preserve"> indigna</w:t>
      </w:r>
      <w:r w:rsidR="00C05C38">
        <w:t>n</w:t>
      </w:r>
      <w:r>
        <w:t xml:space="preserve">t, citing law and </w:t>
      </w:r>
      <w:r w:rsidR="007633FD">
        <w:t>appropriate</w:t>
      </w:r>
      <w:r>
        <w:t xml:space="preserve"> punishment – death and restitution.</w:t>
      </w:r>
      <w:r>
        <w:rPr>
          <w:rStyle w:val="FootnoteReference"/>
        </w:rPr>
        <w:footnoteReference w:id="27"/>
      </w:r>
      <w:r>
        <w:t xml:space="preserve"> </w:t>
      </w:r>
      <w:r w:rsidR="00C05C38">
        <w:t>Nathan deliver</w:t>
      </w:r>
      <w:r w:rsidR="007633FD">
        <w:t>s</w:t>
      </w:r>
      <w:r w:rsidR="00C05C38">
        <w:t xml:space="preserve"> God’s clear judgment on David </w:t>
      </w:r>
      <w:r w:rsidR="007633FD">
        <w:t xml:space="preserve">with a </w:t>
      </w:r>
      <w:r w:rsidR="007A4CA6">
        <w:t>‘</w:t>
      </w:r>
      <w:r w:rsidR="007633FD">
        <w:t>therefore</w:t>
      </w:r>
      <w:r w:rsidR="007A4CA6">
        <w:t>’</w:t>
      </w:r>
      <w:r w:rsidR="007633FD">
        <w:t xml:space="preserve">, </w:t>
      </w:r>
      <w:r w:rsidR="00C05C38">
        <w:t xml:space="preserve">reminding him of his anointing as God’s chosen one and the </w:t>
      </w:r>
      <w:r w:rsidR="007633FD">
        <w:t xml:space="preserve">abundance of </w:t>
      </w:r>
      <w:r w:rsidR="00C05C38">
        <w:t>gift</w:t>
      </w:r>
      <w:r w:rsidR="007633FD">
        <w:t xml:space="preserve">, </w:t>
      </w:r>
      <w:r w:rsidR="00C05C38">
        <w:t xml:space="preserve">prosperity and great good fortune, all gifts </w:t>
      </w:r>
      <w:r w:rsidR="00007C8D">
        <w:t>bestowed by</w:t>
      </w:r>
      <w:r w:rsidR="00C05C38">
        <w:t xml:space="preserve"> God. God’s justice will be meted out in the same manner that </w:t>
      </w:r>
      <w:r w:rsidR="00C05C38" w:rsidRPr="00C05C38">
        <w:rPr>
          <w:rFonts w:cstheme="minorHAnsi"/>
        </w:rPr>
        <w:t>David dealt with Uriah</w:t>
      </w:r>
      <w:r w:rsidR="00007C8D">
        <w:rPr>
          <w:rFonts w:cstheme="minorHAnsi"/>
        </w:rPr>
        <w:t>, but with public, not private, humiliation</w:t>
      </w:r>
      <w:r w:rsidR="00C05C38" w:rsidRPr="00C05C38">
        <w:rPr>
          <w:rFonts w:cstheme="minorHAnsi"/>
        </w:rPr>
        <w:t xml:space="preserve"> – trouble within his family and within the nation</w:t>
      </w:r>
      <w:r w:rsidR="00007C8D">
        <w:rPr>
          <w:rFonts w:cstheme="minorHAnsi"/>
        </w:rPr>
        <w:t xml:space="preserve"> </w:t>
      </w:r>
      <w:r w:rsidR="00C05C38" w:rsidRPr="00C05C38">
        <w:rPr>
          <w:rFonts w:cstheme="minorHAnsi"/>
        </w:rPr>
        <w:t>(12:7-1</w:t>
      </w:r>
      <w:r w:rsidR="00007C8D">
        <w:rPr>
          <w:rFonts w:cstheme="minorHAnsi"/>
        </w:rPr>
        <w:t>1</w:t>
      </w:r>
      <w:r w:rsidR="00C05C38" w:rsidRPr="00C05C38">
        <w:rPr>
          <w:rFonts w:cstheme="minorHAnsi"/>
        </w:rPr>
        <w:t xml:space="preserve">). </w:t>
      </w:r>
      <w:r w:rsidR="00007C8D">
        <w:rPr>
          <w:rFonts w:cstheme="minorHAnsi"/>
        </w:rPr>
        <w:t>God directly calls David to account for breaking his</w:t>
      </w:r>
      <w:r w:rsidR="007633FD">
        <w:rPr>
          <w:rFonts w:cstheme="minorHAnsi"/>
        </w:rPr>
        <w:t xml:space="preserve"> </w:t>
      </w:r>
      <w:r w:rsidR="00C05C38" w:rsidRPr="00C05C38">
        <w:rPr>
          <w:rFonts w:cstheme="minorHAnsi"/>
        </w:rPr>
        <w:t xml:space="preserve">covenantal promises </w:t>
      </w:r>
      <w:r w:rsidR="007633FD">
        <w:rPr>
          <w:rFonts w:cstheme="minorHAnsi"/>
        </w:rPr>
        <w:t xml:space="preserve">with God regarding </w:t>
      </w:r>
      <w:r w:rsidR="00C05C38" w:rsidRPr="00C05C38">
        <w:rPr>
          <w:rFonts w:cstheme="minorHAnsi"/>
        </w:rPr>
        <w:t>both kingship and obedience</w:t>
      </w:r>
      <w:r w:rsidR="00007C8D">
        <w:rPr>
          <w:rFonts w:cstheme="minorHAnsi"/>
        </w:rPr>
        <w:t xml:space="preserve">: </w:t>
      </w:r>
      <w:r w:rsidR="007A4CA6">
        <w:rPr>
          <w:rFonts w:cstheme="minorHAnsi"/>
        </w:rPr>
        <w:t>‘</w:t>
      </w:r>
      <w:r w:rsidR="00C05C38" w:rsidRPr="00C05C38">
        <w:rPr>
          <w:rFonts w:eastAsia="Times New Roman" w:cstheme="minorHAnsi"/>
          <w:color w:val="000000"/>
          <w:shd w:val="clear" w:color="auto" w:fill="FFFFFF"/>
          <w:lang w:eastAsia="en-GB"/>
        </w:rPr>
        <w:t>Why have you despised the word of the </w:t>
      </w:r>
      <w:r w:rsidR="00C05C38" w:rsidRPr="00C05C38">
        <w:rPr>
          <w:rFonts w:eastAsia="Times New Roman" w:cstheme="minorHAnsi"/>
          <w:color w:val="000000"/>
          <w:lang w:eastAsia="en-GB"/>
        </w:rPr>
        <w:t>Lord</w:t>
      </w:r>
      <w:r w:rsidR="00C05C38" w:rsidRPr="00C05C38">
        <w:rPr>
          <w:rFonts w:eastAsia="Times New Roman" w:cstheme="minorHAnsi"/>
          <w:color w:val="000000"/>
          <w:shd w:val="clear" w:color="auto" w:fill="FFFFFF"/>
          <w:lang w:eastAsia="en-GB"/>
        </w:rPr>
        <w:t>, to do what is evil in his sight?</w:t>
      </w:r>
      <w:r w:rsidR="007A4CA6">
        <w:rPr>
          <w:rFonts w:eastAsia="Times New Roman" w:cstheme="minorHAnsi"/>
          <w:color w:val="000000"/>
          <w:shd w:val="clear" w:color="auto" w:fill="FFFFFF"/>
          <w:lang w:eastAsia="en-GB"/>
        </w:rPr>
        <w:t>’</w:t>
      </w:r>
      <w:r w:rsidR="00C05C38" w:rsidRPr="00C05C38">
        <w:rPr>
          <w:rFonts w:eastAsia="Times New Roman" w:cstheme="minorHAnsi"/>
          <w:color w:val="000000"/>
          <w:shd w:val="clear" w:color="auto" w:fill="FFFFFF"/>
          <w:lang w:eastAsia="en-GB"/>
        </w:rPr>
        <w:t xml:space="preserve"> (12:9a).</w:t>
      </w:r>
      <w:r w:rsidR="000B7C55">
        <w:rPr>
          <w:rFonts w:eastAsia="Times New Roman" w:cstheme="minorHAnsi"/>
          <w:color w:val="000000"/>
          <w:shd w:val="clear" w:color="auto" w:fill="FFFFFF"/>
          <w:lang w:eastAsia="en-GB"/>
        </w:rPr>
        <w:t xml:space="preserve"> God’s sentence “is massive in its threat, far-reaching in its scope”</w:t>
      </w:r>
      <w:r w:rsidR="000B7C55">
        <w:rPr>
          <w:rStyle w:val="FootnoteReference"/>
          <w:rFonts w:eastAsia="Times New Roman" w:cstheme="minorHAnsi"/>
          <w:color w:val="000000"/>
          <w:shd w:val="clear" w:color="auto" w:fill="FFFFFF"/>
          <w:lang w:eastAsia="en-GB"/>
        </w:rPr>
        <w:footnoteReference w:id="28"/>
      </w:r>
      <w:r w:rsidR="000B7C55">
        <w:rPr>
          <w:rFonts w:eastAsia="Times New Roman" w:cstheme="minorHAnsi"/>
          <w:color w:val="000000"/>
          <w:shd w:val="clear" w:color="auto" w:fill="FFFFFF"/>
          <w:lang w:eastAsia="en-GB"/>
        </w:rPr>
        <w:t>.</w:t>
      </w:r>
      <w:r w:rsidR="007633FD">
        <w:rPr>
          <w:rFonts w:eastAsia="Times New Roman" w:cstheme="minorHAnsi"/>
          <w:color w:val="000000"/>
          <w:shd w:val="clear" w:color="auto" w:fill="FFFFFF"/>
          <w:lang w:eastAsia="en-GB"/>
        </w:rPr>
        <w:t xml:space="preserve"> Just as God’s promise</w:t>
      </w:r>
      <w:r w:rsidR="00A65C50">
        <w:rPr>
          <w:rFonts w:eastAsia="Times New Roman" w:cstheme="minorHAnsi"/>
          <w:color w:val="000000"/>
          <w:shd w:val="clear" w:color="auto" w:fill="FFFFFF"/>
          <w:lang w:eastAsia="en-GB"/>
        </w:rPr>
        <w:t>d</w:t>
      </w:r>
      <w:r w:rsidR="007633FD">
        <w:rPr>
          <w:rFonts w:eastAsia="Times New Roman" w:cstheme="minorHAnsi"/>
          <w:color w:val="000000"/>
          <w:shd w:val="clear" w:color="auto" w:fill="FFFFFF"/>
          <w:lang w:eastAsia="en-GB"/>
        </w:rPr>
        <w:t xml:space="preserve"> that one of David’s line will eternally be king of Israel</w:t>
      </w:r>
      <w:r w:rsidR="00A65C50">
        <w:rPr>
          <w:rFonts w:eastAsia="Times New Roman" w:cstheme="minorHAnsi"/>
          <w:color w:val="000000"/>
          <w:shd w:val="clear" w:color="auto" w:fill="FFFFFF"/>
          <w:lang w:eastAsia="en-GB"/>
        </w:rPr>
        <w:t xml:space="preserve"> (7:9-16</w:t>
      </w:r>
      <w:r w:rsidR="0005010E">
        <w:rPr>
          <w:rFonts w:eastAsia="Times New Roman" w:cstheme="minorHAnsi"/>
          <w:color w:val="000000"/>
          <w:shd w:val="clear" w:color="auto" w:fill="FFFFFF"/>
          <w:lang w:eastAsia="en-GB"/>
        </w:rPr>
        <w:t>)</w:t>
      </w:r>
      <w:r w:rsidR="007633FD">
        <w:rPr>
          <w:rFonts w:eastAsia="Times New Roman" w:cstheme="minorHAnsi"/>
          <w:color w:val="000000"/>
          <w:shd w:val="clear" w:color="auto" w:fill="FFFFFF"/>
          <w:lang w:eastAsia="en-GB"/>
        </w:rPr>
        <w:t>, so also the sword will hang over David, his family</w:t>
      </w:r>
      <w:r w:rsidR="00681EB2">
        <w:rPr>
          <w:rFonts w:eastAsia="Times New Roman" w:cstheme="minorHAnsi"/>
          <w:color w:val="000000"/>
          <w:shd w:val="clear" w:color="auto" w:fill="FFFFFF"/>
          <w:lang w:eastAsia="en-GB"/>
        </w:rPr>
        <w:t xml:space="preserve"> and </w:t>
      </w:r>
      <w:r w:rsidR="007633FD">
        <w:rPr>
          <w:rFonts w:eastAsia="Times New Roman" w:cstheme="minorHAnsi"/>
          <w:color w:val="000000"/>
          <w:shd w:val="clear" w:color="auto" w:fill="FFFFFF"/>
          <w:lang w:eastAsia="en-GB"/>
        </w:rPr>
        <w:t>his house for all time an</w:t>
      </w:r>
      <w:r w:rsidR="00007C8D">
        <w:rPr>
          <w:rFonts w:eastAsia="Times New Roman" w:cstheme="minorHAnsi"/>
          <w:color w:val="000000"/>
          <w:shd w:val="clear" w:color="auto" w:fill="FFFFFF"/>
          <w:lang w:eastAsia="en-GB"/>
        </w:rPr>
        <w:t>d</w:t>
      </w:r>
      <w:r w:rsidR="007633FD">
        <w:rPr>
          <w:rFonts w:eastAsia="Times New Roman" w:cstheme="minorHAnsi"/>
          <w:color w:val="000000"/>
          <w:shd w:val="clear" w:color="auto" w:fill="FFFFFF"/>
          <w:lang w:eastAsia="en-GB"/>
        </w:rPr>
        <w:t xml:space="preserve"> the nation.(12:12). David immediately</w:t>
      </w:r>
      <w:r w:rsidR="00007C8D">
        <w:rPr>
          <w:rFonts w:eastAsia="Times New Roman" w:cstheme="minorHAnsi"/>
          <w:color w:val="000000"/>
          <w:shd w:val="clear" w:color="auto" w:fill="FFFFFF"/>
          <w:lang w:eastAsia="en-GB"/>
        </w:rPr>
        <w:t>, humbly,</w:t>
      </w:r>
      <w:r w:rsidR="007633FD">
        <w:rPr>
          <w:rFonts w:eastAsia="Times New Roman" w:cstheme="minorHAnsi"/>
          <w:color w:val="000000"/>
          <w:shd w:val="clear" w:color="auto" w:fill="FFFFFF"/>
          <w:lang w:eastAsia="en-GB"/>
        </w:rPr>
        <w:t xml:space="preserve"> confesses his sin and God saves David, but requires the sacrifice of Bathsheba’s child from their adultery in redemption (12:13-14). </w:t>
      </w:r>
      <w:r w:rsidR="00B15E95">
        <w:rPr>
          <w:rFonts w:eastAsia="Times New Roman" w:cstheme="minorHAnsi"/>
          <w:color w:val="000000"/>
          <w:shd w:val="clear" w:color="auto" w:fill="FFFFFF"/>
          <w:lang w:eastAsia="en-GB"/>
        </w:rPr>
        <w:t>It is a tragic story which colours the rest of David’s life as king and parent.</w:t>
      </w:r>
    </w:p>
    <w:p w14:paraId="1F0E5EAD" w14:textId="77777777" w:rsidR="007A7045" w:rsidRDefault="007A7045" w:rsidP="007A4CA6">
      <w:pPr>
        <w:spacing w:line="480" w:lineRule="auto"/>
        <w:rPr>
          <w:rFonts w:cstheme="minorHAnsi"/>
          <w:b/>
          <w:bCs/>
        </w:rPr>
      </w:pPr>
    </w:p>
    <w:p w14:paraId="6E8B9051" w14:textId="2DFEB263" w:rsidR="00666F6D" w:rsidRDefault="004B6016" w:rsidP="007A4CA6">
      <w:pPr>
        <w:spacing w:line="480" w:lineRule="auto"/>
        <w:rPr>
          <w:rFonts w:cstheme="minorHAnsi"/>
          <w:b/>
          <w:bCs/>
        </w:rPr>
      </w:pPr>
      <w:r>
        <w:rPr>
          <w:rFonts w:cstheme="minorHAnsi"/>
          <w:b/>
          <w:bCs/>
        </w:rPr>
        <w:t>Beyond Nathan’s Parable</w:t>
      </w:r>
    </w:p>
    <w:p w14:paraId="4753DD37" w14:textId="1165307A" w:rsidR="00AD0ECC" w:rsidRDefault="004B6016" w:rsidP="007A4CA6">
      <w:pPr>
        <w:spacing w:line="480" w:lineRule="auto"/>
        <w:rPr>
          <w:rFonts w:cstheme="minorHAnsi"/>
        </w:rPr>
      </w:pPr>
      <w:r>
        <w:rPr>
          <w:rFonts w:cstheme="minorHAnsi"/>
        </w:rPr>
        <w:t xml:space="preserve">The majority of this essay has focused on how David’s person and character impact on his own and the nation’s fortunes. </w:t>
      </w:r>
      <w:r w:rsidR="00B15E95">
        <w:t>2 Samuel covers two themes in particular: kingship and fathering</w:t>
      </w:r>
      <w:r w:rsidR="00B15E95">
        <w:rPr>
          <w:rStyle w:val="FootnoteReference"/>
        </w:rPr>
        <w:footnoteReference w:id="29"/>
      </w:r>
      <w:r w:rsidR="00B15E95">
        <w:t>. Under God’s judgement, David fails on both accounts.</w:t>
      </w:r>
      <w:r w:rsidR="00B15E95">
        <w:rPr>
          <w:rFonts w:cstheme="minorHAnsi"/>
        </w:rPr>
        <w:t xml:space="preserve"> God, not David, is the central focus. David is God’s choice; it is God repeatedly who gives him success in his early life. Likewise, following the adultery with Bathsheba, God’s judgement dominates his </w:t>
      </w:r>
      <w:r w:rsidR="00B15E95">
        <w:rPr>
          <w:rFonts w:cstheme="minorHAnsi"/>
        </w:rPr>
        <w:lastRenderedPageBreak/>
        <w:t>subsequent life</w:t>
      </w:r>
      <w:r w:rsidR="002566F3">
        <w:rPr>
          <w:rFonts w:cstheme="minorHAnsi"/>
        </w:rPr>
        <w:t xml:space="preserve">. There is a </w:t>
      </w:r>
      <w:r w:rsidR="00007C8D">
        <w:rPr>
          <w:rFonts w:cstheme="minorHAnsi"/>
        </w:rPr>
        <w:t xml:space="preserve">damning </w:t>
      </w:r>
      <w:r w:rsidR="002566F3">
        <w:rPr>
          <w:rFonts w:cstheme="minorHAnsi"/>
        </w:rPr>
        <w:t>catalogue</w:t>
      </w:r>
      <w:r w:rsidR="00007C8D">
        <w:rPr>
          <w:rFonts w:cstheme="minorHAnsi"/>
        </w:rPr>
        <w:t>: death of two sons, Amnon and Absalom, seduction by Amnon of his half-sister, Tamar, rebellion of two sons, Absalom and Adonijah, conspiracy between Nathan and Bathsheba to ensure her son, Solomon, succeeds David</w:t>
      </w:r>
      <w:r w:rsidR="002566F3">
        <w:rPr>
          <w:rFonts w:cstheme="minorHAnsi"/>
        </w:rPr>
        <w:t>.</w:t>
      </w:r>
      <w:r w:rsidR="002566F3">
        <w:rPr>
          <w:rStyle w:val="FootnoteReference"/>
          <w:rFonts w:cstheme="minorHAnsi"/>
        </w:rPr>
        <w:footnoteReference w:id="30"/>
      </w:r>
      <w:r w:rsidR="002566F3">
        <w:rPr>
          <w:rFonts w:cstheme="minorHAnsi"/>
        </w:rPr>
        <w:t xml:space="preserve"> </w:t>
      </w:r>
    </w:p>
    <w:p w14:paraId="0735F1ED" w14:textId="77777777" w:rsidR="00B33512" w:rsidRDefault="00B33512" w:rsidP="007A4CA6">
      <w:pPr>
        <w:spacing w:line="480" w:lineRule="auto"/>
        <w:rPr>
          <w:rFonts w:cstheme="minorHAnsi"/>
        </w:rPr>
      </w:pPr>
    </w:p>
    <w:p w14:paraId="271ACF43" w14:textId="4BBAE1FA" w:rsidR="001334A9" w:rsidRDefault="00007C8D" w:rsidP="007A4CA6">
      <w:pPr>
        <w:spacing w:line="480" w:lineRule="auto"/>
        <w:rPr>
          <w:rFonts w:cstheme="minorHAnsi"/>
        </w:rPr>
      </w:pPr>
      <w:r>
        <w:rPr>
          <w:rFonts w:cstheme="minorHAnsi"/>
        </w:rPr>
        <w:t xml:space="preserve">Not even </w:t>
      </w:r>
      <w:r w:rsidR="00F402F3">
        <w:rPr>
          <w:rFonts w:cstheme="minorHAnsi"/>
        </w:rPr>
        <w:t>David</w:t>
      </w:r>
      <w:r w:rsidR="002566F3">
        <w:rPr>
          <w:rFonts w:cstheme="minorHAnsi"/>
        </w:rPr>
        <w:t xml:space="preserve">’s </w:t>
      </w:r>
      <w:r w:rsidR="00095077">
        <w:rPr>
          <w:rFonts w:cstheme="minorHAnsi"/>
        </w:rPr>
        <w:t>greatest</w:t>
      </w:r>
      <w:r w:rsidR="002566F3">
        <w:rPr>
          <w:rFonts w:cstheme="minorHAnsi"/>
        </w:rPr>
        <w:t xml:space="preserve"> wish, to build the Temple, </w:t>
      </w:r>
      <w:r w:rsidR="00095077">
        <w:rPr>
          <w:rFonts w:cstheme="minorHAnsi"/>
        </w:rPr>
        <w:t>comes to fruition</w:t>
      </w:r>
      <w:r>
        <w:rPr>
          <w:rFonts w:cstheme="minorHAnsi"/>
        </w:rPr>
        <w:t xml:space="preserve">. It is </w:t>
      </w:r>
      <w:r w:rsidR="002566F3">
        <w:rPr>
          <w:rFonts w:cstheme="minorHAnsi"/>
        </w:rPr>
        <w:t xml:space="preserve">deferred at God’s bidding </w:t>
      </w:r>
      <w:r w:rsidR="00F402F3">
        <w:rPr>
          <w:rFonts w:cstheme="minorHAnsi"/>
        </w:rPr>
        <w:t>to his sons; once crowned king, Solomon builds it.</w:t>
      </w:r>
      <w:r w:rsidR="002D5623">
        <w:rPr>
          <w:rFonts w:cstheme="minorHAnsi"/>
        </w:rPr>
        <w:t xml:space="preserve"> </w:t>
      </w:r>
      <w:r w:rsidR="002566F3">
        <w:rPr>
          <w:rFonts w:cstheme="minorHAnsi"/>
        </w:rPr>
        <w:t xml:space="preserve">The nation, united just for a short period under David, then Solomon, splits. </w:t>
      </w:r>
      <w:r w:rsidR="001334A9">
        <w:rPr>
          <w:rFonts w:cstheme="minorHAnsi"/>
        </w:rPr>
        <w:t xml:space="preserve">Following David’s death, the rest of history, in the eyes of the narrator of Kings, </w:t>
      </w:r>
      <w:r w:rsidR="00095077">
        <w:rPr>
          <w:rFonts w:cstheme="minorHAnsi"/>
        </w:rPr>
        <w:t>is</w:t>
      </w:r>
      <w:r w:rsidR="001334A9">
        <w:rPr>
          <w:rFonts w:cstheme="minorHAnsi"/>
        </w:rPr>
        <w:t xml:space="preserve"> anti-climactic, </w:t>
      </w:r>
      <w:r w:rsidR="007A4CA6">
        <w:rPr>
          <w:rFonts w:cstheme="minorHAnsi"/>
        </w:rPr>
        <w:t>“</w:t>
      </w:r>
      <w:r w:rsidR="001334A9">
        <w:rPr>
          <w:rFonts w:cstheme="minorHAnsi"/>
        </w:rPr>
        <w:t>a staggered denouement to these events</w:t>
      </w:r>
      <w:r w:rsidR="007A4CA6">
        <w:rPr>
          <w:rFonts w:cstheme="minorHAnsi"/>
        </w:rPr>
        <w:t>”</w:t>
      </w:r>
      <w:r w:rsidR="001334A9">
        <w:rPr>
          <w:rStyle w:val="FootnoteReference"/>
          <w:rFonts w:cstheme="minorHAnsi"/>
        </w:rPr>
        <w:footnoteReference w:id="31"/>
      </w:r>
      <w:r w:rsidR="001334A9">
        <w:rPr>
          <w:rFonts w:cstheme="minorHAnsi"/>
        </w:rPr>
        <w:t>.</w:t>
      </w:r>
      <w:r w:rsidR="004D2D1E">
        <w:rPr>
          <w:rFonts w:cstheme="minorHAnsi"/>
        </w:rPr>
        <w:t xml:space="preserve"> </w:t>
      </w:r>
    </w:p>
    <w:p w14:paraId="5464C818" w14:textId="77777777" w:rsidR="0071162E" w:rsidRDefault="0071162E" w:rsidP="007A4CA6">
      <w:pPr>
        <w:spacing w:line="480" w:lineRule="auto"/>
        <w:rPr>
          <w:rFonts w:cstheme="minorHAnsi"/>
        </w:rPr>
      </w:pPr>
    </w:p>
    <w:p w14:paraId="13E787D5" w14:textId="01F7B2A4" w:rsidR="0071162E" w:rsidRDefault="00095077" w:rsidP="007A4CA6">
      <w:pPr>
        <w:spacing w:line="480" w:lineRule="auto"/>
      </w:pPr>
      <w:r>
        <w:rPr>
          <w:rFonts w:cstheme="minorHAnsi"/>
        </w:rPr>
        <w:t>Nevertheless, i</w:t>
      </w:r>
      <w:r w:rsidR="006B25A0">
        <w:rPr>
          <w:rFonts w:cstheme="minorHAnsi"/>
        </w:rPr>
        <w:t>t is these achievements which are the focus of future generations, who look to David as the model of Godly Kingship and establishment of the ideal nation of Israel.</w:t>
      </w:r>
    </w:p>
    <w:p w14:paraId="285BA6C0" w14:textId="77777777" w:rsidR="00666F6D" w:rsidRPr="008C026D" w:rsidRDefault="00666F6D" w:rsidP="007A4CA6">
      <w:pPr>
        <w:spacing w:line="480" w:lineRule="auto"/>
      </w:pPr>
    </w:p>
    <w:p w14:paraId="5F18E0DA" w14:textId="168CE418" w:rsidR="00666F6D" w:rsidRPr="007C3422" w:rsidRDefault="00666F6D" w:rsidP="007A4CA6">
      <w:pPr>
        <w:spacing w:line="480" w:lineRule="auto"/>
        <w:rPr>
          <w:rFonts w:cstheme="minorHAnsi"/>
        </w:rPr>
      </w:pPr>
      <w:r w:rsidRPr="007C3422">
        <w:rPr>
          <w:rFonts w:cstheme="minorHAnsi"/>
          <w:b/>
          <w:bCs/>
        </w:rPr>
        <w:t>Future Prophecy</w:t>
      </w:r>
    </w:p>
    <w:p w14:paraId="17DEAB2C" w14:textId="6D716283" w:rsidR="00381CF7" w:rsidRDefault="00B33512" w:rsidP="007A4CA6">
      <w:pPr>
        <w:spacing w:line="480" w:lineRule="auto"/>
      </w:pPr>
      <w:r>
        <w:t xml:space="preserve">Scripture needs to be assessed within its contemporary and cultural context, not imposing modern ideologies and theologies. </w:t>
      </w:r>
      <w:r w:rsidR="00095077">
        <w:t>It is of primary importance</w:t>
      </w:r>
      <w:r w:rsidR="001719D3">
        <w:t xml:space="preserve"> to</w:t>
      </w:r>
      <w:r w:rsidR="00095077">
        <w:t xml:space="preserve"> view these events</w:t>
      </w:r>
      <w:r>
        <w:t xml:space="preserve"> through the eyes of the writers into their purposes.</w:t>
      </w:r>
      <w:r>
        <w:rPr>
          <w:rStyle w:val="FootnoteReference"/>
        </w:rPr>
        <w:footnoteReference w:id="32"/>
      </w:r>
      <w:r w:rsidR="00C31009">
        <w:t xml:space="preserve"> </w:t>
      </w:r>
      <w:r w:rsidR="0018371A">
        <w:t xml:space="preserve">Covenants feature as a dominant theme in later times, especially in the writings of the Prophets, which revolve around </w:t>
      </w:r>
      <w:r w:rsidR="007A4CA6">
        <w:t>“</w:t>
      </w:r>
      <w:r w:rsidR="0018371A">
        <w:t>the faithlessness of the chosen nation and its failure to live up to its covenant obligations</w:t>
      </w:r>
      <w:r w:rsidR="007A4CA6">
        <w:t>”</w:t>
      </w:r>
      <w:r w:rsidR="0018371A">
        <w:rPr>
          <w:rStyle w:val="FootnoteReference"/>
        </w:rPr>
        <w:footnoteReference w:id="33"/>
      </w:r>
      <w:r w:rsidR="0018371A">
        <w:t>.</w:t>
      </w:r>
      <w:r w:rsidR="00381CF7">
        <w:t xml:space="preserve"> </w:t>
      </w:r>
      <w:r w:rsidR="00750869">
        <w:t>In Samuel-Kings-Chronicles God is the central character</w:t>
      </w:r>
      <w:r w:rsidR="0018371A">
        <w:t>.</w:t>
      </w:r>
      <w:r w:rsidR="00750869">
        <w:t xml:space="preserve"> The </w:t>
      </w:r>
      <w:r w:rsidR="0018371A">
        <w:t>writers</w:t>
      </w:r>
      <w:r w:rsidR="00750869">
        <w:t xml:space="preserve"> track the </w:t>
      </w:r>
      <w:r w:rsidR="00095077">
        <w:t xml:space="preserve">post-exilic </w:t>
      </w:r>
      <w:r w:rsidR="00750869">
        <w:t xml:space="preserve">story of Israel showing how the prosperity and fortunes of </w:t>
      </w:r>
      <w:r w:rsidR="001C1C9B">
        <w:t xml:space="preserve">the kings, their families and </w:t>
      </w:r>
      <w:r w:rsidR="00750869">
        <w:t>the natio</w:t>
      </w:r>
      <w:r w:rsidR="001C1C9B">
        <w:t>n</w:t>
      </w:r>
      <w:r w:rsidR="00095077" w:rsidRPr="00095077">
        <w:t xml:space="preserve"> </w:t>
      </w:r>
      <w:r w:rsidR="00095077">
        <w:lastRenderedPageBreak/>
        <w:t>fluctuate</w:t>
      </w:r>
      <w:r w:rsidR="001C1C9B">
        <w:t xml:space="preserve">. </w:t>
      </w:r>
      <w:r w:rsidR="00D01CAA">
        <w:t xml:space="preserve">Davidic kings </w:t>
      </w:r>
      <w:r w:rsidR="001C1C9B">
        <w:t>who were obedient to God tended to rebuild</w:t>
      </w:r>
      <w:r w:rsidR="00D01CAA">
        <w:t xml:space="preserve">, often physically, the nation and their family’s fortune, following </w:t>
      </w:r>
      <w:r w:rsidR="001C1C9B">
        <w:t xml:space="preserve">the reigns of </w:t>
      </w:r>
      <w:r w:rsidR="00D01CAA">
        <w:t xml:space="preserve">the </w:t>
      </w:r>
      <w:r w:rsidR="001C1C9B">
        <w:t>many, whose time was summarised simply: [they] ‘did evil in the sight of the Lord’.</w:t>
      </w:r>
      <w:r w:rsidR="001C1C9B">
        <w:rPr>
          <w:rStyle w:val="FootnoteReference"/>
        </w:rPr>
        <w:footnoteReference w:id="34"/>
      </w:r>
      <w:r w:rsidR="00D01CAA">
        <w:t xml:space="preserve"> </w:t>
      </w:r>
    </w:p>
    <w:p w14:paraId="4022662C" w14:textId="02B68D8A" w:rsidR="00202979" w:rsidRDefault="00202979" w:rsidP="007A4CA6">
      <w:pPr>
        <w:spacing w:line="480" w:lineRule="auto"/>
      </w:pPr>
    </w:p>
    <w:p w14:paraId="2375E585" w14:textId="6BECB5C5" w:rsidR="00750869" w:rsidRDefault="00202979" w:rsidP="007A4CA6">
      <w:pPr>
        <w:spacing w:line="480" w:lineRule="auto"/>
      </w:pPr>
      <w:r>
        <w:t xml:space="preserve">It is into this scenario that the Prophets speak, sometimes providing God’s warnings to kings, nations and the people about their pagan behaviours, alliances and the way the kings disregard the essential requirements of Godly Kingship. But also, providing hope and promise of a future king who would save them. </w:t>
      </w:r>
      <w:r w:rsidR="0018371A">
        <w:t>Prophets</w:t>
      </w:r>
      <w:r w:rsidR="00C31009">
        <w:t xml:space="preserve"> </w:t>
      </w:r>
      <w:r w:rsidR="00095077">
        <w:t>cite</w:t>
      </w:r>
      <w:r w:rsidR="00C31009">
        <w:t xml:space="preserve"> David as </w:t>
      </w:r>
      <w:r w:rsidR="00095077">
        <w:t>the exemplar</w:t>
      </w:r>
      <w:r w:rsidR="00C31009">
        <w:t xml:space="preserve"> of ideal worship, </w:t>
      </w:r>
      <w:r w:rsidR="00095077">
        <w:t xml:space="preserve">ideal </w:t>
      </w:r>
      <w:r w:rsidR="00C31009">
        <w:t xml:space="preserve">rule </w:t>
      </w:r>
      <w:r w:rsidR="00095077">
        <w:t>and</w:t>
      </w:r>
      <w:r w:rsidR="00C31009">
        <w:t xml:space="preserve"> Godly obedience</w:t>
      </w:r>
      <w:r w:rsidR="0018371A">
        <w:t>.</w:t>
      </w:r>
      <w:r w:rsidR="0018371A">
        <w:rPr>
          <w:rStyle w:val="FootnoteReference"/>
        </w:rPr>
        <w:footnoteReference w:id="35"/>
      </w:r>
      <w:r w:rsidR="005F0391">
        <w:t xml:space="preserve"> </w:t>
      </w:r>
      <w:r w:rsidR="0018371A">
        <w:t xml:space="preserve">They </w:t>
      </w:r>
      <w:r w:rsidR="00095077">
        <w:t>emphasise</w:t>
      </w:r>
      <w:r w:rsidR="0018371A">
        <w:t xml:space="preserve"> </w:t>
      </w:r>
      <w:r w:rsidR="00C31009">
        <w:t xml:space="preserve">‘the root of Jesse’ or </w:t>
      </w:r>
      <w:r w:rsidR="005F0391">
        <w:t>David’s</w:t>
      </w:r>
      <w:r w:rsidR="00C31009">
        <w:t xml:space="preserve"> throne</w:t>
      </w:r>
      <w:r w:rsidR="005F0391">
        <w:t>/line/family as the covenant</w:t>
      </w:r>
      <w:r w:rsidR="00095077">
        <w:t>ed and</w:t>
      </w:r>
      <w:r w:rsidR="005F0391">
        <w:t xml:space="preserve"> promise</w:t>
      </w:r>
      <w:r w:rsidR="00095077">
        <w:t>d source of future</w:t>
      </w:r>
      <w:r w:rsidR="005F0391">
        <w:t xml:space="preserve"> kings of Israel</w:t>
      </w:r>
      <w:r w:rsidR="00095077">
        <w:t xml:space="preserve"> into eternity</w:t>
      </w:r>
      <w:r w:rsidR="005F0391">
        <w:t>.</w:t>
      </w:r>
      <w:r w:rsidR="005F0391">
        <w:rPr>
          <w:rStyle w:val="FootnoteReference"/>
        </w:rPr>
        <w:footnoteReference w:id="36"/>
      </w:r>
      <w:r w:rsidR="005F0391">
        <w:t xml:space="preserve"> All look back </w:t>
      </w:r>
      <w:r w:rsidR="00095077">
        <w:t xml:space="preserve">in order </w:t>
      </w:r>
      <w:r w:rsidR="005F0391">
        <w:t>to support the hopes for the exilic and post-exilic Israelites</w:t>
      </w:r>
      <w:r w:rsidR="00DD622F">
        <w:t>.</w:t>
      </w:r>
      <w:r w:rsidR="00DD622F">
        <w:rPr>
          <w:rStyle w:val="FootnoteReference"/>
        </w:rPr>
        <w:footnoteReference w:id="37"/>
      </w:r>
      <w:r w:rsidR="00DD622F">
        <w:t xml:space="preserve"> They</w:t>
      </w:r>
      <w:r w:rsidR="005F0391">
        <w:t xml:space="preserve"> encourage their spirits in the seemingly endless and merciless struggles to </w:t>
      </w:r>
      <w:r w:rsidR="00DD622F">
        <w:t xml:space="preserve">make the journey back to Jerusalem or to </w:t>
      </w:r>
      <w:r w:rsidR="0018371A">
        <w:t xml:space="preserve">rebuild the Temple and David’s City and to </w:t>
      </w:r>
      <w:r w:rsidR="005F0391">
        <w:t xml:space="preserve">re-establish </w:t>
      </w:r>
      <w:r w:rsidR="0018371A">
        <w:t xml:space="preserve">a righteous, Godly rule </w:t>
      </w:r>
      <w:r w:rsidR="00095077">
        <w:t>in</w:t>
      </w:r>
      <w:r w:rsidR="0018371A">
        <w:t xml:space="preserve"> the country, a true theocracy. This is the purpose of David in Samuel-Kings-Chronicles, although for different audiences with different needs</w:t>
      </w:r>
      <w:r w:rsidR="00D8309F">
        <w:t xml:space="preserve">: </w:t>
      </w:r>
      <w:r w:rsidR="00095077">
        <w:t xml:space="preserve">the earlier composed </w:t>
      </w:r>
      <w:r w:rsidR="00DD622F">
        <w:t>Samuel-Kings</w:t>
      </w:r>
      <w:r w:rsidR="00D8309F">
        <w:t xml:space="preserve">, with its themes of </w:t>
      </w:r>
      <w:r w:rsidR="001719D3">
        <w:t xml:space="preserve">Godly </w:t>
      </w:r>
      <w:r w:rsidR="00D8309F">
        <w:t xml:space="preserve">kingship and covenant, probably to record how the division of the united Israel contributed to their current state in or </w:t>
      </w:r>
      <w:r w:rsidR="00D8309F">
        <w:lastRenderedPageBreak/>
        <w:t>immediately following their exile</w:t>
      </w:r>
      <w:r w:rsidR="00DD622F">
        <w:t>;</w:t>
      </w:r>
      <w:r w:rsidR="00D8309F" w:rsidRPr="00D8309F">
        <w:rPr>
          <w:rFonts w:ascii="Calibri" w:hAnsi="Calibri" w:cs="Calibri"/>
          <w:vertAlign w:val="superscript"/>
        </w:rPr>
        <w:footnoteReference w:id="38"/>
      </w:r>
      <w:r w:rsidR="00DD622F">
        <w:t xml:space="preserve"> Chronicles as a post-exilic need </w:t>
      </w:r>
      <w:r w:rsidR="00120235">
        <w:t>for “</w:t>
      </w:r>
      <w:r w:rsidR="00DD622F">
        <w:rPr>
          <w:lang w:val="en-US"/>
        </w:rPr>
        <w:t>reassessment of Israel’s meaning and destiny</w:t>
      </w:r>
      <w:r w:rsidR="00120235">
        <w:rPr>
          <w:lang w:val="en-US"/>
        </w:rPr>
        <w:t>”.</w:t>
      </w:r>
      <w:r w:rsidR="00DD622F">
        <w:rPr>
          <w:vertAlign w:val="superscript"/>
        </w:rPr>
        <w:footnoteReference w:id="39"/>
      </w:r>
      <w:r w:rsidR="00DD622F">
        <w:t xml:space="preserve"> </w:t>
      </w:r>
    </w:p>
    <w:p w14:paraId="23FCD13E" w14:textId="0BBEC167" w:rsidR="00202979" w:rsidRDefault="00202979" w:rsidP="007A4CA6">
      <w:pPr>
        <w:spacing w:line="480" w:lineRule="auto"/>
        <w:rPr>
          <w:b/>
          <w:bCs/>
        </w:rPr>
      </w:pPr>
    </w:p>
    <w:p w14:paraId="300E310F" w14:textId="350F7295" w:rsidR="00A11D49" w:rsidRDefault="00A11D49" w:rsidP="007A4CA6">
      <w:pPr>
        <w:spacing w:line="480" w:lineRule="auto"/>
        <w:rPr>
          <w:b/>
          <w:bCs/>
        </w:rPr>
      </w:pPr>
      <w:r>
        <w:rPr>
          <w:b/>
          <w:bCs/>
        </w:rPr>
        <w:t>Conclusion</w:t>
      </w:r>
    </w:p>
    <w:p w14:paraId="3FDC578B" w14:textId="50F20BDB" w:rsidR="00095077" w:rsidRDefault="00095077" w:rsidP="007A4CA6">
      <w:pPr>
        <w:spacing w:line="480" w:lineRule="auto"/>
      </w:pPr>
      <w:r>
        <w:t>This essay has sought to evaluate the importance of the character of David in the Hebrew Bible. In this short account, it has been possible only to gain glimpses of the colossal importance of David within the Hebrew Bible. David has been seen as both</w:t>
      </w:r>
      <w:r w:rsidR="006F3E84">
        <w:t xml:space="preserve"> God’s specific choice as a Godly king for his chosen people. He is fully human, with human strengths and very human weaknesses. For </w:t>
      </w:r>
      <w:r w:rsidR="00F84D59">
        <w:t xml:space="preserve">all </w:t>
      </w:r>
      <w:r w:rsidR="006F3E84">
        <w:t xml:space="preserve">that, it is easy to identify with him both as a person and a leader. Key to </w:t>
      </w:r>
      <w:r w:rsidR="00F84D59">
        <w:t>David’s</w:t>
      </w:r>
      <w:r w:rsidR="006F3E84">
        <w:t xml:space="preserve"> fortunes, and strikingly paralleling the fortunes of the developing nation of Israel, is the </w:t>
      </w:r>
      <w:r w:rsidR="00F84D59">
        <w:t xml:space="preserve">constant </w:t>
      </w:r>
      <w:r w:rsidR="006F3E84">
        <w:t xml:space="preserve">presence of God within the narratives of Samuel-Kings-Chronicles. David’s </w:t>
      </w:r>
      <w:r w:rsidR="00F84D59">
        <w:t>many achievements have been outlined but i</w:t>
      </w:r>
      <w:r w:rsidR="006F3E84">
        <w:t>t is the turning point of his adultery with Bathsheba which began the decline of family and nation, following the judgement meted out by God</w:t>
      </w:r>
      <w:r w:rsidR="00F84D59">
        <w:t>: family disputes, rebellion and the division of the nation signalled the potential fortunes of future Davidic kings. It has been shown how, later, the Prophets fixed on David as the ideal of Godly kingship, together with that covenanted promise for the Davidic line to be the source of all future kings of Israel, good and bad</w:t>
      </w:r>
      <w:r w:rsidR="002A5A89">
        <w:t>, as a reflection on the past and an encouraging hope for the future</w:t>
      </w:r>
      <w:r w:rsidR="00F84D59">
        <w:t xml:space="preserve">. </w:t>
      </w:r>
    </w:p>
    <w:p w14:paraId="2D880F62" w14:textId="77777777" w:rsidR="00095077" w:rsidRDefault="00095077" w:rsidP="007A4CA6">
      <w:pPr>
        <w:spacing w:line="480" w:lineRule="auto"/>
      </w:pPr>
    </w:p>
    <w:p w14:paraId="36A96374" w14:textId="77777777" w:rsidR="002A5A89" w:rsidRDefault="00F84D59" w:rsidP="007A4CA6">
      <w:pPr>
        <w:spacing w:line="480" w:lineRule="auto"/>
      </w:pPr>
      <w:r>
        <w:lastRenderedPageBreak/>
        <w:t xml:space="preserve">Some of the distractors within the narration have been explored. In the end, people see what they wish to see, believe what they wish to believe. It emanates from </w:t>
      </w:r>
      <w:r w:rsidR="004A3ABF">
        <w:t xml:space="preserve">the multi-faceted nature of their tradition, culture, religion and expressions of faith. </w:t>
      </w:r>
    </w:p>
    <w:p w14:paraId="4598B4CA" w14:textId="77777777" w:rsidR="002A5A89" w:rsidRDefault="002A5A89" w:rsidP="007A4CA6">
      <w:pPr>
        <w:spacing w:line="480" w:lineRule="auto"/>
      </w:pPr>
    </w:p>
    <w:p w14:paraId="2CAB8816" w14:textId="0E5C8A91" w:rsidR="00A11D49" w:rsidRDefault="004A3ABF" w:rsidP="007A4CA6">
      <w:pPr>
        <w:spacing w:line="480" w:lineRule="auto"/>
      </w:pPr>
      <w:r>
        <w:t xml:space="preserve">There is no fully consensual position that can fully embrace scholarly opinion of the importance of David. As the final book of the Tanakh, </w:t>
      </w:r>
      <w:r w:rsidR="00095077">
        <w:t xml:space="preserve">Chronicles closes with time stretching ahead into an unknown but hope-filled future - that vision still unfulfilled, no longer with the rule of a Davidic king, but still with the Davidic ideal </w:t>
      </w:r>
      <w:r>
        <w:t>established</w:t>
      </w:r>
      <w:r w:rsidR="00095077">
        <w:t xml:space="preserve"> in David’s time </w:t>
      </w:r>
      <w:r>
        <w:t xml:space="preserve">of a united nation in a permanent place </w:t>
      </w:r>
      <w:r w:rsidR="00095077">
        <w:t xml:space="preserve">with their centre of worship established </w:t>
      </w:r>
      <w:r>
        <w:t xml:space="preserve">in a permanent </w:t>
      </w:r>
      <w:r w:rsidR="00095077">
        <w:t>building where the presence of God resides.</w:t>
      </w:r>
    </w:p>
    <w:p w14:paraId="075F4742" w14:textId="6D3D74A8" w:rsidR="007A4CA6" w:rsidRDefault="007A4CA6" w:rsidP="007D0B7B"/>
    <w:p w14:paraId="69B14E62" w14:textId="0F3CA6B5" w:rsidR="007A4CA6" w:rsidRDefault="007A4CA6" w:rsidP="007D0B7B">
      <w:pPr>
        <w:rPr>
          <w:b/>
          <w:bCs/>
        </w:rPr>
      </w:pPr>
      <w:r>
        <w:rPr>
          <w:b/>
          <w:bCs/>
        </w:rPr>
        <w:t>Bibliography</w:t>
      </w:r>
    </w:p>
    <w:p w14:paraId="75A5C65D" w14:textId="44F8DC8A" w:rsidR="007A4CA6" w:rsidRDefault="007A4CA6" w:rsidP="007D0B7B">
      <w:pPr>
        <w:rPr>
          <w:b/>
          <w:bCs/>
        </w:rPr>
      </w:pPr>
    </w:p>
    <w:p w14:paraId="4FBFF127" w14:textId="77777777" w:rsidR="004F616F" w:rsidRPr="004F616F" w:rsidRDefault="004F616F" w:rsidP="004F616F">
      <w:pPr>
        <w:rPr>
          <w:rFonts w:cstheme="minorHAnsi"/>
        </w:rPr>
      </w:pPr>
      <w:r w:rsidRPr="004F616F">
        <w:rPr>
          <w:rFonts w:cstheme="minorHAnsi"/>
        </w:rPr>
        <w:t xml:space="preserve">Unless otherwise indicated, all Bible references are taken from </w:t>
      </w:r>
      <w:r w:rsidRPr="004F616F">
        <w:rPr>
          <w:rFonts w:cstheme="minorHAnsi"/>
        </w:rPr>
        <w:fldChar w:fldCharType="begin"/>
      </w:r>
      <w:r w:rsidRPr="004F616F">
        <w:rPr>
          <w:rFonts w:cstheme="minorHAnsi"/>
        </w:rPr>
        <w:instrText xml:space="preserve"> ADDIN ZOTERO_ITEM CSL_CITATION {"citationID":"uXsw6fY8","properties":{"formattedCitation":"{\\i{}The Holy Bible: New Revised Standard Version\\uc0\\u8239{}; Containing the Old and New Testaments with the Apocryphal/Deuterocanonical Books}, Anglicized ed (Oxford: Oxford Univ. Press, 1995).","plainCitation":"The Holy Bible: New Revised Standard Version ; Containing the Old and New Testaments with the Apocryphal/Deuterocanonical Books, Anglicized ed (Oxford: Oxford Univ. Press, 1995).","noteIndex":0},"citationItems":[{"id":86,"uris":["http://zotero.org/users/7540819/items/BFS9QS3F"],"uri":["http://zotero.org/users/7540819/items/BFS9QS3F"],"itemData":{"id":86,"type":"book","edition":"Anglicized ed","event-place":"Oxford","ISBN":"978-0-19-107001-3","language":"eng","note":"OCLC: 833259225","number-of-pages":"905","publisher":"Oxford Univ. Press","publisher-place":"Oxford","source":"Gemeinsamer Bibliotheksverbund ISBN","title":"The Holy Bible: New Revised Standard Version ; containing the Old and New Testaments with the Apocryphal/Deuterocanonical books","title-short":"The Holy Bible","issued":{"date-parts":[["1995"]]}}}],"schema":"https://github.com/citation-style-language/schema/raw/master/csl-citation.json"} </w:instrText>
      </w:r>
      <w:r w:rsidRPr="004F616F">
        <w:rPr>
          <w:rFonts w:cstheme="minorHAnsi"/>
        </w:rPr>
        <w:fldChar w:fldCharType="separate"/>
      </w:r>
      <w:r w:rsidRPr="004F616F">
        <w:rPr>
          <w:rFonts w:cstheme="minorHAnsi"/>
          <w:i/>
          <w:iCs/>
          <w:lang w:val="en-US"/>
        </w:rPr>
        <w:t>The Holy Bible: New Revised Standard Version ; Containing the Old and New Testaments with the Apocryphal/Deuterocanonical Books</w:t>
      </w:r>
      <w:r w:rsidRPr="004F616F">
        <w:rPr>
          <w:rFonts w:cstheme="minorHAnsi"/>
          <w:lang w:val="en-US"/>
        </w:rPr>
        <w:t>, Anglicized ed (Oxford: Oxford Univ. Press, 1995).</w:t>
      </w:r>
      <w:r w:rsidRPr="004F616F">
        <w:rPr>
          <w:rFonts w:cstheme="minorHAnsi"/>
        </w:rPr>
        <w:fldChar w:fldCharType="end"/>
      </w:r>
    </w:p>
    <w:p w14:paraId="5B067EEB" w14:textId="77777777" w:rsidR="00756498" w:rsidRDefault="00756498" w:rsidP="007D0B7B">
      <w:pPr>
        <w:rPr>
          <w:b/>
          <w:bCs/>
        </w:rPr>
      </w:pPr>
    </w:p>
    <w:p w14:paraId="194FE129" w14:textId="77777777" w:rsidR="00756498" w:rsidRPr="00756498" w:rsidRDefault="00756498" w:rsidP="00756498">
      <w:pPr>
        <w:pStyle w:val="Bibliography"/>
        <w:rPr>
          <w:rFonts w:ascii="Calibri" w:cs="Calibri"/>
        </w:rPr>
      </w:pPr>
      <w:r>
        <w:fldChar w:fldCharType="begin"/>
      </w:r>
      <w:r>
        <w:instrText xml:space="preserve"> ADDIN ZOTERO_BIBL {"uncited":[["http://zotero.org/users/7540819/items/A35575LI"],["http://zotero.org/users/7540819/items/B3M5UH68"],["http://zotero.org/users/7540819/items/JGPWZ7R6"],["http://zotero.org/users/7540819/items/GGJGFRC7"],["http://zotero.org/users/7540819/items/FZG25ASE"],["http://zotero.org/users/7540819/items/IHJCDT2M"],["http://zotero.org/users/7540819/items/U8C864XJ"],["http://zotero.org/users/7540819/items/ZBTWU2EM"]],"omitted":[],"custom":[]} CSL_BIBLIOGRAPHY </w:instrText>
      </w:r>
      <w:r>
        <w:fldChar w:fldCharType="separate"/>
      </w:r>
      <w:r w:rsidRPr="00756498">
        <w:rPr>
          <w:rFonts w:ascii="Calibri" w:cs="Calibri"/>
        </w:rPr>
        <w:t>Queer Bible Hermeneutics. ‘1 Samuel 18-23: The Queerness of David and Jonathan’, 9 May 2016. https://blog.smu.edu/ot8317/2016/05/09/1-samuel-18-23-the-queerness-of-david-and-jonathan/.</w:t>
      </w:r>
    </w:p>
    <w:p w14:paraId="287D9539" w14:textId="77777777" w:rsidR="00756498" w:rsidRPr="00756498" w:rsidRDefault="00756498" w:rsidP="00756498">
      <w:pPr>
        <w:pStyle w:val="Bibliography"/>
        <w:rPr>
          <w:rFonts w:ascii="Calibri" w:cs="Calibri"/>
        </w:rPr>
      </w:pPr>
      <w:r w:rsidRPr="00756498">
        <w:rPr>
          <w:rFonts w:ascii="Calibri" w:cs="Calibri"/>
        </w:rPr>
        <w:t xml:space="preserve">Barron, Robert. </w:t>
      </w:r>
      <w:r w:rsidRPr="00756498">
        <w:rPr>
          <w:rFonts w:ascii="Calibri" w:cs="Calibri"/>
          <w:i/>
          <w:iCs/>
        </w:rPr>
        <w:t>2 Samuel</w:t>
      </w:r>
      <w:r w:rsidRPr="00756498">
        <w:rPr>
          <w:rFonts w:ascii="Calibri" w:cs="Calibri"/>
        </w:rPr>
        <w:t xml:space="preserve">. </w:t>
      </w:r>
      <w:proofErr w:type="spellStart"/>
      <w:r w:rsidRPr="00756498">
        <w:rPr>
          <w:rFonts w:ascii="Calibri" w:cs="Calibri"/>
        </w:rPr>
        <w:t>Brazos</w:t>
      </w:r>
      <w:proofErr w:type="spellEnd"/>
      <w:r w:rsidRPr="00756498">
        <w:rPr>
          <w:rFonts w:ascii="Calibri" w:cs="Calibri"/>
        </w:rPr>
        <w:t xml:space="preserve"> Theological Commentary on the Bible. Grand Rapids, Michigan: </w:t>
      </w:r>
      <w:proofErr w:type="spellStart"/>
      <w:r w:rsidRPr="00756498">
        <w:rPr>
          <w:rFonts w:ascii="Calibri" w:cs="Calibri"/>
        </w:rPr>
        <w:t>Brazos</w:t>
      </w:r>
      <w:proofErr w:type="spellEnd"/>
      <w:r w:rsidRPr="00756498">
        <w:rPr>
          <w:rFonts w:ascii="Calibri" w:cs="Calibri"/>
        </w:rPr>
        <w:t xml:space="preserve"> Press, 2015.</w:t>
      </w:r>
    </w:p>
    <w:p w14:paraId="74D26F70" w14:textId="77777777" w:rsidR="00756498" w:rsidRPr="00756498" w:rsidRDefault="00756498" w:rsidP="00756498">
      <w:pPr>
        <w:pStyle w:val="Bibliography"/>
        <w:rPr>
          <w:rFonts w:ascii="Calibri" w:cs="Calibri"/>
        </w:rPr>
      </w:pPr>
      <w:proofErr w:type="spellStart"/>
      <w:r w:rsidRPr="00756498">
        <w:rPr>
          <w:rFonts w:ascii="Calibri" w:cs="Calibri"/>
        </w:rPr>
        <w:t>Brettler</w:t>
      </w:r>
      <w:proofErr w:type="spellEnd"/>
      <w:r w:rsidRPr="00756498">
        <w:rPr>
          <w:rFonts w:ascii="Calibri" w:cs="Calibri"/>
        </w:rPr>
        <w:t xml:space="preserve">, Marc, and Amy-Jill Levine. ‘Isaiah’s Suffering Servant: Before and After Christianity’. </w:t>
      </w:r>
      <w:r w:rsidRPr="00756498">
        <w:rPr>
          <w:rFonts w:ascii="Calibri" w:cs="Calibri"/>
          <w:i/>
          <w:iCs/>
        </w:rPr>
        <w:t>Interpretation: A Journal of Bible and Theology</w:t>
      </w:r>
      <w:r w:rsidRPr="00756498">
        <w:rPr>
          <w:rFonts w:ascii="Calibri" w:cs="Calibri"/>
        </w:rPr>
        <w:t xml:space="preserve"> 73, no. 2 (April 2019): 158–73. https://doi.org/10.1177/0020964318820594.</w:t>
      </w:r>
    </w:p>
    <w:p w14:paraId="480A23AF" w14:textId="77777777" w:rsidR="00756498" w:rsidRPr="00756498" w:rsidRDefault="00756498" w:rsidP="00756498">
      <w:pPr>
        <w:pStyle w:val="Bibliography"/>
        <w:rPr>
          <w:rFonts w:ascii="Calibri" w:cs="Calibri"/>
        </w:rPr>
      </w:pPr>
      <w:proofErr w:type="spellStart"/>
      <w:r w:rsidRPr="00756498">
        <w:rPr>
          <w:rFonts w:ascii="Calibri" w:cs="Calibri"/>
        </w:rPr>
        <w:t>Brueggeman</w:t>
      </w:r>
      <w:proofErr w:type="spellEnd"/>
      <w:r w:rsidRPr="00756498">
        <w:rPr>
          <w:rFonts w:ascii="Calibri" w:cs="Calibri"/>
        </w:rPr>
        <w:t xml:space="preserve">, Walter. </w:t>
      </w:r>
      <w:r w:rsidRPr="00756498">
        <w:rPr>
          <w:rFonts w:ascii="Calibri" w:cs="Calibri"/>
          <w:i/>
          <w:iCs/>
        </w:rPr>
        <w:t>First and Second Samuel.</w:t>
      </w:r>
      <w:r w:rsidRPr="00756498">
        <w:rPr>
          <w:rFonts w:ascii="Calibri" w:cs="Calibri"/>
        </w:rPr>
        <w:t xml:space="preserve"> Louisville, Ky.: Westminster John Knox Press, 2012.</w:t>
      </w:r>
    </w:p>
    <w:p w14:paraId="4807BE20" w14:textId="77777777" w:rsidR="00756498" w:rsidRPr="00756498" w:rsidRDefault="00756498" w:rsidP="00756498">
      <w:pPr>
        <w:pStyle w:val="Bibliography"/>
        <w:rPr>
          <w:rFonts w:ascii="Calibri" w:cs="Calibri"/>
        </w:rPr>
      </w:pPr>
      <w:r w:rsidRPr="00756498">
        <w:rPr>
          <w:rFonts w:ascii="Calibri" w:cs="Calibri"/>
        </w:rPr>
        <w:t xml:space="preserve">Brueggemann, Walter. </w:t>
      </w:r>
      <w:r w:rsidRPr="00756498">
        <w:rPr>
          <w:rFonts w:ascii="Calibri" w:cs="Calibri"/>
          <w:i/>
          <w:iCs/>
        </w:rPr>
        <w:t>David’s Truth in Israel’s Imagination and Memory</w:t>
      </w:r>
      <w:r w:rsidRPr="00756498">
        <w:rPr>
          <w:rFonts w:ascii="Calibri" w:cs="Calibri"/>
        </w:rPr>
        <w:t xml:space="preserve">. 2nd ed. Minneapolis, </w:t>
      </w:r>
      <w:proofErr w:type="spellStart"/>
      <w:r w:rsidRPr="00756498">
        <w:rPr>
          <w:rFonts w:ascii="Calibri" w:cs="Calibri"/>
        </w:rPr>
        <w:t>Minn</w:t>
      </w:r>
      <w:proofErr w:type="spellEnd"/>
      <w:r w:rsidRPr="00756498">
        <w:rPr>
          <w:rFonts w:ascii="Calibri" w:cs="Calibri"/>
        </w:rPr>
        <w:t>: Fortress Press, 2002.</w:t>
      </w:r>
    </w:p>
    <w:p w14:paraId="6C15AB63" w14:textId="77777777" w:rsidR="00756498" w:rsidRPr="00756498" w:rsidRDefault="00756498" w:rsidP="00756498">
      <w:pPr>
        <w:pStyle w:val="Bibliography"/>
        <w:rPr>
          <w:rFonts w:ascii="Calibri" w:cs="Calibri"/>
        </w:rPr>
      </w:pPr>
      <w:r w:rsidRPr="00756498">
        <w:rPr>
          <w:rFonts w:ascii="Calibri" w:cs="Calibri"/>
        </w:rPr>
        <w:t>Wikipedia. ‘David and Jonathan’, n.d. https://en.wikipedia.org/wiki/David_and_Jonathan.</w:t>
      </w:r>
    </w:p>
    <w:p w14:paraId="165CE609" w14:textId="77777777" w:rsidR="00756498" w:rsidRPr="00756498" w:rsidRDefault="00756498" w:rsidP="00756498">
      <w:pPr>
        <w:pStyle w:val="Bibliography"/>
        <w:rPr>
          <w:rFonts w:ascii="Calibri" w:cs="Calibri"/>
        </w:rPr>
      </w:pPr>
      <w:r w:rsidRPr="00756498">
        <w:rPr>
          <w:rFonts w:ascii="Calibri" w:cs="Calibri"/>
        </w:rPr>
        <w:t xml:space="preserve">Exum, J Cheryl. ‘When Heroes Love: The Ambiguity of Eros in the Stories of Gilgamesh and David’. </w:t>
      </w:r>
      <w:r w:rsidRPr="00756498">
        <w:rPr>
          <w:rFonts w:ascii="Calibri" w:cs="Calibri"/>
          <w:i/>
          <w:iCs/>
        </w:rPr>
        <w:t>Journal for the Study of the Old Testament</w:t>
      </w:r>
      <w:r w:rsidRPr="00756498">
        <w:rPr>
          <w:rFonts w:ascii="Calibri" w:cs="Calibri"/>
        </w:rPr>
        <w:t xml:space="preserve"> 30, no. 5 (June 2006): 30–30.</w:t>
      </w:r>
    </w:p>
    <w:p w14:paraId="04F19E7F" w14:textId="77777777" w:rsidR="00756498" w:rsidRPr="00756498" w:rsidRDefault="00756498" w:rsidP="00756498">
      <w:pPr>
        <w:pStyle w:val="Bibliography"/>
        <w:rPr>
          <w:rFonts w:ascii="Calibri" w:cs="Calibri"/>
        </w:rPr>
      </w:pPr>
      <w:proofErr w:type="spellStart"/>
      <w:r w:rsidRPr="00756498">
        <w:rPr>
          <w:rFonts w:ascii="Calibri" w:cs="Calibri"/>
        </w:rPr>
        <w:t>Garsiel</w:t>
      </w:r>
      <w:proofErr w:type="spellEnd"/>
      <w:r w:rsidRPr="00756498">
        <w:rPr>
          <w:rFonts w:ascii="Calibri" w:cs="Calibri"/>
        </w:rPr>
        <w:t xml:space="preserve">, Moshe. ‘The Story of David and Bathsheba: A Different Approach’. </w:t>
      </w:r>
      <w:r w:rsidRPr="00756498">
        <w:rPr>
          <w:rFonts w:ascii="Calibri" w:cs="Calibri"/>
          <w:i/>
          <w:iCs/>
        </w:rPr>
        <w:t>The Catholic Biblical Quarterly</w:t>
      </w:r>
      <w:r w:rsidRPr="00756498">
        <w:rPr>
          <w:rFonts w:ascii="Calibri" w:cs="Calibri"/>
        </w:rPr>
        <w:t xml:space="preserve"> 55, no. 2 (April 1993): 244–62.</w:t>
      </w:r>
    </w:p>
    <w:p w14:paraId="445A1C98" w14:textId="77777777" w:rsidR="00756498" w:rsidRPr="00756498" w:rsidRDefault="00756498" w:rsidP="00756498">
      <w:pPr>
        <w:pStyle w:val="Bibliography"/>
        <w:rPr>
          <w:rFonts w:ascii="Calibri" w:cs="Calibri"/>
        </w:rPr>
      </w:pPr>
      <w:r w:rsidRPr="00756498">
        <w:rPr>
          <w:rFonts w:ascii="Calibri" w:cs="Calibri"/>
        </w:rPr>
        <w:t xml:space="preserve">Guest, </w:t>
      </w:r>
      <w:proofErr w:type="spellStart"/>
      <w:r w:rsidRPr="00756498">
        <w:rPr>
          <w:rFonts w:ascii="Calibri" w:cs="Calibri"/>
        </w:rPr>
        <w:t>Deryn</w:t>
      </w:r>
      <w:proofErr w:type="spellEnd"/>
      <w:r w:rsidRPr="00756498">
        <w:rPr>
          <w:rFonts w:ascii="Calibri" w:cs="Calibri"/>
        </w:rPr>
        <w:t xml:space="preserve">. ‘When Heroes Love: The Ambiguity of Eros in the Stories of Gilgamesh and David’. </w:t>
      </w:r>
      <w:r w:rsidRPr="00756498">
        <w:rPr>
          <w:rFonts w:ascii="Calibri" w:cs="Calibri"/>
          <w:i/>
          <w:iCs/>
        </w:rPr>
        <w:t>The Journal of Theological Studies</w:t>
      </w:r>
      <w:r w:rsidRPr="00756498">
        <w:rPr>
          <w:rFonts w:ascii="Calibri" w:cs="Calibri"/>
        </w:rPr>
        <w:t xml:space="preserve"> 57, no. 2 (October 2006): 611–14.</w:t>
      </w:r>
    </w:p>
    <w:p w14:paraId="5007BE5F" w14:textId="77777777" w:rsidR="00756498" w:rsidRPr="00756498" w:rsidRDefault="00756498" w:rsidP="00756498">
      <w:pPr>
        <w:pStyle w:val="Bibliography"/>
        <w:rPr>
          <w:rFonts w:ascii="Calibri" w:cs="Calibri"/>
        </w:rPr>
      </w:pPr>
      <w:proofErr w:type="spellStart"/>
      <w:r w:rsidRPr="00756498">
        <w:rPr>
          <w:rFonts w:ascii="Calibri" w:cs="Calibri"/>
        </w:rPr>
        <w:lastRenderedPageBreak/>
        <w:t>Heacock</w:t>
      </w:r>
      <w:proofErr w:type="spellEnd"/>
      <w:r w:rsidRPr="00756498">
        <w:rPr>
          <w:rFonts w:ascii="Calibri" w:cs="Calibri"/>
        </w:rPr>
        <w:t xml:space="preserve">, Anthony. ‘When Heroes Love: The Ambiguity of Eros in the Stories of Gilgamesh and David’. </w:t>
      </w:r>
      <w:r w:rsidRPr="00756498">
        <w:rPr>
          <w:rFonts w:ascii="Calibri" w:cs="Calibri"/>
          <w:i/>
          <w:iCs/>
        </w:rPr>
        <w:t>The Bible &amp; Critical Theory</w:t>
      </w:r>
      <w:r w:rsidRPr="00756498">
        <w:rPr>
          <w:rFonts w:ascii="Calibri" w:cs="Calibri"/>
        </w:rPr>
        <w:t xml:space="preserve"> 2, no. 2 (June 2006): 1–4. https://doi.org/10.2104/bc060019.</w:t>
      </w:r>
    </w:p>
    <w:p w14:paraId="541F2378" w14:textId="77777777" w:rsidR="00756498" w:rsidRPr="00756498" w:rsidRDefault="00756498" w:rsidP="00756498">
      <w:pPr>
        <w:pStyle w:val="Bibliography"/>
        <w:rPr>
          <w:rFonts w:ascii="Calibri" w:cs="Calibri"/>
        </w:rPr>
      </w:pPr>
      <w:proofErr w:type="spellStart"/>
      <w:r w:rsidRPr="00756498">
        <w:rPr>
          <w:rFonts w:ascii="Calibri" w:cs="Calibri"/>
        </w:rPr>
        <w:t>Linafelt</w:t>
      </w:r>
      <w:proofErr w:type="spellEnd"/>
      <w:r w:rsidRPr="00756498">
        <w:rPr>
          <w:rFonts w:ascii="Calibri" w:cs="Calibri"/>
        </w:rPr>
        <w:t xml:space="preserve">, Tod, Claudia V. Camp, Timothy K. Beal, and David M. Gunn, eds. </w:t>
      </w:r>
      <w:r w:rsidRPr="00756498">
        <w:rPr>
          <w:rFonts w:ascii="Calibri" w:cs="Calibri"/>
          <w:i/>
          <w:iCs/>
        </w:rPr>
        <w:t>The Fate of King David: The Past and Present of a Biblical Icon</w:t>
      </w:r>
      <w:r w:rsidRPr="00756498">
        <w:rPr>
          <w:rFonts w:ascii="Calibri" w:cs="Calibri"/>
        </w:rPr>
        <w:t>. Library of Hebrew Bible Old Testament Studies 500. New York: T &amp; T Clark, 2010.</w:t>
      </w:r>
    </w:p>
    <w:p w14:paraId="49A08E15" w14:textId="77777777" w:rsidR="00756498" w:rsidRPr="00756498" w:rsidRDefault="00756498" w:rsidP="00756498">
      <w:pPr>
        <w:pStyle w:val="Bibliography"/>
        <w:rPr>
          <w:rFonts w:ascii="Calibri" w:cs="Calibri"/>
        </w:rPr>
      </w:pPr>
      <w:r w:rsidRPr="00756498">
        <w:rPr>
          <w:rFonts w:ascii="Calibri" w:cs="Calibri"/>
        </w:rPr>
        <w:t xml:space="preserve">Merrill, Eugene H. </w:t>
      </w:r>
      <w:r w:rsidRPr="00756498">
        <w:rPr>
          <w:rFonts w:ascii="Calibri" w:cs="Calibri"/>
          <w:i/>
          <w:iCs/>
        </w:rPr>
        <w:t>A Commentary on 1 &amp; 2 Chronicles</w:t>
      </w:r>
      <w:r w:rsidRPr="00756498">
        <w:rPr>
          <w:rFonts w:ascii="Calibri" w:cs="Calibri"/>
        </w:rPr>
        <w:t>. Kregel Exegetical Library. Grand Rapids, MI: Kregel Publications, 2015.</w:t>
      </w:r>
    </w:p>
    <w:p w14:paraId="2F778D27" w14:textId="77777777" w:rsidR="00756498" w:rsidRPr="00756498" w:rsidRDefault="00756498" w:rsidP="00756498">
      <w:pPr>
        <w:pStyle w:val="Bibliography"/>
        <w:rPr>
          <w:rFonts w:ascii="Calibri" w:cs="Calibri"/>
        </w:rPr>
      </w:pPr>
      <w:r w:rsidRPr="00756498">
        <w:rPr>
          <w:rFonts w:ascii="Calibri" w:cs="Calibri"/>
        </w:rPr>
        <w:t xml:space="preserve">Metzger, Bruce M., David Allan Hubbard, and Glenn W. Barker, eds. </w:t>
      </w:r>
      <w:r w:rsidRPr="00756498">
        <w:rPr>
          <w:rFonts w:ascii="Calibri" w:cs="Calibri"/>
          <w:i/>
          <w:iCs/>
        </w:rPr>
        <w:t>Word Biblical Commentary</w:t>
      </w:r>
      <w:r w:rsidRPr="00756498">
        <w:rPr>
          <w:rFonts w:ascii="Calibri" w:cs="Calibri"/>
        </w:rPr>
        <w:t>. 2nd ed. Nashville: Thomas Nelson, 1999.</w:t>
      </w:r>
    </w:p>
    <w:p w14:paraId="186EDCA0" w14:textId="77777777" w:rsidR="00756498" w:rsidRPr="00756498" w:rsidRDefault="00756498" w:rsidP="00756498">
      <w:pPr>
        <w:pStyle w:val="Bibliography"/>
        <w:rPr>
          <w:rFonts w:ascii="Calibri" w:cs="Calibri"/>
        </w:rPr>
      </w:pPr>
      <w:r w:rsidRPr="00756498">
        <w:rPr>
          <w:rFonts w:ascii="Calibri" w:cs="Calibri"/>
        </w:rPr>
        <w:t xml:space="preserve">Pawson, David, and Andy Peck. </w:t>
      </w:r>
      <w:r w:rsidRPr="00756498">
        <w:rPr>
          <w:rFonts w:ascii="Calibri" w:cs="Calibri"/>
          <w:i/>
          <w:iCs/>
        </w:rPr>
        <w:t>Unlocking the Bible</w:t>
      </w:r>
      <w:r w:rsidRPr="00756498">
        <w:rPr>
          <w:rFonts w:ascii="Calibri" w:cs="Calibri"/>
        </w:rPr>
        <w:t>. Collins, 2015.</w:t>
      </w:r>
    </w:p>
    <w:p w14:paraId="7012963A" w14:textId="77777777" w:rsidR="00756498" w:rsidRPr="00756498" w:rsidRDefault="00756498" w:rsidP="00756498">
      <w:pPr>
        <w:pStyle w:val="Bibliography"/>
        <w:rPr>
          <w:rFonts w:ascii="Calibri" w:cs="Calibri"/>
        </w:rPr>
      </w:pPr>
      <w:r w:rsidRPr="00756498">
        <w:rPr>
          <w:rFonts w:ascii="Calibri" w:cs="Calibri"/>
        </w:rPr>
        <w:t xml:space="preserve">Rowe, Jonathan Y. </w:t>
      </w:r>
      <w:r w:rsidRPr="00756498">
        <w:rPr>
          <w:rFonts w:ascii="Calibri" w:cs="Calibri"/>
          <w:i/>
          <w:iCs/>
        </w:rPr>
        <w:t>Sons or Lovers : An Interpretation of David and Jonathan’s Friendship</w:t>
      </w:r>
      <w:r w:rsidRPr="00756498">
        <w:rPr>
          <w:rFonts w:ascii="Calibri" w:cs="Calibri"/>
        </w:rPr>
        <w:t>. Library of Hebrew Bible/Old Testament Studies. London: Bloomsbury, 2014.</w:t>
      </w:r>
    </w:p>
    <w:p w14:paraId="141A2071" w14:textId="77777777" w:rsidR="00756498" w:rsidRPr="00756498" w:rsidRDefault="00756498" w:rsidP="00756498">
      <w:pPr>
        <w:pStyle w:val="Bibliography"/>
        <w:rPr>
          <w:rFonts w:ascii="Calibri" w:cs="Calibri"/>
        </w:rPr>
      </w:pPr>
      <w:r w:rsidRPr="00756498">
        <w:rPr>
          <w:rFonts w:ascii="Calibri" w:cs="Calibri"/>
        </w:rPr>
        <w:t xml:space="preserve">Ryken, Leland, Jim </w:t>
      </w:r>
      <w:proofErr w:type="spellStart"/>
      <w:r w:rsidRPr="00756498">
        <w:rPr>
          <w:rFonts w:ascii="Calibri" w:cs="Calibri"/>
        </w:rPr>
        <w:t>Wilhoit</w:t>
      </w:r>
      <w:proofErr w:type="spellEnd"/>
      <w:r w:rsidRPr="00756498">
        <w:rPr>
          <w:rFonts w:ascii="Calibri" w:cs="Calibri"/>
        </w:rPr>
        <w:t xml:space="preserve">, and Tremper Longman, eds. </w:t>
      </w:r>
      <w:r w:rsidRPr="00756498">
        <w:rPr>
          <w:rFonts w:ascii="Calibri" w:cs="Calibri"/>
          <w:i/>
          <w:iCs/>
        </w:rPr>
        <w:t>Dictionary of Biblical Imagery</w:t>
      </w:r>
      <w:r w:rsidRPr="00756498">
        <w:rPr>
          <w:rFonts w:ascii="Calibri" w:cs="Calibri"/>
        </w:rPr>
        <w:t xml:space="preserve">. </w:t>
      </w:r>
      <w:proofErr w:type="spellStart"/>
      <w:r w:rsidRPr="00756498">
        <w:rPr>
          <w:rFonts w:ascii="Calibri" w:cs="Calibri"/>
        </w:rPr>
        <w:t>Nachdr</w:t>
      </w:r>
      <w:proofErr w:type="spellEnd"/>
      <w:r w:rsidRPr="00756498">
        <w:rPr>
          <w:rFonts w:ascii="Calibri" w:cs="Calibri"/>
        </w:rPr>
        <w:t>. Downers Grove, Ill.: InterVarsity Press, 2005.</w:t>
      </w:r>
    </w:p>
    <w:p w14:paraId="495B3BC8" w14:textId="77777777" w:rsidR="00756498" w:rsidRPr="00756498" w:rsidRDefault="00756498" w:rsidP="00756498">
      <w:pPr>
        <w:pStyle w:val="Bibliography"/>
        <w:rPr>
          <w:rFonts w:ascii="Calibri" w:cs="Calibri"/>
        </w:rPr>
      </w:pPr>
      <w:r w:rsidRPr="00756498">
        <w:rPr>
          <w:rFonts w:ascii="Calibri" w:cs="Calibri"/>
        </w:rPr>
        <w:t>Salzman, Franklyn. ‘Gay or Nay, Modern Readings of the David and Jonathan Narrative’. Accessed 16 August 2021. https://jewishstudies.indiana.edu/docs/2015_16/bernEssay_fSalzman.pdf.</w:t>
      </w:r>
    </w:p>
    <w:p w14:paraId="4C11525B" w14:textId="77777777" w:rsidR="00756498" w:rsidRPr="00756498" w:rsidRDefault="00756498" w:rsidP="00756498">
      <w:pPr>
        <w:pStyle w:val="Bibliography"/>
        <w:rPr>
          <w:rFonts w:ascii="Calibri" w:cs="Calibri"/>
        </w:rPr>
      </w:pPr>
      <w:r w:rsidRPr="00756498">
        <w:rPr>
          <w:rFonts w:ascii="Calibri" w:cs="Calibri"/>
        </w:rPr>
        <w:t>Blue Letter Bible. ‘Strong’s Lexicon’, n.d. https://www.blueletterbible.org/lexicon/h2580/kjv/wlc/0-1/.</w:t>
      </w:r>
    </w:p>
    <w:p w14:paraId="4F9139B6" w14:textId="77777777" w:rsidR="00756498" w:rsidRPr="00756498" w:rsidRDefault="00756498" w:rsidP="00756498">
      <w:pPr>
        <w:pStyle w:val="Bibliography"/>
        <w:rPr>
          <w:rFonts w:ascii="Calibri" w:cs="Calibri"/>
        </w:rPr>
      </w:pPr>
      <w:r w:rsidRPr="00756498">
        <w:rPr>
          <w:rFonts w:ascii="Calibri" w:cs="Calibri"/>
          <w:i/>
          <w:iCs/>
        </w:rPr>
        <w:t>The Holy Bible: New Revised Standard Version ; Containing the Old and New Testaments with the Apocryphal/Deuterocanonical Books</w:t>
      </w:r>
      <w:r w:rsidRPr="00756498">
        <w:rPr>
          <w:rFonts w:ascii="Calibri" w:cs="Calibri"/>
        </w:rPr>
        <w:t>. Anglicized ed. Oxford: Oxford Univ. Press, 1995.</w:t>
      </w:r>
    </w:p>
    <w:p w14:paraId="115FCDFE" w14:textId="77777777" w:rsidR="00756498" w:rsidRPr="00756498" w:rsidRDefault="00756498" w:rsidP="00756498">
      <w:pPr>
        <w:pStyle w:val="Bibliography"/>
        <w:rPr>
          <w:rFonts w:ascii="Calibri" w:cs="Calibri"/>
        </w:rPr>
      </w:pPr>
      <w:r w:rsidRPr="00756498">
        <w:rPr>
          <w:rFonts w:ascii="Calibri" w:cs="Calibri"/>
          <w:i/>
          <w:iCs/>
        </w:rPr>
        <w:t>The Holy Bible: NKJV, New King James Version.</w:t>
      </w:r>
      <w:r w:rsidRPr="00756498">
        <w:rPr>
          <w:rFonts w:ascii="Calibri" w:cs="Calibri"/>
        </w:rPr>
        <w:t xml:space="preserve"> Nashville: T. Nelson, 2011.</w:t>
      </w:r>
    </w:p>
    <w:p w14:paraId="236E38B5" w14:textId="77777777" w:rsidR="00756498" w:rsidRPr="00756498" w:rsidRDefault="00756498" w:rsidP="00756498">
      <w:pPr>
        <w:pStyle w:val="Bibliography"/>
        <w:rPr>
          <w:rFonts w:ascii="Calibri" w:cs="Calibri"/>
        </w:rPr>
      </w:pPr>
      <w:proofErr w:type="spellStart"/>
      <w:r w:rsidRPr="00756498">
        <w:rPr>
          <w:rFonts w:ascii="Calibri" w:cs="Calibri"/>
        </w:rPr>
        <w:t>Vannoy</w:t>
      </w:r>
      <w:proofErr w:type="spellEnd"/>
      <w:r w:rsidRPr="00756498">
        <w:rPr>
          <w:rFonts w:ascii="Calibri" w:cs="Calibri"/>
        </w:rPr>
        <w:t xml:space="preserve">, J. Robert. </w:t>
      </w:r>
      <w:r w:rsidRPr="00756498">
        <w:rPr>
          <w:rFonts w:ascii="Calibri" w:cs="Calibri"/>
          <w:i/>
          <w:iCs/>
        </w:rPr>
        <w:t>1-2 Samuel</w:t>
      </w:r>
      <w:r w:rsidRPr="00756498">
        <w:rPr>
          <w:rFonts w:ascii="Calibri" w:cs="Calibri"/>
        </w:rPr>
        <w:t xml:space="preserve">. Vol. 4a. Cornerstone Biblical Commentary. </w:t>
      </w:r>
      <w:proofErr w:type="spellStart"/>
      <w:r w:rsidRPr="00756498">
        <w:rPr>
          <w:rFonts w:ascii="Calibri" w:cs="Calibri"/>
        </w:rPr>
        <w:t>Varol</w:t>
      </w:r>
      <w:proofErr w:type="spellEnd"/>
      <w:r w:rsidRPr="00756498">
        <w:rPr>
          <w:rFonts w:ascii="Calibri" w:cs="Calibri"/>
        </w:rPr>
        <w:t xml:space="preserve"> Stream, IL: Tyndale House Publishers, 2009.</w:t>
      </w:r>
    </w:p>
    <w:p w14:paraId="56822A68" w14:textId="77777777" w:rsidR="00756498" w:rsidRPr="00756498" w:rsidRDefault="00756498" w:rsidP="00756498">
      <w:pPr>
        <w:pStyle w:val="Bibliography"/>
        <w:rPr>
          <w:rFonts w:ascii="Calibri" w:cs="Calibri"/>
        </w:rPr>
      </w:pPr>
      <w:proofErr w:type="spellStart"/>
      <w:r w:rsidRPr="00756498">
        <w:rPr>
          <w:rFonts w:ascii="Calibri" w:cs="Calibri"/>
        </w:rPr>
        <w:t>Wernik</w:t>
      </w:r>
      <w:proofErr w:type="spellEnd"/>
      <w:r w:rsidRPr="00756498">
        <w:rPr>
          <w:rFonts w:ascii="Calibri" w:cs="Calibri"/>
        </w:rPr>
        <w:t xml:space="preserve">, Uri. ‘Will the Real Homosexual in the Bible Please Stand Up?’ </w:t>
      </w:r>
      <w:r w:rsidRPr="00756498">
        <w:rPr>
          <w:rFonts w:ascii="Calibri" w:cs="Calibri"/>
          <w:i/>
          <w:iCs/>
        </w:rPr>
        <w:t>Theology &amp; Sexuality</w:t>
      </w:r>
      <w:r w:rsidRPr="00756498">
        <w:rPr>
          <w:rFonts w:ascii="Calibri" w:cs="Calibri"/>
        </w:rPr>
        <w:t xml:space="preserve"> 11, no. 3 (1 May 2005): 47–64. https://doi.org/10.1177/1355835805054345.</w:t>
      </w:r>
    </w:p>
    <w:p w14:paraId="6F675009" w14:textId="116BEF50" w:rsidR="004F616F" w:rsidRPr="007A4CA6" w:rsidRDefault="00756498" w:rsidP="007D0B7B">
      <w:pPr>
        <w:rPr>
          <w:b/>
          <w:bCs/>
        </w:rPr>
      </w:pPr>
      <w:r>
        <w:rPr>
          <w:b/>
          <w:bCs/>
        </w:rPr>
        <w:fldChar w:fldCharType="end"/>
      </w:r>
    </w:p>
    <w:sectPr w:rsidR="004F616F" w:rsidRPr="007A4CA6" w:rsidSect="005729FD">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43D26" w14:textId="77777777" w:rsidR="001E0B23" w:rsidRDefault="001E0B23" w:rsidP="0030563A">
      <w:r>
        <w:separator/>
      </w:r>
    </w:p>
  </w:endnote>
  <w:endnote w:type="continuationSeparator" w:id="0">
    <w:p w14:paraId="3CBC6071" w14:textId="77777777" w:rsidR="001E0B23" w:rsidRDefault="001E0B23" w:rsidP="003056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11573" w14:textId="48AB3A69" w:rsidR="008C026D" w:rsidRDefault="008C026D">
    <w:pPr>
      <w:pStyle w:val="Footer"/>
    </w:pPr>
    <w:r>
      <w:rPr>
        <w:rFonts w:ascii="Times New Roman" w:hAnsi="Times New Roman" w:cs="Times New Roman"/>
      </w:rPr>
      <w:t>Assessment 3: David</w:t>
    </w:r>
    <w:r>
      <w:rPr>
        <w:rFonts w:ascii="Times New Roman" w:hAnsi="Times New Roman" w:cs="Times New Roman"/>
      </w:rPr>
      <w:tab/>
      <w:t xml:space="preserve">Page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separate"/>
    </w:r>
    <w:r>
      <w:rPr>
        <w:rFonts w:ascii="Times New Roman" w:hAnsi="Times New Roman" w:cs="Times New Roman"/>
        <w:noProof/>
      </w:rPr>
      <w:t>1</w:t>
    </w:r>
    <w:r>
      <w:rPr>
        <w:rFonts w:ascii="Times New Roman" w:hAnsi="Times New Roman" w:cs="Times New Roman"/>
      </w:rPr>
      <w:fldChar w:fldCharType="end"/>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DATE \@ "dd/MM/yyyy" </w:instrText>
    </w:r>
    <w:r>
      <w:rPr>
        <w:rFonts w:ascii="Times New Roman" w:hAnsi="Times New Roman" w:cs="Times New Roman"/>
      </w:rPr>
      <w:fldChar w:fldCharType="separate"/>
    </w:r>
    <w:r w:rsidR="00761FEA">
      <w:rPr>
        <w:rFonts w:ascii="Times New Roman" w:hAnsi="Times New Roman" w:cs="Times New Roman"/>
        <w:noProof/>
      </w:rPr>
      <w:t>21/08/2021</w:t>
    </w:r>
    <w:r>
      <w:rPr>
        <w:rFonts w:ascii="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CEB77" w14:textId="77777777" w:rsidR="001E0B23" w:rsidRDefault="001E0B23" w:rsidP="0030563A">
      <w:r>
        <w:separator/>
      </w:r>
    </w:p>
  </w:footnote>
  <w:footnote w:type="continuationSeparator" w:id="0">
    <w:p w14:paraId="7FED4024" w14:textId="77777777" w:rsidR="001E0B23" w:rsidRDefault="001E0B23" w:rsidP="0030563A">
      <w:r>
        <w:continuationSeparator/>
      </w:r>
    </w:p>
  </w:footnote>
  <w:footnote w:id="1">
    <w:p w14:paraId="01676A35" w14:textId="0637A732" w:rsidR="001A007A" w:rsidRDefault="001A007A">
      <w:pPr>
        <w:pStyle w:val="FootnoteText"/>
      </w:pPr>
      <w:r>
        <w:rPr>
          <w:rStyle w:val="FootnoteReference"/>
        </w:rPr>
        <w:footnoteRef/>
      </w:r>
      <w:r>
        <w:t xml:space="preserve"> </w:t>
      </w:r>
      <w:r>
        <w:fldChar w:fldCharType="begin"/>
      </w:r>
      <w:r w:rsidR="007A7045">
        <w:instrText xml:space="preserve"> ADDIN ZOTERO_ITEM CSL_CITATION {"citationID":"qid9oMML","properties":{"formattedCitation":"Leland Ryken, Jim Wilhoit, and Tremper Longman, eds., {\\i{}Dictionary of Biblical Imagery}, Nachdr. (Downers Grove, Ill.: InterVarsity Press, 2005).","plainCitation":"Leland Ryken, Jim Wilhoit, and Tremper Longman, eds., Dictionary of Biblical Imagery, Nachdr. (Downers Grove, Ill.: InterVarsity Press, 2005).","dontUpdate":true,"noteIndex":1},"citationItems":[{"id":382,"uris":["http://zotero.org/users/7540819/items/5D8Y9QJS"],"uri":["http://zotero.org/users/7540819/items/5D8Y9QJS"],"itemData":{"id":382,"type":"book","edition":"Nachdr.","event-place":"Downers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fldChar w:fldCharType="separate"/>
      </w:r>
      <w:r w:rsidRPr="001A007A">
        <w:rPr>
          <w:rFonts w:ascii="Calibri" w:cs="Calibri"/>
        </w:rPr>
        <w:t xml:space="preserve">Leland Ryken, Jim Wilhoit, and Tremper Longman, eds., </w:t>
      </w:r>
      <w:r w:rsidRPr="001A007A">
        <w:rPr>
          <w:rFonts w:ascii="Calibri" w:cs="Calibri"/>
          <w:i/>
          <w:iCs/>
        </w:rPr>
        <w:t>Dictionary of Biblical Imagery</w:t>
      </w:r>
      <w:r w:rsidRPr="001A007A">
        <w:rPr>
          <w:rFonts w:ascii="Calibri" w:cs="Calibri"/>
        </w:rPr>
        <w:t>, Nachdr. (Downers Grove, Ill.: InterVarsity Press, 2005)</w:t>
      </w:r>
      <w:r>
        <w:rPr>
          <w:rFonts w:ascii="Calibri" w:cs="Calibri"/>
        </w:rPr>
        <w:t>, 194</w:t>
      </w:r>
      <w:r w:rsidRPr="001A007A">
        <w:rPr>
          <w:rFonts w:ascii="Calibri" w:cs="Calibri"/>
        </w:rPr>
        <w:t>.</w:t>
      </w:r>
      <w:r>
        <w:fldChar w:fldCharType="end"/>
      </w:r>
    </w:p>
  </w:footnote>
  <w:footnote w:id="2">
    <w:p w14:paraId="4BEE4116" w14:textId="57939664" w:rsidR="007B1600" w:rsidRDefault="007B1600">
      <w:pPr>
        <w:pStyle w:val="FootnoteText"/>
      </w:pPr>
      <w:r>
        <w:rPr>
          <w:rStyle w:val="FootnoteReference"/>
        </w:rPr>
        <w:footnoteRef/>
      </w:r>
      <w:r>
        <w:t xml:space="preserve"> Jan Jaynes Quesada, ‘King David and Tidings of Death: “Character Response” Criticism’ in </w:t>
      </w:r>
      <w:r>
        <w:fldChar w:fldCharType="begin"/>
      </w:r>
      <w:r w:rsidR="00B33512">
        <w:instrText xml:space="preserve"> ADDIN ZOTERO_ITEM CSL_CITATION {"citationID":"7IRerGIM","properties":{"formattedCitation":"Linafelt et al., {\\i{}The Fate of King David}.","plainCitation":"Linafelt et al., The Fate of King David.","dontUpdate":true,"noteIndex":2},"citationItems":[{"id":404,"uris":["http://zotero.org/users/7540819/items/SILCZCVM"],"uri":["http://zotero.org/users/7540819/items/SILCZCVM"],"itemData":{"id":404,"type":"book","collection-number":"500","collection-title":"Library of Hebrew Bible Old Testament studies","event-place":"New York","ISBN":"978-0-567-43465-4","language":"eng","number-of-pages":"313","publisher":"T &amp; T Clark","publisher-place":"New York","source":"K10plus ISBN","title":"The fate of King David: the past and present of a biblical icon","title-short":"The fate of King David","editor":[{"family":"Linafelt","given":"Tod"},{"family":"Camp","given":"Claudia V."},{"family":"Beal","given":"Timothy K."},{"family":"Gunn","given":"David M."}],"issued":{"date-parts":[["2010"]]}}}],"schema":"https://github.com/citation-style-language/schema/raw/master/csl-citation.json"} </w:instrText>
      </w:r>
      <w:r>
        <w:fldChar w:fldCharType="separate"/>
      </w:r>
      <w:r w:rsidRPr="007A7045">
        <w:rPr>
          <w:rFonts w:ascii="Calibri" w:cs="Calibri"/>
        </w:rPr>
        <w:t xml:space="preserve">Linafelt et al., </w:t>
      </w:r>
      <w:r w:rsidRPr="007A7045">
        <w:rPr>
          <w:rFonts w:ascii="Calibri" w:cs="Calibri"/>
          <w:i/>
          <w:iCs/>
        </w:rPr>
        <w:t>The Fate of King David</w:t>
      </w:r>
      <w:r>
        <w:rPr>
          <w:rFonts w:ascii="Calibri" w:cs="Calibri"/>
        </w:rPr>
        <w:t>, 3</w:t>
      </w:r>
      <w:r w:rsidRPr="007A7045">
        <w:rPr>
          <w:rFonts w:ascii="Calibri" w:cs="Calibri"/>
        </w:rPr>
        <w:t>.</w:t>
      </w:r>
      <w:r>
        <w:fldChar w:fldCharType="end"/>
      </w:r>
    </w:p>
  </w:footnote>
  <w:footnote w:id="3">
    <w:p w14:paraId="1DE91C39" w14:textId="284B8316" w:rsidR="0030563A" w:rsidRDefault="0030563A">
      <w:pPr>
        <w:pStyle w:val="FootnoteText"/>
      </w:pPr>
      <w:r>
        <w:rPr>
          <w:rStyle w:val="FootnoteReference"/>
        </w:rPr>
        <w:footnoteRef/>
      </w:r>
      <w:r>
        <w:t xml:space="preserve"> </w:t>
      </w:r>
      <w:r>
        <w:fldChar w:fldCharType="begin"/>
      </w:r>
      <w:r w:rsidR="00B33512">
        <w:instrText xml:space="preserve"> ADDIN ZOTERO_ITEM CSL_CITATION {"citationID":"buH6RePm","properties":{"formattedCitation":"Robert Barron, {\\i{}2 Samuel}, Brazos Theological Commentary on the Bible (Grand Rapids, Michigan: Brazos Press, 2015).","plainCitation":"Robert Barron, 2 Samuel, Brazos Theological Commentary on the Bible (Grand Rapids, Michigan: Brazos Press, 2015).","dontUpdate":true,"noteIndex":3},"citationItems":[{"id":365,"uris":["http://zotero.org/users/7540819/items/GC5AT35P"],"uri":["http://zotero.org/users/7540819/items/GC5AT35P"],"itemData":{"id":365,"type":"book","call-number":"BS1325.53 .B38 2015","collection-title":"Brazos theological commentary on the Bible","event-place":"Grand Rapids, Michigan","ISBN":"978-1-58743-291-0","number-of-pages":"218","publisher":"Brazos Press","publisher-place":"Grand Rapids, Michigan","source":"Library of Congress ISBN","title":"2 Samuel","author":[{"family":"Barron","given":"Robert"}],"issued":{"date-parts":[["2015"]]}}}],"schema":"https://github.com/citation-style-language/schema/raw/master/csl-citation.json"} </w:instrText>
      </w:r>
      <w:r>
        <w:fldChar w:fldCharType="separate"/>
      </w:r>
      <w:r w:rsidRPr="0030563A">
        <w:rPr>
          <w:rFonts w:ascii="Calibri" w:cs="Calibri"/>
        </w:rPr>
        <w:t xml:space="preserve">Robert Barron, </w:t>
      </w:r>
      <w:r w:rsidRPr="0030563A">
        <w:rPr>
          <w:rFonts w:ascii="Calibri" w:cs="Calibri"/>
          <w:i/>
          <w:iCs/>
        </w:rPr>
        <w:t>2 Samuel</w:t>
      </w:r>
      <w:r w:rsidRPr="0030563A">
        <w:rPr>
          <w:rFonts w:ascii="Calibri" w:cs="Calibri"/>
        </w:rPr>
        <w:t>, Brazos Theological Commentary on the Bible (Grand Rapids, Michigan: Brazos Press, 2015)</w:t>
      </w:r>
      <w:r>
        <w:rPr>
          <w:rFonts w:ascii="Calibri" w:cs="Calibri"/>
        </w:rPr>
        <w:t>, xix</w:t>
      </w:r>
      <w:r w:rsidRPr="0030563A">
        <w:rPr>
          <w:rFonts w:ascii="Calibri" w:cs="Calibri"/>
        </w:rPr>
        <w:t>.</w:t>
      </w:r>
      <w:r>
        <w:fldChar w:fldCharType="end"/>
      </w:r>
    </w:p>
  </w:footnote>
  <w:footnote w:id="4">
    <w:p w14:paraId="33667212" w14:textId="45EDF701" w:rsidR="00023016" w:rsidRDefault="00023016" w:rsidP="00023016">
      <w:pPr>
        <w:pStyle w:val="FootnoteText"/>
      </w:pPr>
      <w:r>
        <w:rPr>
          <w:rStyle w:val="FootnoteReference"/>
        </w:rPr>
        <w:footnoteRef/>
      </w:r>
      <w:r>
        <w:t xml:space="preserve"> </w:t>
      </w:r>
      <w:r>
        <w:fldChar w:fldCharType="begin"/>
      </w:r>
      <w:r w:rsidR="00B33512">
        <w:instrText xml:space="preserve"> ADDIN ZOTERO_ITEM CSL_CITATION {"citationID":"lO7E6CEO","properties":{"formattedCitation":"Leland Ryken, Jim Wilhoit, and Tremper Longman, eds., {\\i{}Dictionary of Biblical Imagery}, Nachdr. (Downers Grove, Ill.: InterVarsity Press, 2005).","plainCitation":"Leland Ryken, Jim Wilhoit, and Tremper Longman, eds., Dictionary of Biblical Imagery, Nachdr. (Downers Grove, Ill.: InterVarsity Press, 2005).","dontUpdate":true,"noteIndex":4},"citationItems":[{"id":382,"uris":["http://zotero.org/users/7540819/items/5D8Y9QJS"],"uri":["http://zotero.org/users/7540819/items/5D8Y9QJS"],"itemData":{"id":382,"type":"book","edition":"Nachdr.","event-place":"Downers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fldChar w:fldCharType="separate"/>
      </w:r>
      <w:r w:rsidRPr="00023016">
        <w:rPr>
          <w:rFonts w:ascii="Calibri" w:cs="Calibri"/>
        </w:rPr>
        <w:t xml:space="preserve">Leland Ryken, Jim Wilhoit, and Tremper Longman, eds., </w:t>
      </w:r>
      <w:r w:rsidRPr="00023016">
        <w:rPr>
          <w:rFonts w:ascii="Calibri" w:cs="Calibri"/>
          <w:i/>
          <w:iCs/>
        </w:rPr>
        <w:t>Dictionary of Biblical Imagery</w:t>
      </w:r>
      <w:r w:rsidRPr="00023016">
        <w:rPr>
          <w:rFonts w:ascii="Calibri" w:cs="Calibri"/>
        </w:rPr>
        <w:t>, Nachdr. (Downers Grove, Ill.: InterVarsity Press, 2005)</w:t>
      </w:r>
      <w:r>
        <w:rPr>
          <w:rFonts w:ascii="Calibri" w:cs="Calibri"/>
        </w:rPr>
        <w:t>, 178</w:t>
      </w:r>
      <w:r w:rsidRPr="00023016">
        <w:rPr>
          <w:rFonts w:ascii="Calibri" w:cs="Calibri"/>
        </w:rPr>
        <w:t>.</w:t>
      </w:r>
      <w:r>
        <w:fldChar w:fldCharType="end"/>
      </w:r>
    </w:p>
  </w:footnote>
  <w:footnote w:id="5">
    <w:p w14:paraId="4D8BA6F7" w14:textId="33A203B8" w:rsidR="00023016" w:rsidRDefault="00023016">
      <w:pPr>
        <w:pStyle w:val="FootnoteText"/>
      </w:pPr>
      <w:r>
        <w:rPr>
          <w:rStyle w:val="FootnoteReference"/>
        </w:rPr>
        <w:footnoteRef/>
      </w:r>
      <w:r>
        <w:t xml:space="preserve"> </w:t>
      </w:r>
      <w:r>
        <w:fldChar w:fldCharType="begin"/>
      </w:r>
      <w:r w:rsidR="00B33512">
        <w:instrText xml:space="preserve"> ADDIN ZOTERO_ITEM CSL_CITATION {"citationID":"vcJQLSSw","properties":{"formattedCitation":"Ryken, Wilhoit, and Longman.","plainCitation":"Ryken, Wilhoit, and Longman.","dontUpdate":true,"noteIndex":5},"citationItems":[{"id":382,"uris":["http://zotero.org/users/7540819/items/5D8Y9QJS"],"uri":["http://zotero.org/users/7540819/items/5D8Y9QJS"],"itemData":{"id":382,"type":"book","edition":"Nachdr.","event-place":"Downers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fldChar w:fldCharType="separate"/>
      </w:r>
      <w:r>
        <w:rPr>
          <w:noProof/>
        </w:rPr>
        <w:t>Ryken, Wilhoit, and Longman, 476-477.</w:t>
      </w:r>
      <w:r>
        <w:fldChar w:fldCharType="end"/>
      </w:r>
    </w:p>
  </w:footnote>
  <w:footnote w:id="6">
    <w:p w14:paraId="684A9B5A" w14:textId="676EE814" w:rsidR="00B33512" w:rsidRPr="00B33512" w:rsidRDefault="00B33512" w:rsidP="00B33512">
      <w:pPr>
        <w:rPr>
          <w:sz w:val="20"/>
          <w:szCs w:val="20"/>
        </w:rPr>
      </w:pPr>
      <w:r w:rsidRPr="00B33512">
        <w:rPr>
          <w:rStyle w:val="FootnoteReference"/>
          <w:sz w:val="20"/>
          <w:szCs w:val="20"/>
        </w:rPr>
        <w:footnoteRef/>
      </w:r>
      <w:r w:rsidRPr="00B33512">
        <w:rPr>
          <w:sz w:val="20"/>
          <w:szCs w:val="20"/>
        </w:rPr>
        <w:t xml:space="preserve"> </w:t>
      </w:r>
      <w:r w:rsidRPr="00B33512">
        <w:rPr>
          <w:rFonts w:cstheme="minorHAnsi"/>
          <w:sz w:val="20"/>
          <w:szCs w:val="20"/>
        </w:rPr>
        <w:t xml:space="preserve">chosen by God, not to be a foreigner, not to accumulate too many horses (which might develop too must trust in military might), nor too many wives (which might divert him away from God), nor wealth for himself. Importantly he must write a copy of the law for himself, read it and obey it. </w:t>
      </w:r>
      <w:r>
        <w:rPr>
          <w:rFonts w:cstheme="minorHAnsi"/>
          <w:sz w:val="20"/>
          <w:szCs w:val="20"/>
        </w:rPr>
        <w:t xml:space="preserve">cf. </w:t>
      </w:r>
      <w:r w:rsidRPr="00B33512">
        <w:rPr>
          <w:sz w:val="20"/>
          <w:szCs w:val="20"/>
        </w:rPr>
        <w:fldChar w:fldCharType="begin"/>
      </w:r>
      <w:r>
        <w:rPr>
          <w:sz w:val="20"/>
          <w:szCs w:val="20"/>
        </w:rPr>
        <w:instrText xml:space="preserve"> ADDIN ZOTERO_ITEM CSL_CITATION {"citationID":"cuTBi5w7","properties":{"formattedCitation":"Ryken, Wilhoit, and Longman.","plainCitation":"Ryken, Wilhoit, and Longman.","dontUpdate":true,"noteIndex":6},"citationItems":[{"id":382,"uris":["http://zotero.org/users/7540819/items/5D8Y9QJS"],"uri":["http://zotero.org/users/7540819/items/5D8Y9QJS"],"itemData":{"id":382,"type":"book","edition":"Nachdr.","event-place":"Downers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rsidRPr="00B33512">
        <w:rPr>
          <w:sz w:val="20"/>
          <w:szCs w:val="20"/>
        </w:rPr>
        <w:fldChar w:fldCharType="separate"/>
      </w:r>
      <w:r w:rsidRPr="00B33512">
        <w:rPr>
          <w:noProof/>
          <w:sz w:val="20"/>
          <w:szCs w:val="20"/>
        </w:rPr>
        <w:t xml:space="preserve">Ryken, Wilhoit, and Longman, </w:t>
      </w:r>
      <w:r w:rsidRPr="00B33512">
        <w:rPr>
          <w:rFonts w:ascii="Calibri" w:cs="Calibri"/>
          <w:i/>
          <w:iCs/>
          <w:sz w:val="20"/>
          <w:szCs w:val="20"/>
        </w:rPr>
        <w:t>Dictionary of Biblical Imagery</w:t>
      </w:r>
      <w:r w:rsidRPr="00B33512">
        <w:rPr>
          <w:rFonts w:ascii="Calibri" w:cs="Calibri"/>
          <w:sz w:val="20"/>
          <w:szCs w:val="20"/>
        </w:rPr>
        <w:t xml:space="preserve">, </w:t>
      </w:r>
      <w:r w:rsidRPr="00B33512">
        <w:rPr>
          <w:noProof/>
          <w:sz w:val="20"/>
          <w:szCs w:val="20"/>
        </w:rPr>
        <w:t xml:space="preserve"> </w:t>
      </w:r>
      <w:r w:rsidRPr="00B33512">
        <w:rPr>
          <w:rFonts w:ascii="Calibri" w:cs="Calibri"/>
          <w:sz w:val="20"/>
          <w:szCs w:val="20"/>
        </w:rPr>
        <w:t>277</w:t>
      </w:r>
      <w:r w:rsidRPr="00B33512">
        <w:rPr>
          <w:noProof/>
          <w:sz w:val="20"/>
          <w:szCs w:val="20"/>
        </w:rPr>
        <w:t>.</w:t>
      </w:r>
      <w:r w:rsidRPr="00B33512">
        <w:rPr>
          <w:sz w:val="20"/>
          <w:szCs w:val="20"/>
        </w:rPr>
        <w:fldChar w:fldCharType="end"/>
      </w:r>
    </w:p>
  </w:footnote>
  <w:footnote w:id="7">
    <w:p w14:paraId="4D9983CA" w14:textId="7F635878" w:rsidR="00206B8D" w:rsidRDefault="00206B8D" w:rsidP="00206B8D">
      <w:pPr>
        <w:pStyle w:val="FootnoteText"/>
      </w:pPr>
      <w:r>
        <w:rPr>
          <w:rStyle w:val="FootnoteReference"/>
        </w:rPr>
        <w:footnoteRef/>
      </w:r>
      <w:r>
        <w:t xml:space="preserve"> </w:t>
      </w:r>
      <w:r>
        <w:fldChar w:fldCharType="begin"/>
      </w:r>
      <w:r w:rsidR="00B33512">
        <w:instrText xml:space="preserve"> ADDIN ZOTERO_ITEM CSL_CITATION {"citationID":"sZAapfqE","properties":{"formattedCitation":"Ryken, Wilhoit, and Longman, {\\i{}Dictionary of Biblical Imagery}.","plainCitation":"Ryken, Wilhoit, and Longman, Dictionary of Biblical Imagery.","dontUpdate":true,"noteIndex":7},"citationItems":[{"id":382,"uris":["http://zotero.org/users/7540819/items/5D8Y9QJS"],"uri":["http://zotero.org/users/7540819/items/5D8Y9QJS"],"itemData":{"id":382,"type":"book","edition":"Nachdr.","event-place":"Downers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fldChar w:fldCharType="separate"/>
      </w:r>
      <w:r w:rsidRPr="00F50515">
        <w:rPr>
          <w:rFonts w:ascii="Calibri" w:cs="Calibri"/>
        </w:rPr>
        <w:t xml:space="preserve">Ryken, Wilhoit, and Longman, </w:t>
      </w:r>
      <w:r w:rsidRPr="00F50515">
        <w:rPr>
          <w:rFonts w:ascii="Calibri" w:cs="Calibri"/>
          <w:i/>
          <w:iCs/>
        </w:rPr>
        <w:t>Dictionary of Biblical Imagery</w:t>
      </w:r>
      <w:r>
        <w:rPr>
          <w:rFonts w:ascii="Calibri" w:cs="Calibri"/>
        </w:rPr>
        <w:t>, 194</w:t>
      </w:r>
      <w:r w:rsidRPr="00F50515">
        <w:rPr>
          <w:rFonts w:ascii="Calibri" w:cs="Calibri"/>
        </w:rPr>
        <w:t>.</w:t>
      </w:r>
      <w:r>
        <w:fldChar w:fldCharType="end"/>
      </w:r>
      <w:r w:rsidRPr="00F50515">
        <w:t xml:space="preserve"> </w:t>
      </w:r>
      <w:r>
        <w:t xml:space="preserve">Bible quotation from </w:t>
      </w:r>
      <w:r>
        <w:fldChar w:fldCharType="begin"/>
      </w:r>
      <w:r w:rsidR="00B33512">
        <w:instrText xml:space="preserve"> ADDIN ZOTERO_ITEM CSL_CITATION {"citationID":"j0RNOMCQ","properties":{"formattedCitation":"{\\i{}The Holy Bible: NKJV, New King James Version.} (Nashville: T. Nelson, 2011).","plainCitation":"The Holy Bible: NKJV, New King James Version. (Nashville: T. Nelson, 2011).","noteIndex":7},"citationItems":[{"id":403,"uris":["http://zotero.org/users/7540819/items/QMAWU9R4"],"uri":["http://zotero.org/users/7540819/items/QMAWU9R4"],"itemData":{"id":403,"type":"book","event-place":"Nashville","ISBN":"978-0-8407-0053-7","language":"English","note":"OCLC: 1252090157","publisher":"T. Nelson","publisher-place":"Nashville","source":"Open WorldCat","title":"The Holy Bible: NKJV, New King James version.","title-short":"The Holy Bible","issued":{"date-parts":[["2011"]]}}}],"schema":"https://github.com/citation-style-language/schema/raw/master/csl-citation.json"} </w:instrText>
      </w:r>
      <w:r>
        <w:fldChar w:fldCharType="separate"/>
      </w:r>
      <w:r w:rsidRPr="00E81A54">
        <w:rPr>
          <w:rFonts w:ascii="Calibri" w:cs="Calibri"/>
          <w:i/>
          <w:iCs/>
        </w:rPr>
        <w:t>The Holy Bible: NKJV, New King James Version.</w:t>
      </w:r>
      <w:r w:rsidRPr="00E81A54">
        <w:rPr>
          <w:rFonts w:ascii="Calibri" w:cs="Calibri"/>
        </w:rPr>
        <w:t xml:space="preserve"> (Nashville: T. Nelson, 2011).</w:t>
      </w:r>
      <w:r>
        <w:fldChar w:fldCharType="end"/>
      </w:r>
    </w:p>
  </w:footnote>
  <w:footnote w:id="8">
    <w:p w14:paraId="4825426B" w14:textId="212C047A" w:rsidR="00F322D5" w:rsidRDefault="00F322D5">
      <w:pPr>
        <w:pStyle w:val="FootnoteText"/>
      </w:pPr>
      <w:r>
        <w:rPr>
          <w:rStyle w:val="FootnoteReference"/>
        </w:rPr>
        <w:footnoteRef/>
      </w:r>
      <w:r>
        <w:t xml:space="preserve"> cf. </w:t>
      </w:r>
      <w:r>
        <w:fldChar w:fldCharType="begin"/>
      </w:r>
      <w:r w:rsidR="00B33512">
        <w:instrText xml:space="preserve"> ADDIN ZOTERO_ITEM CSL_CITATION {"citationID":"2Un2xMC9","properties":{"formattedCitation":"David Pawson and Andy Peck, {\\i{}Unlocking the Bible} (Collins, 2015).","plainCitation":"David Pawson and Andy Peck, Unlocking the Bible (Collins, 2015).","dontUpdate":true,"noteIndex":8},"citationItems":[{"id":352,"uris":["http://zotero.org/users/7540819/items/WNTNYDCM"],"uri":["http://zotero.org/users/7540819/items/WNTNYDCM"],"itemData":{"id":352,"type":"book","ISBN":"978-0-00-716666-4","language":"English","note":"OCLC: 1006498106","publisher":"Collins","source":"Open WorldCat","title":"Unlocking the Bible","author":[{"family":"Pawson","given":"David"},{"family":"Peck","given":"Andy"}],"issued":{"date-parts":[["2015"]]}}}],"schema":"https://github.com/citation-style-language/schema/raw/master/csl-citation.json"} </w:instrText>
      </w:r>
      <w:r>
        <w:fldChar w:fldCharType="separate"/>
      </w:r>
      <w:r w:rsidRPr="00F322D5">
        <w:rPr>
          <w:rFonts w:ascii="Calibri" w:cs="Calibri"/>
        </w:rPr>
        <w:t xml:space="preserve">David Pawson and Andy Peck, </w:t>
      </w:r>
      <w:r w:rsidRPr="00F322D5">
        <w:rPr>
          <w:rFonts w:ascii="Calibri" w:cs="Calibri"/>
          <w:i/>
          <w:iCs/>
        </w:rPr>
        <w:t>Unlocking the Bible</w:t>
      </w:r>
      <w:r w:rsidRPr="00F322D5">
        <w:rPr>
          <w:rFonts w:ascii="Calibri" w:cs="Calibri"/>
        </w:rPr>
        <w:t xml:space="preserve"> (Collins, 2015)</w:t>
      </w:r>
      <w:r>
        <w:rPr>
          <w:rFonts w:ascii="Calibri" w:cs="Calibri"/>
        </w:rPr>
        <w:t>, 349</w:t>
      </w:r>
      <w:r w:rsidRPr="00F322D5">
        <w:rPr>
          <w:rFonts w:ascii="Calibri" w:cs="Calibri"/>
        </w:rPr>
        <w:t>.</w:t>
      </w:r>
      <w:r>
        <w:fldChar w:fldCharType="end"/>
      </w:r>
    </w:p>
  </w:footnote>
  <w:footnote w:id="9">
    <w:p w14:paraId="5ADB62F8" w14:textId="65D3706A" w:rsidR="003C5D2D" w:rsidRDefault="003C5D2D">
      <w:pPr>
        <w:pStyle w:val="FootnoteText"/>
      </w:pPr>
      <w:r>
        <w:rPr>
          <w:rStyle w:val="FootnoteReference"/>
        </w:rPr>
        <w:footnoteRef/>
      </w:r>
      <w:r>
        <w:t xml:space="preserve"> Robert C. Culley, ‘David and the Psalms: Titles, Poems, and Stories’ in </w:t>
      </w:r>
      <w:r>
        <w:fldChar w:fldCharType="begin"/>
      </w:r>
      <w:r w:rsidR="00B33512">
        <w:instrText xml:space="preserve"> ADDIN ZOTERO_ITEM CSL_CITATION {"citationID":"bNyEzGm6","properties":{"formattedCitation":"Tod Linafelt et al., eds., {\\i{}The Fate of King David: The Past and Present of a Biblical Icon}, Library of Hebrew Bible Old Testament Studies 500 (New York: T &amp; T Clark, 2010).","plainCitation":"Tod Linafelt et al., eds., The Fate of King David: The Past and Present of a Biblical Icon, Library of Hebrew Bible Old Testament Studies 500 (New York: T &amp; T Clark, 2010).","dontUpdate":true,"noteIndex":9},"citationItems":[{"id":404,"uris":["http://zotero.org/users/7540819/items/SILCZCVM"],"uri":["http://zotero.org/users/7540819/items/SILCZCVM"],"itemData":{"id":404,"type":"book","collection-number":"500","collection-title":"Library of Hebrew Bible Old Testament studies","event-place":"New York","ISBN":"978-0-567-43465-4","language":"eng","number-of-pages":"313","publisher":"T &amp; T Clark","publisher-place":"New York","source":"K10plus ISBN","title":"The fate of King David: the past and present of a biblical icon","title-short":"The fate of King David","editor":[{"family":"Linafelt","given":"Tod"},{"family":"Camp","given":"Claudia V."},{"family":"Beal","given":"Timothy K."},{"family":"Gunn","given":"David M."}],"issued":{"date-parts":[["2010"]]}}}],"schema":"https://github.com/citation-style-language/schema/raw/master/csl-citation.json"} </w:instrText>
      </w:r>
      <w:r>
        <w:fldChar w:fldCharType="separate"/>
      </w:r>
      <w:r w:rsidRPr="003C5D2D">
        <w:rPr>
          <w:rFonts w:ascii="Calibri" w:cs="Calibri"/>
        </w:rPr>
        <w:t xml:space="preserve">Tod Linafelt et al., eds., </w:t>
      </w:r>
      <w:r w:rsidRPr="003C5D2D">
        <w:rPr>
          <w:rFonts w:ascii="Calibri" w:cs="Calibri"/>
          <w:i/>
          <w:iCs/>
        </w:rPr>
        <w:t>The Fate of King David: The Past and Present of a Biblical Icon</w:t>
      </w:r>
      <w:r w:rsidRPr="003C5D2D">
        <w:rPr>
          <w:rFonts w:ascii="Calibri" w:cs="Calibri"/>
        </w:rPr>
        <w:t>, Library of Hebrew Bible Old Testament Studies 500 (New York: T &amp; T Clark, 2010)</w:t>
      </w:r>
      <w:r>
        <w:rPr>
          <w:rFonts w:ascii="Calibri" w:cs="Calibri"/>
        </w:rPr>
        <w:t>, 153-4</w:t>
      </w:r>
      <w:r w:rsidRPr="003C5D2D">
        <w:rPr>
          <w:rFonts w:ascii="Calibri" w:cs="Calibri"/>
        </w:rPr>
        <w:t>.</w:t>
      </w:r>
      <w:r>
        <w:fldChar w:fldCharType="end"/>
      </w:r>
    </w:p>
  </w:footnote>
  <w:footnote w:id="10">
    <w:p w14:paraId="7884B766" w14:textId="77777777" w:rsidR="00212A37" w:rsidRPr="00212A37" w:rsidRDefault="00212A37" w:rsidP="00212A37">
      <w:pPr>
        <w:rPr>
          <w:sz w:val="20"/>
          <w:szCs w:val="20"/>
        </w:rPr>
      </w:pPr>
      <w:r w:rsidRPr="00212A37">
        <w:rPr>
          <w:sz w:val="20"/>
          <w:szCs w:val="20"/>
          <w:vertAlign w:val="superscript"/>
        </w:rPr>
        <w:footnoteRef/>
      </w:r>
      <w:r w:rsidRPr="00212A37">
        <w:rPr>
          <w:sz w:val="20"/>
          <w:szCs w:val="20"/>
        </w:rPr>
        <w:t xml:space="preserve"> Peter C. Craigie, </w:t>
      </w:r>
      <w:hyperlink r:id="rId1" w:history="1">
        <w:r w:rsidRPr="00212A37">
          <w:rPr>
            <w:i/>
            <w:color w:val="0000FF"/>
            <w:sz w:val="20"/>
            <w:szCs w:val="20"/>
            <w:u w:val="single"/>
          </w:rPr>
          <w:t>Psalms 1–50</w:t>
        </w:r>
      </w:hyperlink>
      <w:r w:rsidRPr="00212A37">
        <w:rPr>
          <w:sz w:val="20"/>
          <w:szCs w:val="20"/>
        </w:rPr>
        <w:t>, 2nd ed., vol. 19, Word Biblical Commentary (Nashville, TN: Nelson Reference &amp; Electronic, 2004), 293.</w:t>
      </w:r>
    </w:p>
  </w:footnote>
  <w:footnote w:id="11">
    <w:p w14:paraId="7E13D4A8" w14:textId="77777777" w:rsidR="00310192" w:rsidRPr="0070708D" w:rsidRDefault="00310192" w:rsidP="00310192">
      <w:pPr>
        <w:pStyle w:val="FootnoteText"/>
      </w:pPr>
      <w:r w:rsidRPr="001027EB">
        <w:rPr>
          <w:rStyle w:val="FootnoteReference"/>
        </w:rPr>
        <w:footnoteRef/>
      </w:r>
      <w:r w:rsidRPr="001027EB">
        <w:t xml:space="preserve"> cf. 1 Sam. 16</w:t>
      </w:r>
      <w:r w:rsidRPr="0070708D">
        <w:t>:18, 21</w:t>
      </w:r>
    </w:p>
  </w:footnote>
  <w:footnote w:id="12">
    <w:p w14:paraId="29089940" w14:textId="73D8F50F" w:rsidR="00340FEA" w:rsidRDefault="00340FEA">
      <w:pPr>
        <w:pStyle w:val="FootnoteText"/>
      </w:pPr>
      <w:r>
        <w:rPr>
          <w:rStyle w:val="FootnoteReference"/>
        </w:rPr>
        <w:footnoteRef/>
      </w:r>
      <w:r>
        <w:t xml:space="preserve"> cf. the genealogies in 1 Chronicles 1-2.</w:t>
      </w:r>
    </w:p>
  </w:footnote>
  <w:footnote w:id="13">
    <w:p w14:paraId="63CDA355" w14:textId="7EB29E92" w:rsidR="004316EC" w:rsidRPr="004316EC" w:rsidRDefault="004316EC">
      <w:pPr>
        <w:pStyle w:val="FootnoteText"/>
        <w:rPr>
          <w:i/>
          <w:iCs/>
        </w:rPr>
      </w:pPr>
      <w:r>
        <w:rPr>
          <w:rStyle w:val="FootnoteReference"/>
        </w:rPr>
        <w:footnoteRef/>
      </w:r>
      <w:r>
        <w:t xml:space="preserve"> cf. </w:t>
      </w:r>
      <w:r>
        <w:fldChar w:fldCharType="begin"/>
      </w:r>
      <w:r>
        <w:instrText xml:space="preserve"> ADDIN ZOTERO_ITEM CSL_CITATION {"citationID":"JrPASb3l","properties":{"formattedCitation":"\\uc0\\u8216{}1 Samuel 18-23: The Queerness of David and Jonathan\\uc0\\u8217{}, {\\i{}Queer Bible Hermeneutics} (blog), 9 May 2016, https://blog.smu.edu/ot8317/2016/05/09/1-samuel-18-23-the-queerness-of-david-and-jonathan/.","plainCitation":"‘1 Samuel 18-23: The Queerness of David and Jonathan’, Queer Bible Hermeneutics (blog), 9 May 2016, https://blog.smu.edu/ot8317/2016/05/09/1-samuel-18-23-the-queerness-of-david-and-jonathan/.","noteIndex":14},"citationItems":[{"id":408,"uris":["http://zotero.org/users/7540819/items/KVRF2BF3"],"uri":["http://zotero.org/users/7540819/items/KVRF2BF3"],"itemData":{"id":408,"type":"post-weblog","container-title":"Queer Bible Hermeneutics","title":"1 Samuel 18-23: The Queerness of David and Jonathan","URL":"https://blog.smu.edu/ot8317/2016/05/09/1-samuel-18-23-the-queerness-of-david-and-jonathan/","issued":{"date-parts":[["2016",5,9]]}}}],"schema":"https://github.com/citation-style-language/schema/raw/master/csl-citation.json"} </w:instrText>
      </w:r>
      <w:r>
        <w:fldChar w:fldCharType="separate"/>
      </w:r>
      <w:r w:rsidRPr="004316EC">
        <w:rPr>
          <w:rFonts w:ascii="Calibri" w:cs="Calibri"/>
        </w:rPr>
        <w:t xml:space="preserve">‘1 Samuel 18-23: The Queerness of David and Jonathan’, </w:t>
      </w:r>
      <w:r w:rsidRPr="004316EC">
        <w:rPr>
          <w:rFonts w:ascii="Calibri" w:cs="Calibri"/>
          <w:i/>
          <w:iCs/>
        </w:rPr>
        <w:t>Queer Bible Hermeneutics</w:t>
      </w:r>
      <w:r w:rsidRPr="004316EC">
        <w:rPr>
          <w:rFonts w:ascii="Calibri" w:cs="Calibri"/>
        </w:rPr>
        <w:t xml:space="preserve"> (blog), 9 May 2016, https://blog.smu.edu/ot8317/2016/05/09/1-samuel-18-23-the-queerness-of-david-and-jonathan/.</w:t>
      </w:r>
      <w:r>
        <w:fldChar w:fldCharType="end"/>
      </w:r>
      <w:r>
        <w:t xml:space="preserve"> </w:t>
      </w:r>
      <w:r>
        <w:fldChar w:fldCharType="begin"/>
      </w:r>
      <w:r w:rsidR="002A5A89">
        <w:instrText xml:space="preserve"> ADDIN ZOTERO_ITEM CSL_CITATION {"citationID":"tVzQjZ9A","properties":{"formattedCitation":"Franklyn Salzman, \\uc0\\u8216{}Gay or Nay, Modern Readings of the David and Jonathan Narrative\\uc0\\u8217{}, accessed 16 August 2021, https://jewishstudies.indiana.edu/docs/2015_16/bernEssay_fSalzman.pdf.","plainCitation":"Franklyn Salzman, ‘Gay or Nay, Modern Readings of the David and Jonathan Narrative’, accessed 16 August 2021, https://jewishstudies.indiana.edu/docs/2015_16/bernEssay_fSalzman.pdf.","noteIndex":13},"citationItems":[{"id":409,"uris":["http://zotero.org/users/7540819/items/9EGYLY8M"],"uri":["http://zotero.org/users/7540819/items/9EGYLY8M"],"itemData":{"id":409,"type":"webpage","title":"Gay or Nay, Modern Readings of the David and Jonathan Narrative","URL":"https://jewishstudies.indiana.edu/docs/2015_16/bernEssay_fSalzman.pdf","author":[{"family":"Salzman","given":"Franklyn"}],"accessed":{"date-parts":[["2021",8,16]]}}}],"schema":"https://github.com/citation-style-language/schema/raw/master/csl-citation.json"} </w:instrText>
      </w:r>
      <w:r>
        <w:fldChar w:fldCharType="separate"/>
      </w:r>
      <w:r w:rsidRPr="004316EC">
        <w:rPr>
          <w:rFonts w:ascii="Calibri" w:cs="Calibri"/>
        </w:rPr>
        <w:t>Franklyn Salzman, ‘Gay or Nay, Modern Readings of the David and Jonathan Narrative’, accessed 16 August 2021, https://jewishstudies.indiana.edu/docs/2015_16/bernEssay_fSalzman.pdf.</w:t>
      </w:r>
      <w:r>
        <w:fldChar w:fldCharType="end"/>
      </w:r>
      <w:r>
        <w:t xml:space="preserve"> </w:t>
      </w:r>
      <w:r>
        <w:fldChar w:fldCharType="begin"/>
      </w:r>
      <w:r>
        <w:instrText xml:space="preserve"> ADDIN ZOTERO_ITEM CSL_CITATION {"citationID":"i3Jrq8Qw","properties":{"formattedCitation":"Jonathan Y. Rowe, {\\i{}Sons or Lovers\\uc0\\u8239{}: An Interpretation of David and Jonathan\\uc0\\u8217{}s Friendship}, Library of Hebrew Bible/Old Testament Studies (London: Bloomsbury, 2014).","plainCitation":"Jonathan Y. Rowe, Sons or Lovers : An Interpretation of David and Jonathan’s Friendship, Library of Hebrew Bible/Old Testament Studies (London: Bloomsbury, 2014).","noteIndex":16},"citationItems":[{"id":393,"uris":["http://zotero.org/users/7540819/items/FYH4S22H"],"uri":["http://zotero.org/users/7540819/items/FYH4S22H"],"itemData":{"id":393,"type":"book","collection-title":"Library of Hebrew Bible/Old Testament studies","event-place":"London","ISBN":"0-567-65629-2","publisher":"Bloomsbury","publisher-place":"London","title":"Sons or lovers : an interpretation of David and Jonathan's friendship","author":[{"family":"Rowe","given":"Jonathan Y."}],"issued":{"date-parts":[["2014"]]}}}],"schema":"https://github.com/citation-style-language/schema/raw/master/csl-citation.json"} </w:instrText>
      </w:r>
      <w:r>
        <w:fldChar w:fldCharType="separate"/>
      </w:r>
      <w:r w:rsidRPr="004316EC">
        <w:rPr>
          <w:rFonts w:ascii="Calibri" w:cs="Calibri"/>
        </w:rPr>
        <w:t xml:space="preserve">Jonathan Y. Rowe, </w:t>
      </w:r>
      <w:r w:rsidRPr="004316EC">
        <w:rPr>
          <w:rFonts w:ascii="Calibri" w:cs="Calibri"/>
          <w:i/>
          <w:iCs/>
        </w:rPr>
        <w:t>Sons or Lovers : An Interpretation of David and Jonathan’s Friendship</w:t>
      </w:r>
      <w:r w:rsidRPr="004316EC">
        <w:rPr>
          <w:rFonts w:ascii="Calibri" w:cs="Calibri"/>
        </w:rPr>
        <w:t>, Library of Hebrew Bible/Old Testament Studies (London: Bloomsbury, 2014).</w:t>
      </w:r>
      <w:r>
        <w:fldChar w:fldCharType="end"/>
      </w:r>
      <w:r w:rsidRPr="004316EC">
        <w:t xml:space="preserve"> </w:t>
      </w:r>
      <w:r>
        <w:fldChar w:fldCharType="begin"/>
      </w:r>
      <w:r>
        <w:instrText xml:space="preserve"> ADDIN ZOTERO_ITEM CSL_CITATION {"citationID":"lEPlCUXU","properties":{"formattedCitation":"J Cheryl Exum, \\uc0\\u8216{}When Heroes Love: The Ambiguity of Eros in the Stories of Gilgamesh and David\\uc0\\u8217{}, {\\i{}Journal for the Study of the Old Testament} 30, no. 5 (June 2006): 30\\uc0\\u8211{}30.","plainCitation":"J Cheryl Exum, ‘When Heroes Love: The Ambiguity of Eros in the Stories of Gilgamesh and David’, Journal for the Study of the Old Testament 30, no. 5 (June 2006): 30–30.","noteIndex":17},"citationItems":[{"id":412,"uris":["http://zotero.org/users/7540819/items/6T3T6RFW"],"uri":["http://zotero.org/users/7540819/items/6T3T6RFW"],"itemData":{"id":412,"type":"article-journal","archive":"Atla Religion Database with AtlaSerials","container-title":"Journal for the Study of the Old Testament","ISSN":"0309-0892","issue":"5","journalAbbreviation":"Journal for the Study of the Old Testament","note":"publisher-place: New York","page":"30-30","source":"EBSCOhost","title":"When heroes love: the ambiguity of eros in the stories of Gilgamesh and David","volume":"30","author":[{"family":"Exum","given":"J Cheryl"}],"issued":{"date-parts":[["2006",6]]}}}],"schema":"https://github.com/citation-style-language/schema/raw/master/csl-citation.json"} </w:instrText>
      </w:r>
      <w:r>
        <w:fldChar w:fldCharType="separate"/>
      </w:r>
      <w:r w:rsidRPr="004316EC">
        <w:rPr>
          <w:rFonts w:ascii="Calibri" w:cs="Calibri"/>
        </w:rPr>
        <w:t xml:space="preserve">J Cheryl Exum, ‘When Heroes Love: The Ambiguity of Eros in the Stories of Gilgamesh and David’, </w:t>
      </w:r>
      <w:r w:rsidRPr="004316EC">
        <w:rPr>
          <w:rFonts w:ascii="Calibri" w:cs="Calibri"/>
          <w:i/>
          <w:iCs/>
        </w:rPr>
        <w:t>Journal for the Study of the Old Testament</w:t>
      </w:r>
      <w:r w:rsidRPr="004316EC">
        <w:rPr>
          <w:rFonts w:ascii="Calibri" w:cs="Calibri"/>
        </w:rPr>
        <w:t xml:space="preserve"> 30, no. 5 (June 2006): 30–30.</w:t>
      </w:r>
      <w:r>
        <w:fldChar w:fldCharType="end"/>
      </w:r>
      <w:r>
        <w:t xml:space="preserve"> </w:t>
      </w:r>
      <w:r>
        <w:rPr>
          <w:i/>
          <w:iCs/>
        </w:rPr>
        <w:t>et al.</w:t>
      </w:r>
    </w:p>
  </w:footnote>
  <w:footnote w:id="14">
    <w:p w14:paraId="68E2A3CC" w14:textId="3CA6E86B" w:rsidR="00D66179" w:rsidRPr="0002690D" w:rsidRDefault="00D66179" w:rsidP="0002690D">
      <w:pPr>
        <w:rPr>
          <w:rFonts w:eastAsia="Times New Roman" w:cstheme="minorHAnsi"/>
          <w:sz w:val="20"/>
          <w:szCs w:val="20"/>
          <w:lang w:eastAsia="en-GB"/>
        </w:rPr>
      </w:pPr>
      <w:r w:rsidRPr="00D66179">
        <w:rPr>
          <w:rStyle w:val="FootnoteReference"/>
          <w:rFonts w:cstheme="minorHAnsi"/>
          <w:sz w:val="20"/>
          <w:szCs w:val="20"/>
        </w:rPr>
        <w:footnoteRef/>
      </w:r>
      <w:r w:rsidRPr="00D66179">
        <w:rPr>
          <w:rFonts w:cstheme="minorHAnsi"/>
          <w:sz w:val="20"/>
          <w:szCs w:val="20"/>
        </w:rPr>
        <w:t xml:space="preserve"> </w:t>
      </w:r>
      <w:r w:rsidRPr="0002690D">
        <w:rPr>
          <w:rFonts w:cstheme="minorHAnsi"/>
          <w:i/>
          <w:iCs/>
          <w:sz w:val="20"/>
          <w:szCs w:val="20"/>
        </w:rPr>
        <w:t>‘</w:t>
      </w:r>
      <w:proofErr w:type="spellStart"/>
      <w:r w:rsidRPr="0002690D">
        <w:rPr>
          <w:rFonts w:eastAsia="Times New Roman" w:cstheme="minorHAnsi"/>
          <w:i/>
          <w:iCs/>
          <w:color w:val="0A0A0A"/>
          <w:sz w:val="20"/>
          <w:szCs w:val="20"/>
          <w:shd w:val="clear" w:color="auto" w:fill="FFFFFF"/>
          <w:lang w:eastAsia="en-GB"/>
        </w:rPr>
        <w:t>h</w:t>
      </w:r>
      <w:r w:rsidR="0002690D">
        <w:rPr>
          <w:rFonts w:eastAsia="Times New Roman" w:cstheme="minorHAnsi"/>
          <w:i/>
          <w:iCs/>
          <w:color w:val="0A0A0A"/>
          <w:sz w:val="20"/>
          <w:szCs w:val="20"/>
          <w:shd w:val="clear" w:color="auto" w:fill="FFFFFF"/>
          <w:lang w:eastAsia="en-GB"/>
        </w:rPr>
        <w:t>ē</w:t>
      </w:r>
      <w:r w:rsidRPr="0002690D">
        <w:rPr>
          <w:rFonts w:eastAsia="Times New Roman" w:cstheme="minorHAnsi"/>
          <w:i/>
          <w:iCs/>
          <w:color w:val="0A0A0A"/>
          <w:sz w:val="20"/>
          <w:szCs w:val="20"/>
          <w:shd w:val="clear" w:color="auto" w:fill="FFFFFF"/>
          <w:lang w:eastAsia="en-GB"/>
        </w:rPr>
        <w:t>n</w:t>
      </w:r>
      <w:proofErr w:type="spellEnd"/>
      <w:r w:rsidRPr="0002690D">
        <w:rPr>
          <w:rFonts w:eastAsia="Times New Roman" w:cstheme="minorHAnsi"/>
          <w:i/>
          <w:iCs/>
          <w:color w:val="0A0A0A"/>
          <w:sz w:val="20"/>
          <w:szCs w:val="20"/>
          <w:shd w:val="clear" w:color="auto" w:fill="FFFFFF"/>
          <w:lang w:eastAsia="en-GB"/>
        </w:rPr>
        <w:t>’</w:t>
      </w:r>
      <w:r w:rsidR="0002690D">
        <w:rPr>
          <w:rFonts w:eastAsia="Times New Roman" w:cstheme="minorHAnsi"/>
          <w:color w:val="0A0A0A"/>
          <w:sz w:val="20"/>
          <w:szCs w:val="20"/>
          <w:shd w:val="clear" w:color="auto" w:fill="FFFFFF"/>
          <w:lang w:eastAsia="en-GB"/>
        </w:rPr>
        <w:t xml:space="preserve"> (</w:t>
      </w:r>
      <w:r w:rsidRPr="00D66179">
        <w:rPr>
          <w:rFonts w:eastAsia="Times New Roman" w:cstheme="minorHAnsi"/>
          <w:color w:val="0A0A0A"/>
          <w:sz w:val="20"/>
          <w:szCs w:val="20"/>
          <w:shd w:val="clear" w:color="auto" w:fill="FFFFFF"/>
          <w:lang w:eastAsia="en-GB"/>
        </w:rPr>
        <w:t>favour</w:t>
      </w:r>
      <w:r w:rsidR="0002690D">
        <w:rPr>
          <w:rFonts w:eastAsia="Times New Roman" w:cstheme="minorHAnsi"/>
          <w:color w:val="0A0A0A"/>
          <w:sz w:val="20"/>
          <w:szCs w:val="20"/>
          <w:shd w:val="clear" w:color="auto" w:fill="FFFFFF"/>
          <w:lang w:eastAsia="en-GB"/>
        </w:rPr>
        <w:t>)</w:t>
      </w:r>
      <w:r>
        <w:rPr>
          <w:rFonts w:eastAsia="Times New Roman" w:cstheme="minorHAnsi"/>
          <w:color w:val="0A0A0A"/>
          <w:sz w:val="20"/>
          <w:szCs w:val="20"/>
          <w:shd w:val="clear" w:color="auto" w:fill="FFFFFF"/>
          <w:lang w:eastAsia="en-GB"/>
        </w:rPr>
        <w:t xml:space="preserve"> can sometimes refer to the form and appearance of a woman, or of speech – lips, etc</w:t>
      </w:r>
      <w:r w:rsidR="0002690D">
        <w:rPr>
          <w:rFonts w:eastAsia="Times New Roman" w:cstheme="minorHAnsi"/>
          <w:color w:val="0A0A0A"/>
          <w:sz w:val="20"/>
          <w:szCs w:val="20"/>
          <w:shd w:val="clear" w:color="auto" w:fill="FFFFFF"/>
          <w:lang w:eastAsia="en-GB"/>
        </w:rPr>
        <w:t>, hence potential allusion to same</w:t>
      </w:r>
      <w:r w:rsidR="00007C8D">
        <w:rPr>
          <w:rFonts w:eastAsia="Times New Roman" w:cstheme="minorHAnsi"/>
          <w:color w:val="0A0A0A"/>
          <w:sz w:val="20"/>
          <w:szCs w:val="20"/>
          <w:shd w:val="clear" w:color="auto" w:fill="FFFFFF"/>
          <w:lang w:eastAsia="en-GB"/>
        </w:rPr>
        <w:t>-</w:t>
      </w:r>
      <w:r w:rsidR="0002690D">
        <w:rPr>
          <w:rFonts w:eastAsia="Times New Roman" w:cstheme="minorHAnsi"/>
          <w:color w:val="0A0A0A"/>
          <w:sz w:val="20"/>
          <w:szCs w:val="20"/>
          <w:shd w:val="clear" w:color="auto" w:fill="FFFFFF"/>
          <w:lang w:eastAsia="en-GB"/>
        </w:rPr>
        <w:t>sex attraction.</w:t>
      </w:r>
      <w:r w:rsidRPr="00D66179">
        <w:rPr>
          <w:rFonts w:eastAsia="Times New Roman" w:cstheme="minorHAnsi"/>
          <w:color w:val="0A0A0A"/>
          <w:sz w:val="20"/>
          <w:szCs w:val="20"/>
          <w:shd w:val="clear" w:color="auto" w:fill="FFFFFF"/>
          <w:lang w:eastAsia="en-GB"/>
        </w:rPr>
        <w:t xml:space="preserve"> </w:t>
      </w:r>
      <w:r>
        <w:rPr>
          <w:rFonts w:eastAsia="Times New Roman" w:cstheme="minorHAnsi"/>
          <w:color w:val="0A0A0A"/>
          <w:sz w:val="20"/>
          <w:szCs w:val="20"/>
          <w:shd w:val="clear" w:color="auto" w:fill="FFFFFF"/>
          <w:lang w:eastAsia="en-GB"/>
        </w:rPr>
        <w:t xml:space="preserve"> cf. </w:t>
      </w:r>
      <w:r w:rsidRPr="00D66179">
        <w:rPr>
          <w:rFonts w:eastAsia="Times New Roman" w:cstheme="minorHAnsi"/>
          <w:color w:val="0A0A0A"/>
          <w:sz w:val="20"/>
          <w:szCs w:val="20"/>
          <w:shd w:val="clear" w:color="auto" w:fill="FFFFFF"/>
          <w:lang w:eastAsia="en-GB"/>
        </w:rPr>
        <w:t xml:space="preserve">"H2580 - </w:t>
      </w:r>
      <w:proofErr w:type="spellStart"/>
      <w:r w:rsidRPr="00D66179">
        <w:rPr>
          <w:rFonts w:eastAsia="Times New Roman" w:cstheme="minorHAnsi"/>
          <w:color w:val="0A0A0A"/>
          <w:sz w:val="20"/>
          <w:szCs w:val="20"/>
          <w:shd w:val="clear" w:color="auto" w:fill="FFFFFF"/>
          <w:lang w:eastAsia="en-GB"/>
        </w:rPr>
        <w:t>ḥēn</w:t>
      </w:r>
      <w:proofErr w:type="spellEnd"/>
      <w:r w:rsidRPr="00D66179">
        <w:rPr>
          <w:rFonts w:eastAsia="Times New Roman" w:cstheme="minorHAnsi"/>
          <w:color w:val="0A0A0A"/>
          <w:sz w:val="20"/>
          <w:szCs w:val="20"/>
          <w:shd w:val="clear" w:color="auto" w:fill="FFFFFF"/>
          <w:lang w:eastAsia="en-GB"/>
        </w:rPr>
        <w:t xml:space="preserve"> - Strong's Hebrew Lexicon (</w:t>
      </w:r>
      <w:proofErr w:type="spellStart"/>
      <w:r w:rsidRPr="00D66179">
        <w:rPr>
          <w:rFonts w:eastAsia="Times New Roman" w:cstheme="minorHAnsi"/>
          <w:color w:val="0A0A0A"/>
          <w:sz w:val="20"/>
          <w:szCs w:val="20"/>
          <w:shd w:val="clear" w:color="auto" w:fill="FFFFFF"/>
          <w:lang w:eastAsia="en-GB"/>
        </w:rPr>
        <w:t>kjv</w:t>
      </w:r>
      <w:proofErr w:type="spellEnd"/>
      <w:r w:rsidRPr="00D66179">
        <w:rPr>
          <w:rFonts w:eastAsia="Times New Roman" w:cstheme="minorHAnsi"/>
          <w:color w:val="0A0A0A"/>
          <w:sz w:val="20"/>
          <w:szCs w:val="20"/>
          <w:shd w:val="clear" w:color="auto" w:fill="FFFFFF"/>
          <w:lang w:eastAsia="en-GB"/>
        </w:rPr>
        <w:t>)." Blue Letter Bible. Accessed 18 Aug, 2021. https://www.blueletterbible.org/lexicon/h2580/kjv/wlc/0-1/</w:t>
      </w:r>
    </w:p>
  </w:footnote>
  <w:footnote w:id="15">
    <w:p w14:paraId="2A9CD355" w14:textId="77777777" w:rsidR="00A6418D" w:rsidRPr="000D292F" w:rsidRDefault="00A6418D" w:rsidP="00A6418D">
      <w:pPr>
        <w:rPr>
          <w:sz w:val="20"/>
          <w:szCs w:val="20"/>
        </w:rPr>
      </w:pPr>
      <w:r w:rsidRPr="000D292F">
        <w:rPr>
          <w:sz w:val="20"/>
          <w:szCs w:val="20"/>
          <w:vertAlign w:val="superscript"/>
        </w:rPr>
        <w:footnoteRef/>
      </w:r>
      <w:r w:rsidRPr="000D292F">
        <w:rPr>
          <w:sz w:val="20"/>
          <w:szCs w:val="20"/>
        </w:rPr>
        <w:t xml:space="preserve"> Walter Brueggemann, </w:t>
      </w:r>
      <w:hyperlink r:id="rId2" w:history="1">
        <w:r w:rsidRPr="000D292F">
          <w:rPr>
            <w:i/>
            <w:color w:val="0000FF"/>
            <w:sz w:val="20"/>
            <w:szCs w:val="20"/>
            <w:u w:val="single"/>
          </w:rPr>
          <w:t>David’s Truth: In Israel’s Imagination and Memory</w:t>
        </w:r>
      </w:hyperlink>
      <w:r w:rsidRPr="000D292F">
        <w:rPr>
          <w:sz w:val="20"/>
          <w:szCs w:val="20"/>
        </w:rPr>
        <w:t>, Second Edition (Minneapolis, MN: Fortress Press, 2002), 26.</w:t>
      </w:r>
    </w:p>
  </w:footnote>
  <w:footnote w:id="16">
    <w:p w14:paraId="0F2F1378" w14:textId="05E843AE" w:rsidR="003B2EB5" w:rsidRPr="003B2EB5" w:rsidRDefault="003B2EB5" w:rsidP="003B2EB5">
      <w:pPr>
        <w:rPr>
          <w:rFonts w:ascii="Times New Roman" w:eastAsia="Times New Roman" w:hAnsi="Times New Roman" w:cs="Times New Roman"/>
          <w:sz w:val="20"/>
          <w:szCs w:val="20"/>
          <w:lang w:eastAsia="en-GB"/>
        </w:rPr>
      </w:pPr>
      <w:r w:rsidRPr="003B2EB5">
        <w:rPr>
          <w:rStyle w:val="FootnoteReference"/>
          <w:sz w:val="20"/>
          <w:szCs w:val="20"/>
        </w:rPr>
        <w:footnoteRef/>
      </w:r>
      <w:r w:rsidRPr="003B2EB5">
        <w:rPr>
          <w:sz w:val="20"/>
          <w:szCs w:val="20"/>
        </w:rPr>
        <w:t xml:space="preserve"> </w:t>
      </w:r>
      <w:r w:rsidRPr="003B2EB5">
        <w:rPr>
          <w:rFonts w:eastAsia="Times New Roman" w:cstheme="minorHAnsi"/>
          <w:color w:val="000000"/>
          <w:sz w:val="20"/>
          <w:szCs w:val="20"/>
          <w:lang w:eastAsia="en-GB"/>
        </w:rPr>
        <w:t>‘Saul has killed his thousands, and David his tens of thousands.’ (1 Sam. 18:7)</w:t>
      </w:r>
    </w:p>
  </w:footnote>
  <w:footnote w:id="17">
    <w:p w14:paraId="51AC4824" w14:textId="3E5E491C" w:rsidR="00067B7D" w:rsidRPr="00067B7D" w:rsidRDefault="00067B7D" w:rsidP="00067B7D">
      <w:pPr>
        <w:rPr>
          <w:rFonts w:eastAsia="Times New Roman" w:cstheme="minorHAnsi"/>
          <w:sz w:val="20"/>
          <w:szCs w:val="20"/>
          <w:lang w:eastAsia="en-GB"/>
        </w:rPr>
      </w:pPr>
      <w:r w:rsidRPr="00067B7D">
        <w:rPr>
          <w:rStyle w:val="FootnoteReference"/>
          <w:rFonts w:cstheme="minorHAnsi"/>
          <w:sz w:val="20"/>
          <w:szCs w:val="20"/>
        </w:rPr>
        <w:footnoteRef/>
      </w:r>
      <w:r w:rsidRPr="00067B7D">
        <w:rPr>
          <w:rFonts w:cstheme="minorHAnsi"/>
          <w:sz w:val="20"/>
          <w:szCs w:val="20"/>
        </w:rPr>
        <w:t xml:space="preserve"> ‘</w:t>
      </w:r>
      <w:r w:rsidRPr="00067B7D">
        <w:rPr>
          <w:rFonts w:eastAsia="Times New Roman" w:cstheme="minorHAnsi"/>
          <w:color w:val="000000"/>
          <w:sz w:val="20"/>
          <w:szCs w:val="20"/>
          <w:lang w:eastAsia="en-GB"/>
        </w:rPr>
        <w:t>As soon as the boy had gone, David rose from beside the stone heap and prostrated himself with his face to the ground. He bowed three times, and they kissed each other, and wept with each other; David wept the more.</w:t>
      </w:r>
      <w:r w:rsidRPr="00067B7D">
        <w:rPr>
          <w:rFonts w:eastAsia="Times New Roman" w:cstheme="minorHAnsi"/>
          <w:b/>
          <w:bCs/>
          <w:color w:val="000000"/>
          <w:sz w:val="20"/>
          <w:szCs w:val="20"/>
          <w:vertAlign w:val="superscript"/>
          <w:lang w:eastAsia="en-GB"/>
        </w:rPr>
        <w:t> </w:t>
      </w:r>
      <w:r w:rsidRPr="00067B7D">
        <w:rPr>
          <w:rFonts w:eastAsia="Times New Roman" w:cstheme="minorHAnsi"/>
          <w:color w:val="000000"/>
          <w:sz w:val="20"/>
          <w:szCs w:val="20"/>
          <w:lang w:eastAsia="en-GB"/>
        </w:rPr>
        <w:t>Then Jonathan said to David, ‘Go in peace, since both of us have sworn in the name of the Lord, saying, “The Lord shall be between me and you, and between my descendants and your descendants, for ever.”’ He got up and left; and Jonathan went into the city.’</w:t>
      </w:r>
    </w:p>
  </w:footnote>
  <w:footnote w:id="18">
    <w:p w14:paraId="29B388EE" w14:textId="7A75CBF6" w:rsidR="004D2D1E" w:rsidRDefault="004D2D1E">
      <w:pPr>
        <w:pStyle w:val="FootnoteText"/>
      </w:pPr>
      <w:r>
        <w:rPr>
          <w:rStyle w:val="FootnoteReference"/>
        </w:rPr>
        <w:footnoteRef/>
      </w:r>
      <w:r>
        <w:t xml:space="preserve"> cf. Randall C. Bailey in ‘Reading Backwards: A narrative Technique for the Queering of David, Saul, and Samuel’ in </w:t>
      </w:r>
      <w:r>
        <w:fldChar w:fldCharType="begin"/>
      </w:r>
      <w:r w:rsidR="004316EC">
        <w:instrText xml:space="preserve"> ADDIN ZOTERO_ITEM CSL_CITATION {"citationID":"E6U5MN0f","properties":{"formattedCitation":"Linafelt et al., {\\i{}The Fate of King David}.","plainCitation":"Linafelt et al., The Fate of King David.","dontUpdate":true,"noteIndex":19},"citationItems":[{"id":404,"uris":["http://zotero.org/users/7540819/items/SILCZCVM"],"uri":["http://zotero.org/users/7540819/items/SILCZCVM"],"itemData":{"id":404,"type":"book","collection-number":"500","collection-title":"Library of Hebrew Bible Old Testament studies","event-place":"New York","ISBN":"978-0-567-43465-4","language":"eng","number-of-pages":"313","publisher":"T &amp; T Clark","publisher-place":"New York","source":"K10plus ISBN","title":"The fate of King David: the past and present of a biblical icon","title-short":"The fate of King David","editor":[{"family":"Linafelt","given":"Tod"},{"family":"Camp","given":"Claudia V."},{"family":"Beal","given":"Timothy K."},{"family":"Gunn","given":"David M."}],"issued":{"date-parts":[["2010"]]}}}],"schema":"https://github.com/citation-style-language/schema/raw/master/csl-citation.json"} </w:instrText>
      </w:r>
      <w:r>
        <w:fldChar w:fldCharType="separate"/>
      </w:r>
      <w:r w:rsidRPr="007A7045">
        <w:rPr>
          <w:rFonts w:ascii="Calibri" w:cs="Calibri"/>
        </w:rPr>
        <w:t xml:space="preserve">Linafelt et al., </w:t>
      </w:r>
      <w:r w:rsidRPr="007A7045">
        <w:rPr>
          <w:rFonts w:ascii="Calibri" w:cs="Calibri"/>
          <w:i/>
          <w:iCs/>
        </w:rPr>
        <w:t>The Fate of King David</w:t>
      </w:r>
      <w:r>
        <w:rPr>
          <w:rFonts w:ascii="Calibri" w:cs="Calibri"/>
        </w:rPr>
        <w:t>, 4</w:t>
      </w:r>
      <w:r w:rsidRPr="007A7045">
        <w:rPr>
          <w:rFonts w:ascii="Calibri" w:cs="Calibri"/>
        </w:rPr>
        <w:t>.</w:t>
      </w:r>
      <w:r>
        <w:fldChar w:fldCharType="end"/>
      </w:r>
    </w:p>
  </w:footnote>
  <w:footnote w:id="19">
    <w:p w14:paraId="409820C2" w14:textId="7CCAC772" w:rsidR="003335EC" w:rsidRDefault="003335EC">
      <w:pPr>
        <w:pStyle w:val="FootnoteText"/>
      </w:pPr>
      <w:r>
        <w:rPr>
          <w:rStyle w:val="FootnoteReference"/>
        </w:rPr>
        <w:footnoteRef/>
      </w:r>
      <w:r>
        <w:t xml:space="preserve"> </w:t>
      </w:r>
      <w:r w:rsidR="004D2D1E">
        <w:t xml:space="preserve">cf. </w:t>
      </w:r>
      <w:r w:rsidR="000F584D">
        <w:fldChar w:fldCharType="begin"/>
      </w:r>
      <w:r w:rsidR="002A5A89">
        <w:instrText xml:space="preserve"> ADDIN ZOTERO_ITEM CSL_CITATION {"citationID":"ZMKZmXB4","properties":{"formattedCitation":"Salzman, \\uc0\\u8216{}Gay or Nay, Modern Readings of the David and Jonathan Narrative\\uc0\\u8217{}.","plainCitation":"Salzman, ‘Gay or Nay, Modern Readings of the David and Jonathan Narrative’.","noteIndex":19},"citationItems":[{"id":409,"uris":["http://zotero.org/users/7540819/items/9EGYLY8M"],"uri":["http://zotero.org/users/7540819/items/9EGYLY8M"],"itemData":{"id":409,"type":"webpage","title":"Gay or Nay, Modern Readings of the David and Jonathan Narrative","URL":"https://jewishstudies.indiana.edu/docs/2015_16/bernEssay_fSalzman.pdf","author":[{"family":"Salzman","given":"Franklyn"}],"accessed":{"date-parts":[["2021",8,16]]}}}],"schema":"https://github.com/citation-style-language/schema/raw/master/csl-citation.json"} </w:instrText>
      </w:r>
      <w:r w:rsidR="000F584D">
        <w:fldChar w:fldCharType="separate"/>
      </w:r>
      <w:r w:rsidR="004316EC" w:rsidRPr="004316EC">
        <w:rPr>
          <w:rFonts w:ascii="Calibri" w:cs="Calibri"/>
        </w:rPr>
        <w:t>Salzman, ‘Gay or Nay, Modern Readings of the David and Jonathan Narrative’.</w:t>
      </w:r>
      <w:r w:rsidR="000F584D">
        <w:fldChar w:fldCharType="end"/>
      </w:r>
    </w:p>
  </w:footnote>
  <w:footnote w:id="20">
    <w:p w14:paraId="75212673" w14:textId="1575D076" w:rsidR="00007C8D" w:rsidRDefault="00007C8D" w:rsidP="00007C8D">
      <w:pPr>
        <w:pStyle w:val="FootnoteText"/>
      </w:pPr>
      <w:r>
        <w:rPr>
          <w:rStyle w:val="FootnoteReference"/>
        </w:rPr>
        <w:footnoteRef/>
      </w:r>
      <w:r>
        <w:t xml:space="preserve"> </w:t>
      </w:r>
      <w:r>
        <w:fldChar w:fldCharType="begin"/>
      </w:r>
      <w:r w:rsidR="004316EC">
        <w:instrText xml:space="preserve"> ADDIN ZOTERO_ITEM CSL_CITATION {"citationID":"j1IBRtWb","properties":{"formattedCitation":"\\uc0\\u8216{}David and Jonathan\\uc0\\u8217{}, Wikipedia, n.d., https://en.wikipedia.org/wiki/David_and_Jonathan.","plainCitation":"‘David and Jonathan’, Wikipedia, n.d., https://en.wikipedia.org/wiki/David_and_Jonathan.","noteIndex":21},"citationItems":[{"id":407,"uris":["http://zotero.org/users/7540819/items/NJE7CYCL"],"uri":["http://zotero.org/users/7540819/items/NJE7CYCL"],"itemData":{"id":407,"type":"webpage","container-title":"Wikipedia","title":"David and Jonathan","URL":"https://en.wikipedia.org/wiki/David_and_Jonathan"}}],"schema":"https://github.com/citation-style-language/schema/raw/master/csl-citation.json"} </w:instrText>
      </w:r>
      <w:r>
        <w:fldChar w:fldCharType="separate"/>
      </w:r>
      <w:r w:rsidRPr="00995AEF">
        <w:rPr>
          <w:rFonts w:ascii="Calibri" w:cs="Calibri"/>
        </w:rPr>
        <w:t>‘David and Jonathan’, Wikipedia, n.d., https://en.wikipedia.org/wiki/David_and_Jonathan.</w:t>
      </w:r>
      <w:r>
        <w:fldChar w:fldCharType="end"/>
      </w:r>
      <w:r>
        <w:t xml:space="preserve"> Accessed 16 August 2021</w:t>
      </w:r>
    </w:p>
  </w:footnote>
  <w:footnote w:id="21">
    <w:p w14:paraId="2FB0FF14" w14:textId="5E38C982" w:rsidR="00AA0870" w:rsidRDefault="00AA0870">
      <w:pPr>
        <w:pStyle w:val="FootnoteText"/>
      </w:pPr>
      <w:r>
        <w:rPr>
          <w:rStyle w:val="FootnoteReference"/>
        </w:rPr>
        <w:footnoteRef/>
      </w:r>
      <w:r>
        <w:t xml:space="preserve"> </w:t>
      </w:r>
      <w:r>
        <w:fldChar w:fldCharType="begin"/>
      </w:r>
      <w:r w:rsidR="004316EC">
        <w:instrText xml:space="preserve"> ADDIN ZOTERO_ITEM CSL_CITATION {"citationID":"gw1Q3LpK","properties":{"formattedCitation":"Barron, {\\i{}2 Samuel}.","plainCitation":"Barron, 2 Samuel.","dontUpdate":true,"noteIndex":22},"citationItems":[{"id":365,"uris":["http://zotero.org/users/7540819/items/GC5AT35P"],"uri":["http://zotero.org/users/7540819/items/GC5AT35P"],"itemData":{"id":365,"type":"book","call-number":"BS1325.53 .B38 2015","collection-title":"Brazos theological commentary on the Bible","event-place":"Grand Rapids, Michigan","ISBN":"978-1-58743-291-0","number-of-pages":"218","publisher":"Brazos Press","publisher-place":"Grand Rapids, Michigan","source":"Library of Congress ISBN","title":"2 Samuel","author":[{"family":"Barron","given":"Robert"}],"issued":{"date-parts":[["2015"]]}}}],"schema":"https://github.com/citation-style-language/schema/raw/master/csl-citation.json"} </w:instrText>
      </w:r>
      <w:r>
        <w:fldChar w:fldCharType="separate"/>
      </w:r>
      <w:r w:rsidRPr="00AA0870">
        <w:rPr>
          <w:rFonts w:ascii="Calibri" w:cs="Calibri"/>
        </w:rPr>
        <w:t xml:space="preserve">Barron, </w:t>
      </w:r>
      <w:r w:rsidRPr="00AA0870">
        <w:rPr>
          <w:rFonts w:ascii="Calibri" w:cs="Calibri"/>
          <w:i/>
          <w:iCs/>
        </w:rPr>
        <w:t>2 Samuel</w:t>
      </w:r>
      <w:r>
        <w:rPr>
          <w:rFonts w:ascii="Calibri" w:cs="Calibri"/>
          <w:i/>
          <w:iCs/>
        </w:rPr>
        <w:t xml:space="preserve">, </w:t>
      </w:r>
      <w:r w:rsidRPr="00AA0870">
        <w:rPr>
          <w:rFonts w:ascii="Calibri" w:cs="Calibri"/>
        </w:rPr>
        <w:t>95.</w:t>
      </w:r>
      <w:r>
        <w:fldChar w:fldCharType="end"/>
      </w:r>
    </w:p>
  </w:footnote>
  <w:footnote w:id="22">
    <w:p w14:paraId="677680A5" w14:textId="4F1100AF" w:rsidR="001334A9" w:rsidRDefault="001334A9">
      <w:pPr>
        <w:pStyle w:val="FootnoteText"/>
      </w:pPr>
      <w:r>
        <w:rPr>
          <w:rStyle w:val="FootnoteReference"/>
        </w:rPr>
        <w:footnoteRef/>
      </w:r>
      <w:r>
        <w:t xml:space="preserve"> Jan Jaynes Quesada, in </w:t>
      </w:r>
      <w:r>
        <w:fldChar w:fldCharType="begin"/>
      </w:r>
      <w:r w:rsidR="004316EC">
        <w:instrText xml:space="preserve"> ADDIN ZOTERO_ITEM CSL_CITATION {"citationID":"QhYNrkVR","properties":{"formattedCitation":"Linafelt et al., {\\i{}The Fate of King David}.","plainCitation":"Linafelt et al., The Fate of King David.","dontUpdate":true,"noteIndex":23},"citationItems":[{"id":404,"uris":["http://zotero.org/users/7540819/items/SILCZCVM"],"uri":["http://zotero.org/users/7540819/items/SILCZCVM"],"itemData":{"id":404,"type":"book","collection-number":"500","collection-title":"Library of Hebrew Bible Old Testament studies","event-place":"New York","ISBN":"978-0-567-43465-4","language":"eng","number-of-pages":"313","publisher":"T &amp; T Clark","publisher-place":"New York","source":"K10plus ISBN","title":"The fate of King David: the past and present of a biblical icon","title-short":"The fate of King David","editor":[{"family":"Linafelt","given":"Tod"},{"family":"Camp","given":"Claudia V."},{"family":"Beal","given":"Timothy K."},{"family":"Gunn","given":"David M."}],"issued":{"date-parts":[["2010"]]}}}],"schema":"https://github.com/citation-style-language/schema/raw/master/csl-citation.json"} </w:instrText>
      </w:r>
      <w:r>
        <w:fldChar w:fldCharType="separate"/>
      </w:r>
      <w:r w:rsidRPr="007A7045">
        <w:rPr>
          <w:rFonts w:ascii="Calibri" w:cs="Calibri"/>
        </w:rPr>
        <w:t xml:space="preserve">Linafelt et al., </w:t>
      </w:r>
      <w:r w:rsidRPr="007A7045">
        <w:rPr>
          <w:rFonts w:ascii="Calibri" w:cs="Calibri"/>
          <w:i/>
          <w:iCs/>
        </w:rPr>
        <w:t>The Fate of King David</w:t>
      </w:r>
      <w:r>
        <w:rPr>
          <w:rFonts w:ascii="Calibri" w:cs="Calibri"/>
        </w:rPr>
        <w:t>, 4</w:t>
      </w:r>
      <w:r w:rsidRPr="007A7045">
        <w:rPr>
          <w:rFonts w:ascii="Calibri" w:cs="Calibri"/>
        </w:rPr>
        <w:t>.</w:t>
      </w:r>
      <w:r>
        <w:fldChar w:fldCharType="end"/>
      </w:r>
    </w:p>
  </w:footnote>
  <w:footnote w:id="23">
    <w:p w14:paraId="4A61ED25" w14:textId="2CB5197B" w:rsidR="00AA0870" w:rsidRDefault="00AA0870">
      <w:pPr>
        <w:pStyle w:val="FootnoteText"/>
      </w:pPr>
      <w:r>
        <w:rPr>
          <w:rStyle w:val="FootnoteReference"/>
        </w:rPr>
        <w:footnoteRef/>
      </w:r>
      <w:r>
        <w:t xml:space="preserve"> </w:t>
      </w:r>
      <w:r>
        <w:fldChar w:fldCharType="begin"/>
      </w:r>
      <w:r w:rsidR="002A5A89">
        <w:instrText xml:space="preserve"> ADDIN ZOTERO_ITEM CSL_CITATION {"citationID":"LB5VZ81Q","properties":{"formattedCitation":"Brueggeman, {\\i{}First and Second Samuel.}","plainCitation":"Brueggeman, First and Second Samuel.","dontUpdate":true,"noteIndex":23},"citationItems":[{"id":366,"uris":["http://zotero.org/users/7540819/items/YTUR6XUR"],"uri":["http://zotero.org/users/7540819/items/YTUR6XUR"],"itemData":{"id":366,"type":"book","event-place":"Louisville, Ky.","ISBN":"978-0-664-23868-1","language":"English","note":"OCLC: 1050278374","publisher":"Westminster John Knox Press","publisher-place":"Louisville, Ky.","source":"Open WorldCat","title":"First and Second Samuel.","author":[{"family":"Brueggeman","given":"Walter"}],"issued":{"date-parts":[["2012"]]}}}],"schema":"https://github.com/citation-style-language/schema/raw/master/csl-citation.json"} </w:instrText>
      </w:r>
      <w:r>
        <w:fldChar w:fldCharType="separate"/>
      </w:r>
      <w:r w:rsidRPr="00AA0870">
        <w:rPr>
          <w:rFonts w:ascii="Calibri" w:cs="Calibri"/>
        </w:rPr>
        <w:t xml:space="preserve">Brueggeman, </w:t>
      </w:r>
      <w:r w:rsidRPr="00AA0870">
        <w:rPr>
          <w:rFonts w:ascii="Calibri" w:cs="Calibri"/>
          <w:i/>
          <w:iCs/>
        </w:rPr>
        <w:t>First and Second Samuel</w:t>
      </w:r>
      <w:r>
        <w:rPr>
          <w:rFonts w:ascii="Calibri" w:cs="Calibri"/>
          <w:i/>
          <w:iCs/>
        </w:rPr>
        <w:t xml:space="preserve">, </w:t>
      </w:r>
      <w:r w:rsidRPr="00AA0870">
        <w:rPr>
          <w:rFonts w:ascii="Calibri" w:cs="Calibri"/>
        </w:rPr>
        <w:t>272</w:t>
      </w:r>
      <w:r w:rsidRPr="00AA0870">
        <w:rPr>
          <w:rFonts w:ascii="Calibri" w:cs="Calibri"/>
          <w:i/>
          <w:iCs/>
        </w:rPr>
        <w:t>.</w:t>
      </w:r>
      <w:r>
        <w:fldChar w:fldCharType="end"/>
      </w:r>
    </w:p>
  </w:footnote>
  <w:footnote w:id="24">
    <w:p w14:paraId="0B0AE0BC" w14:textId="738B7CA9" w:rsidR="00DE01A2" w:rsidRDefault="00DE01A2">
      <w:pPr>
        <w:pStyle w:val="FootnoteText"/>
      </w:pPr>
      <w:r>
        <w:rPr>
          <w:rStyle w:val="FootnoteReference"/>
        </w:rPr>
        <w:footnoteRef/>
      </w:r>
      <w:r>
        <w:t xml:space="preserve"> </w:t>
      </w:r>
      <w:r>
        <w:fldChar w:fldCharType="begin"/>
      </w:r>
      <w:r w:rsidR="002A5A89">
        <w:instrText xml:space="preserve"> ADDIN ZOTERO_ITEM CSL_CITATION {"citationID":"aVYhTvbw","properties":{"formattedCitation":"Moshe Garsiel, \\uc0\\u8216{}The Story of David and Bathsheba: A Different Approach\\uc0\\u8217{}, {\\i{}The Catholic Biblical Quarterly} 55, no. 2 (April 1993): 244\\uc0\\u8211{}62.","plainCitation":"Moshe Garsiel, ‘The Story of David and Bathsheba: A Different Approach’, The Catholic Biblical Quarterly 55, no. 2 (April 1993): 244–62.","dontUpdate":true,"noteIndex":24},"citationItems":[{"id":348,"uris":["http://zotero.org/users/7540819/items/W733R23J"],"uri":["http://zotero.org/users/7540819/items/W733R23J"],"itemData":{"id":348,"type":"article-journal","archive":"Atla Religion Database with AtlaSerials","container-title":"The Catholic Biblical Quarterly","ISSN":"0008-7912","issue":"2","journalAbbreviation":"The Catholic Biblical Quarterly","page":"244-262","source":"EBSCOhost","title":"The Story of David and Bathsheba: A Different Approach","volume":"55","author":[{"family":"Garsiel","given":"Moshe"}],"issued":{"date-parts":[["1993",4]]}}}],"schema":"https://github.com/citation-style-language/schema/raw/master/csl-citation.json"} </w:instrText>
      </w:r>
      <w:r>
        <w:fldChar w:fldCharType="separate"/>
      </w:r>
      <w:r w:rsidRPr="00DE01A2">
        <w:rPr>
          <w:rFonts w:ascii="Calibri" w:cs="Calibri"/>
        </w:rPr>
        <w:t xml:space="preserve">Moshe Garsiel, ‘The Story of David and Bathsheba: A Different Approach’, </w:t>
      </w:r>
      <w:r w:rsidRPr="00DE01A2">
        <w:rPr>
          <w:rFonts w:ascii="Calibri" w:cs="Calibri"/>
          <w:i/>
          <w:iCs/>
        </w:rPr>
        <w:t>The Catholic Biblical Quarterly</w:t>
      </w:r>
      <w:r w:rsidRPr="00DE01A2">
        <w:rPr>
          <w:rFonts w:ascii="Calibri" w:cs="Calibri"/>
        </w:rPr>
        <w:t xml:space="preserve"> 55, no. 2 (April 1993): 24</w:t>
      </w:r>
      <w:r>
        <w:rPr>
          <w:rFonts w:ascii="Calibri" w:cs="Calibri"/>
        </w:rPr>
        <w:t>7</w:t>
      </w:r>
      <w:r w:rsidRPr="00DE01A2">
        <w:rPr>
          <w:rFonts w:ascii="Calibri" w:cs="Calibri"/>
        </w:rPr>
        <w:t>.</w:t>
      </w:r>
      <w:r>
        <w:fldChar w:fldCharType="end"/>
      </w:r>
    </w:p>
  </w:footnote>
  <w:footnote w:id="25">
    <w:p w14:paraId="766FA3C6" w14:textId="56D3B5B0" w:rsidR="00DE01A2" w:rsidRDefault="00DE01A2">
      <w:pPr>
        <w:pStyle w:val="FootnoteText"/>
      </w:pPr>
      <w:r>
        <w:rPr>
          <w:rStyle w:val="FootnoteReference"/>
        </w:rPr>
        <w:footnoteRef/>
      </w:r>
      <w:r>
        <w:t xml:space="preserve"> </w:t>
      </w:r>
      <w:r>
        <w:fldChar w:fldCharType="begin"/>
      </w:r>
      <w:r w:rsidR="002A5A89">
        <w:instrText xml:space="preserve"> ADDIN ZOTERO_ITEM CSL_CITATION {"citationID":"CmNI7Tg2","properties":{"formattedCitation":"Moshe Garsiel, \\uc0\\u8216{}The Story of David and Bathsheba: A Different Approach\\uc0\\u8217{}, {\\i{}The Catholic Biblical Quarterly} 55, no. 2 (April 1993): 244\\uc0\\u8211{}62.","plainCitation":"Moshe Garsiel, ‘The Story of David and Bathsheba: A Different Approach’, The Catholic Biblical Quarterly 55, no. 2 (April 1993): 244–62.","dontUpdate":true,"noteIndex":25},"citationItems":[{"id":348,"uris":["http://zotero.org/users/7540819/items/W733R23J"],"uri":["http://zotero.org/users/7540819/items/W733R23J"],"itemData":{"id":348,"type":"article-journal","archive":"Atla Religion Database with AtlaSerials","container-title":"The Catholic Biblical Quarterly","ISSN":"0008-7912","issue":"2","journalAbbreviation":"The Catholic Biblical Quarterly","page":"244-262","source":"EBSCOhost","title":"The Story of David and Bathsheba: A Different Approach","volume":"55","author":[{"family":"Garsiel","given":"Moshe"}],"issued":{"date-parts":[["1993",4]]}}}],"schema":"https://github.com/citation-style-language/schema/raw/master/csl-citation.json"} </w:instrText>
      </w:r>
      <w:r>
        <w:fldChar w:fldCharType="separate"/>
      </w:r>
      <w:r w:rsidRPr="00DE01A2">
        <w:rPr>
          <w:rFonts w:ascii="Calibri" w:cs="Calibri"/>
        </w:rPr>
        <w:t xml:space="preserve">Moshe Garsiel, ‘The Story of David and Bathsheba: A Different Approach’, </w:t>
      </w:r>
      <w:r w:rsidRPr="00DE01A2">
        <w:rPr>
          <w:rFonts w:ascii="Calibri" w:cs="Calibri"/>
          <w:i/>
          <w:iCs/>
        </w:rPr>
        <w:t>The Catholic Biblical Quarterly</w:t>
      </w:r>
      <w:r w:rsidRPr="00DE01A2">
        <w:rPr>
          <w:rFonts w:ascii="Calibri" w:cs="Calibri"/>
        </w:rPr>
        <w:t xml:space="preserve"> 55, no. 2 (April 1993): 24</w:t>
      </w:r>
      <w:r>
        <w:rPr>
          <w:rFonts w:ascii="Calibri" w:cs="Calibri"/>
        </w:rPr>
        <w:t>7</w:t>
      </w:r>
      <w:r w:rsidRPr="00DE01A2">
        <w:rPr>
          <w:rFonts w:ascii="Calibri" w:cs="Calibri"/>
        </w:rPr>
        <w:t>.</w:t>
      </w:r>
      <w:r>
        <w:fldChar w:fldCharType="end"/>
      </w:r>
    </w:p>
  </w:footnote>
  <w:footnote w:id="26">
    <w:p w14:paraId="7B646DD4" w14:textId="77777777" w:rsidR="00835A6C" w:rsidRDefault="00835A6C" w:rsidP="00835A6C">
      <w:pPr>
        <w:pStyle w:val="FootnoteText"/>
      </w:pPr>
      <w:r>
        <w:rPr>
          <w:rStyle w:val="FootnoteReference"/>
        </w:rPr>
        <w:footnoteRef/>
      </w:r>
      <w:r>
        <w:t xml:space="preserve"> Note also the dichotomy of God’s covenanted presence amidst all the slaughter and conquests and David’s breach of the requirements for godly kingship, ‘The Lord gave victory to David wherever he went’ (8:6, 14).</w:t>
      </w:r>
    </w:p>
  </w:footnote>
  <w:footnote w:id="27">
    <w:p w14:paraId="7FFB0D57" w14:textId="507DCA47" w:rsidR="0019104B" w:rsidRDefault="0019104B">
      <w:pPr>
        <w:pStyle w:val="FootnoteText"/>
      </w:pPr>
      <w:r>
        <w:rPr>
          <w:rStyle w:val="FootnoteReference"/>
        </w:rPr>
        <w:footnoteRef/>
      </w:r>
      <w:r>
        <w:t xml:space="preserve"> </w:t>
      </w:r>
      <w:r>
        <w:fldChar w:fldCharType="begin"/>
      </w:r>
      <w:r w:rsidR="002A5A89">
        <w:instrText xml:space="preserve"> ADDIN ZOTERO_ITEM CSL_CITATION {"citationID":"wfrnRfap","properties":{"formattedCitation":"Brueggeman, {\\i{}First and Second Samuel.}","plainCitation":"Brueggeman, First and Second Samuel.","dontUpdate":true,"noteIndex":27},"citationItems":[{"id":366,"uris":["http://zotero.org/users/7540819/items/YTUR6XUR"],"uri":["http://zotero.org/users/7540819/items/YTUR6XUR"],"itemData":{"id":366,"type":"book","event-place":"Louisville, Ky.","ISBN":"978-0-664-23868-1","language":"English","note":"OCLC: 1050278374","publisher":"Westminster John Knox Press","publisher-place":"Louisville, Ky.","source":"Open WorldCat","title":"First and Second Samuel.","author":[{"family":"Brueggeman","given":"Walter"}],"issued":{"date-parts":[["2012"]]}}}],"schema":"https://github.com/citation-style-language/schema/raw/master/csl-citation.json"} </w:instrText>
      </w:r>
      <w:r>
        <w:fldChar w:fldCharType="separate"/>
      </w:r>
      <w:r w:rsidRPr="0019104B">
        <w:rPr>
          <w:rFonts w:ascii="Calibri" w:cs="Calibri"/>
        </w:rPr>
        <w:t xml:space="preserve">Brueggeman, </w:t>
      </w:r>
      <w:r w:rsidRPr="0019104B">
        <w:rPr>
          <w:rFonts w:ascii="Calibri" w:cs="Calibri"/>
          <w:i/>
          <w:iCs/>
        </w:rPr>
        <w:t>First and Second Samuel</w:t>
      </w:r>
      <w:r>
        <w:rPr>
          <w:rFonts w:ascii="Calibri" w:cs="Calibri"/>
        </w:rPr>
        <w:t>, 279 -280</w:t>
      </w:r>
      <w:r w:rsidRPr="0019104B">
        <w:rPr>
          <w:rFonts w:ascii="Calibri" w:cs="Calibri"/>
          <w:i/>
          <w:iCs/>
        </w:rPr>
        <w:t>.</w:t>
      </w:r>
      <w:r>
        <w:fldChar w:fldCharType="end"/>
      </w:r>
    </w:p>
  </w:footnote>
  <w:footnote w:id="28">
    <w:p w14:paraId="69E6C5D0" w14:textId="4E246FA5" w:rsidR="000B7C55" w:rsidRDefault="000B7C55">
      <w:pPr>
        <w:pStyle w:val="FootnoteText"/>
      </w:pPr>
      <w:r>
        <w:rPr>
          <w:rStyle w:val="FootnoteReference"/>
        </w:rPr>
        <w:footnoteRef/>
      </w:r>
      <w:r>
        <w:t xml:space="preserve"> </w:t>
      </w:r>
      <w:r>
        <w:fldChar w:fldCharType="begin"/>
      </w:r>
      <w:r w:rsidR="002A5A89">
        <w:instrText xml:space="preserve"> ADDIN ZOTERO_ITEM CSL_CITATION {"citationID":"bJxQKefD","properties":{"formattedCitation":"Brueggeman.","plainCitation":"Brueggeman.","dontUpdate":true,"noteIndex":28},"citationItems":[{"id":366,"uris":["http://zotero.org/users/7540819/items/YTUR6XUR"],"uri":["http://zotero.org/users/7540819/items/YTUR6XUR"],"itemData":{"id":366,"type":"book","event-place":"Louisville, Ky.","ISBN":"978-0-664-23868-1","language":"English","note":"OCLC: 1050278374","publisher":"Westminster John Knox Press","publisher-place":"Louisville, Ky.","source":"Open WorldCat","title":"First and Second Samuel.","author":[{"family":"Brueggeman","given":"Walter"}],"issued":{"date-parts":[["2012"]]}}}],"schema":"https://github.com/citation-style-language/schema/raw/master/csl-citation.json"} </w:instrText>
      </w:r>
      <w:r>
        <w:fldChar w:fldCharType="separate"/>
      </w:r>
      <w:r>
        <w:rPr>
          <w:noProof/>
        </w:rPr>
        <w:t>Brueggeman</w:t>
      </w:r>
      <w:r w:rsidRPr="00AA0870">
        <w:rPr>
          <w:rFonts w:ascii="Calibri" w:cs="Calibri"/>
        </w:rPr>
        <w:t xml:space="preserve">, </w:t>
      </w:r>
      <w:r w:rsidRPr="00AA0870">
        <w:rPr>
          <w:rFonts w:ascii="Calibri" w:cs="Calibri"/>
          <w:i/>
          <w:iCs/>
        </w:rPr>
        <w:t>First and Second Samuel</w:t>
      </w:r>
      <w:r>
        <w:rPr>
          <w:rFonts w:ascii="Calibri" w:cs="Calibri"/>
          <w:i/>
          <w:iCs/>
        </w:rPr>
        <w:t xml:space="preserve">, </w:t>
      </w:r>
      <w:r w:rsidRPr="00AA0870">
        <w:rPr>
          <w:rFonts w:ascii="Calibri" w:cs="Calibri"/>
        </w:rPr>
        <w:t>2</w:t>
      </w:r>
      <w:r>
        <w:rPr>
          <w:rFonts w:ascii="Calibri" w:cs="Calibri"/>
        </w:rPr>
        <w:t>81</w:t>
      </w:r>
      <w:r>
        <w:rPr>
          <w:noProof/>
        </w:rPr>
        <w:t>.</w:t>
      </w:r>
      <w:r>
        <w:fldChar w:fldCharType="end"/>
      </w:r>
    </w:p>
  </w:footnote>
  <w:footnote w:id="29">
    <w:p w14:paraId="7EF884B1" w14:textId="18FA9A29" w:rsidR="00B15E95" w:rsidRDefault="00B15E95" w:rsidP="00B15E95">
      <w:pPr>
        <w:pStyle w:val="FootnoteText"/>
      </w:pPr>
      <w:r>
        <w:rPr>
          <w:rStyle w:val="FootnoteReference"/>
        </w:rPr>
        <w:footnoteRef/>
      </w:r>
      <w:r>
        <w:t xml:space="preserve"> </w:t>
      </w:r>
      <w:r>
        <w:fldChar w:fldCharType="begin"/>
      </w:r>
      <w:r w:rsidR="004316EC">
        <w:instrText xml:space="preserve"> ADDIN ZOTERO_ITEM CSL_CITATION {"citationID":"pUtA2qTw","properties":{"formattedCitation":"Barron, {\\i{}2 Samuel}.","plainCitation":"Barron, 2 Samuel.","dontUpdate":true,"noteIndex":30},"citationItems":[{"id":365,"uris":["http://zotero.org/users/7540819/items/GC5AT35P"],"uri":["http://zotero.org/users/7540819/items/GC5AT35P"],"itemData":{"id":365,"type":"book","call-number":"BS1325.53 .B38 2015","collection-title":"Brazos theological commentary on the Bible","event-place":"Grand Rapids, Michigan","ISBN":"978-1-58743-291-0","number-of-pages":"218","publisher":"Brazos Press","publisher-place":"Grand Rapids, Michigan","source":"Library of Congress ISBN","title":"2 Samuel","author":[{"family":"Barron","given":"Robert"}],"issued":{"date-parts":[["2015"]]}}}],"schema":"https://github.com/citation-style-language/schema/raw/master/csl-citation.json"} </w:instrText>
      </w:r>
      <w:r>
        <w:fldChar w:fldCharType="separate"/>
      </w:r>
      <w:r w:rsidRPr="000D56DD">
        <w:rPr>
          <w:rFonts w:ascii="Calibri" w:cs="Calibri"/>
        </w:rPr>
        <w:t xml:space="preserve">Barron, </w:t>
      </w:r>
      <w:r w:rsidRPr="000D56DD">
        <w:rPr>
          <w:rFonts w:ascii="Calibri" w:cs="Calibri"/>
          <w:i/>
          <w:iCs/>
        </w:rPr>
        <w:t>2 Samuel</w:t>
      </w:r>
      <w:r>
        <w:rPr>
          <w:rFonts w:ascii="Calibri" w:cs="Calibri"/>
          <w:i/>
          <w:iCs/>
        </w:rPr>
        <w:t xml:space="preserve">, </w:t>
      </w:r>
      <w:r w:rsidRPr="00AA0870">
        <w:rPr>
          <w:rFonts w:ascii="Calibri" w:cs="Calibri"/>
        </w:rPr>
        <w:t>x-xxi</w:t>
      </w:r>
      <w:r w:rsidRPr="000D56DD">
        <w:rPr>
          <w:rFonts w:ascii="Calibri" w:cs="Calibri"/>
        </w:rPr>
        <w:t>.</w:t>
      </w:r>
      <w:r>
        <w:fldChar w:fldCharType="end"/>
      </w:r>
    </w:p>
  </w:footnote>
  <w:footnote w:id="30">
    <w:p w14:paraId="5CED0808" w14:textId="78DB1937" w:rsidR="002566F3" w:rsidRDefault="002566F3">
      <w:pPr>
        <w:pStyle w:val="FootnoteText"/>
      </w:pPr>
      <w:r>
        <w:rPr>
          <w:rStyle w:val="FootnoteReference"/>
        </w:rPr>
        <w:footnoteRef/>
      </w:r>
      <w:r>
        <w:t xml:space="preserve"> cf. 2 Sam. 13:1-4, 15-33; 18:33-19:8; 1 Kgs. 1:5, 11-53.</w:t>
      </w:r>
    </w:p>
  </w:footnote>
  <w:footnote w:id="31">
    <w:p w14:paraId="605198EF" w14:textId="1D7B7E22" w:rsidR="001334A9" w:rsidRDefault="001334A9">
      <w:pPr>
        <w:pStyle w:val="FootnoteText"/>
      </w:pPr>
      <w:r>
        <w:rPr>
          <w:rStyle w:val="FootnoteReference"/>
        </w:rPr>
        <w:footnoteRef/>
      </w:r>
      <w:r>
        <w:t xml:space="preserve"> Jan Jaynes Quesada, in </w:t>
      </w:r>
      <w:r>
        <w:fldChar w:fldCharType="begin"/>
      </w:r>
      <w:r w:rsidR="004316EC">
        <w:instrText xml:space="preserve"> ADDIN ZOTERO_ITEM CSL_CITATION {"citationID":"7D02BXKg","properties":{"formattedCitation":"Linafelt et al., {\\i{}The Fate of King David}.","plainCitation":"Linafelt et al., The Fate of King David.","dontUpdate":true,"noteIndex":32},"citationItems":[{"id":404,"uris":["http://zotero.org/users/7540819/items/SILCZCVM"],"uri":["http://zotero.org/users/7540819/items/SILCZCVM"],"itemData":{"id":404,"type":"book","collection-number":"500","collection-title":"Library of Hebrew Bible Old Testament studies","event-place":"New York","ISBN":"978-0-567-43465-4","language":"eng","number-of-pages":"313","publisher":"T &amp; T Clark","publisher-place":"New York","source":"K10plus ISBN","title":"The fate of King David: the past and present of a biblical icon","title-short":"The fate of King David","editor":[{"family":"Linafelt","given":"Tod"},{"family":"Camp","given":"Claudia V."},{"family":"Beal","given":"Timothy K."},{"family":"Gunn","given":"David M."}],"issued":{"date-parts":[["2010"]]}}}],"schema":"https://github.com/citation-style-language/schema/raw/master/csl-citation.json"} </w:instrText>
      </w:r>
      <w:r>
        <w:fldChar w:fldCharType="separate"/>
      </w:r>
      <w:r w:rsidRPr="007A7045">
        <w:rPr>
          <w:rFonts w:ascii="Calibri" w:cs="Calibri"/>
        </w:rPr>
        <w:t xml:space="preserve">Linafelt et al., </w:t>
      </w:r>
      <w:r w:rsidRPr="007A7045">
        <w:rPr>
          <w:rFonts w:ascii="Calibri" w:cs="Calibri"/>
          <w:i/>
          <w:iCs/>
        </w:rPr>
        <w:t>The Fate of King David</w:t>
      </w:r>
      <w:r>
        <w:rPr>
          <w:rFonts w:ascii="Calibri" w:cs="Calibri"/>
        </w:rPr>
        <w:t>, 17</w:t>
      </w:r>
      <w:r w:rsidRPr="007A7045">
        <w:rPr>
          <w:rFonts w:ascii="Calibri" w:cs="Calibri"/>
        </w:rPr>
        <w:t>.</w:t>
      </w:r>
      <w:r>
        <w:fldChar w:fldCharType="end"/>
      </w:r>
    </w:p>
  </w:footnote>
  <w:footnote w:id="32">
    <w:p w14:paraId="2A6285F8" w14:textId="60F9394D" w:rsidR="00B33512" w:rsidRDefault="00B33512">
      <w:pPr>
        <w:pStyle w:val="FootnoteText"/>
      </w:pPr>
      <w:r>
        <w:rPr>
          <w:rStyle w:val="FootnoteReference"/>
        </w:rPr>
        <w:footnoteRef/>
      </w:r>
      <w:r>
        <w:t xml:space="preserve"> </w:t>
      </w:r>
      <w:r>
        <w:fldChar w:fldCharType="begin"/>
      </w:r>
      <w:r w:rsidR="004316EC">
        <w:instrText xml:space="preserve"> ADDIN ZOTERO_ITEM CSL_CITATION {"citationID":"SOTX6cYp","properties":{"formattedCitation":"Marc Brettler and Amy-Jill Levine, \\uc0\\u8216{}Isaiah\\uc0\\u8217{}s Suffering Servant: Before and After Christianity\\uc0\\u8217{}, {\\i{}Interpretation: A Journal of Bible and Theology} 73, no. 2 (April 2019): 158\\uc0\\u8211{}73, https://doi.org/10.1177/0020964318820594.","plainCitation":"Marc Brettler and Amy-Jill Levine, ‘Isaiah’s Suffering Servant: Before and After Christianity’, Interpretation: A Journal of Bible and Theology 73, no. 2 (April 2019): 158–73, https://doi.org/10.1177/0020964318820594.","dontUpdate":true,"noteIndex":33},"citationItems":[{"id":423,"uris":["http://zotero.org/users/7540819/items/WM7ZJH6J"],"uri":["http://zotero.org/users/7540819/items/WM7ZJH6J"],"itemData":{"id":423,"type":"article-journal","abstract":"The so-called “Suffering Servant” of Isaiah 52:15–53:12 takes on new meaning in each of his settings, from the exilic or early post-exilic community of Deutero-Isaiah, to the repurposing of this figure by the author of Daniel, mid-second century BCE during the persecutions of Jews by Antiochus IV Epiphanes, through the numerous New Testament citations of and allusions to Jesus as fulfilling Isaiah’s predictions concerning this servant, and on to several post-biblical Jewish understandings of this enigmatic figure. In showing how and why the servant receives such numerous readings, we demonstrate both how readers across the centuries and within different traditions understand Isaiah through their own circumstances, and why Jews and Christians should respect each other’s readings rather than attempt to “prove” the truth of one tradition on the basis of a specific understanding of prophecy.","container-title":"Interpretation: A Journal of Bible and Theology","DOI":"10.1177/0020964318820594","ISSN":"0020-9643, 2159-340X","issue":"2","journalAbbreviation":"Interpretation","language":"en","page":"158-173","source":"DOI.org (Crossref)","title":"Isaiah’s Suffering Servant: Before and After Christianity","title-short":"Isaiah’s Suffering Servant","volume":"73","author":[{"family":"Brettler","given":"Marc"},{"family":"Levine","given":"Amy-Jill"}],"issued":{"date-parts":[["2019",4]]}}}],"schema":"https://github.com/citation-style-language/schema/raw/master/csl-citation.json"} </w:instrText>
      </w:r>
      <w:r>
        <w:fldChar w:fldCharType="separate"/>
      </w:r>
      <w:r w:rsidRPr="00B33512">
        <w:rPr>
          <w:rFonts w:ascii="Calibri" w:cs="Calibri"/>
        </w:rPr>
        <w:t xml:space="preserve">Marc Brettler and Amy-Jill Levine, ‘Isaiah’s Suffering Servant: Before and After Christianity’, </w:t>
      </w:r>
      <w:r w:rsidRPr="00B33512">
        <w:rPr>
          <w:rFonts w:ascii="Calibri" w:cs="Calibri"/>
          <w:i/>
          <w:iCs/>
        </w:rPr>
        <w:t>Interpretation: A Journal of Bible and Theology</w:t>
      </w:r>
      <w:r w:rsidRPr="00B33512">
        <w:rPr>
          <w:rFonts w:ascii="Calibri" w:cs="Calibri"/>
        </w:rPr>
        <w:t xml:space="preserve"> 73, no. 2 (April 2019): 158–</w:t>
      </w:r>
      <w:r w:rsidR="00C31009">
        <w:rPr>
          <w:rFonts w:ascii="Calibri" w:cs="Calibri"/>
        </w:rPr>
        <w:t>159</w:t>
      </w:r>
      <w:r w:rsidRPr="00B33512">
        <w:rPr>
          <w:rFonts w:ascii="Calibri" w:cs="Calibri"/>
        </w:rPr>
        <w:t>, https://doi.org/10.1177/0020964318820594.</w:t>
      </w:r>
      <w:r>
        <w:fldChar w:fldCharType="end"/>
      </w:r>
    </w:p>
  </w:footnote>
  <w:footnote w:id="33">
    <w:p w14:paraId="18A0586F" w14:textId="00E02357" w:rsidR="0018371A" w:rsidRDefault="0018371A" w:rsidP="0018371A">
      <w:pPr>
        <w:pStyle w:val="FootnoteText"/>
      </w:pPr>
      <w:r>
        <w:rPr>
          <w:rStyle w:val="FootnoteReference"/>
        </w:rPr>
        <w:footnoteRef/>
      </w:r>
      <w:r>
        <w:t xml:space="preserve"> </w:t>
      </w:r>
      <w:r>
        <w:fldChar w:fldCharType="begin"/>
      </w:r>
      <w:r w:rsidR="004316EC">
        <w:instrText xml:space="preserve"> ADDIN ZOTERO_ITEM CSL_CITATION {"citationID":"PQJLy7xX","properties":{"formattedCitation":"Ryken, Wilhoit, and Longman.","plainCitation":"Ryken, Wilhoit, and Longman.","dontUpdate":true,"noteIndex":34},"citationItems":[{"id":382,"uris":["http://zotero.org/users/7540819/items/5D8Y9QJS"],"uri":["http://zotero.org/users/7540819/items/5D8Y9QJS"],"itemData":{"id":382,"type":"book","edition":"Nachdr.","event-place":"Downers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fldChar w:fldCharType="separate"/>
      </w:r>
      <w:r>
        <w:rPr>
          <w:noProof/>
        </w:rPr>
        <w:t>Ryken, Wilhoit, and Longman, 178.</w:t>
      </w:r>
      <w:r>
        <w:fldChar w:fldCharType="end"/>
      </w:r>
    </w:p>
  </w:footnote>
  <w:footnote w:id="34">
    <w:p w14:paraId="52652D9A" w14:textId="597F1C59" w:rsidR="001C1C9B" w:rsidRDefault="001C1C9B">
      <w:pPr>
        <w:pStyle w:val="FootnoteText"/>
      </w:pPr>
      <w:r>
        <w:rPr>
          <w:rStyle w:val="FootnoteReference"/>
        </w:rPr>
        <w:footnoteRef/>
      </w:r>
      <w:r>
        <w:t xml:space="preserve"> cf. Rehoboam (2 Chr. 12:14), </w:t>
      </w:r>
      <w:proofErr w:type="spellStart"/>
      <w:r>
        <w:t>Jehoram</w:t>
      </w:r>
      <w:proofErr w:type="spellEnd"/>
      <w:r>
        <w:t xml:space="preserve"> (21:5-7), Ahaziah (22:1-4a), Ma</w:t>
      </w:r>
      <w:r w:rsidR="001F55DA">
        <w:t xml:space="preserve">nasseh (33:1-3), and many others. Compare with Abijah (13:1-22), Jehoshaphat (18-20:34), initially Uzziah (26:1-22), Jotham (27), Hezekiah (29-32), Josiah (34-35). Only these </w:t>
      </w:r>
      <w:r w:rsidR="00D01CAA">
        <w:t>6 of the 20 Davidic kings were righteous and were obedient to God and his laws, albeit some vacillated during their reign, but returned to God.</w:t>
      </w:r>
    </w:p>
  </w:footnote>
  <w:footnote w:id="35">
    <w:p w14:paraId="2153D914" w14:textId="77777777" w:rsidR="0018371A" w:rsidRDefault="0018371A" w:rsidP="0018371A">
      <w:pPr>
        <w:pStyle w:val="FootnoteText"/>
      </w:pPr>
      <w:r>
        <w:rPr>
          <w:rStyle w:val="FootnoteReference"/>
        </w:rPr>
        <w:footnoteRef/>
      </w:r>
      <w:r>
        <w:t xml:space="preserve"> cf. Ezra 3:10; Neh. 12:24, 45-46 et al.</w:t>
      </w:r>
    </w:p>
  </w:footnote>
  <w:footnote w:id="36">
    <w:p w14:paraId="0E5A547A" w14:textId="092653DC" w:rsidR="005F0391" w:rsidRDefault="005F0391" w:rsidP="005F0391">
      <w:pPr>
        <w:pStyle w:val="FootnoteText"/>
      </w:pPr>
      <w:r>
        <w:rPr>
          <w:rStyle w:val="FootnoteReference"/>
        </w:rPr>
        <w:footnoteRef/>
      </w:r>
      <w:r>
        <w:t xml:space="preserve"> Isa. 9:7, 16:5, 22:22, 38:5, </w:t>
      </w:r>
      <w:proofErr w:type="spellStart"/>
      <w:r>
        <w:t>Jer</w:t>
      </w:r>
      <w:proofErr w:type="spellEnd"/>
      <w:r>
        <w:t xml:space="preserve"> 22:30, 33:15, 22; Amos 9:11; Zech. 12:8, 13:1 et al.</w:t>
      </w:r>
    </w:p>
  </w:footnote>
  <w:footnote w:id="37">
    <w:p w14:paraId="4C41F302" w14:textId="08C0D9C4" w:rsidR="00DD622F" w:rsidRDefault="00DD622F">
      <w:pPr>
        <w:pStyle w:val="FootnoteText"/>
      </w:pPr>
      <w:r>
        <w:rPr>
          <w:rStyle w:val="FootnoteReference"/>
        </w:rPr>
        <w:footnoteRef/>
      </w:r>
      <w:r>
        <w:t xml:space="preserve"> Deuteronomistic views point to Samuel-Kings being written earlier than Chronicles. </w:t>
      </w:r>
      <w:r w:rsidR="002A5A89">
        <w:t xml:space="preserve">cf. </w:t>
      </w:r>
      <w:r w:rsidR="002A5A89">
        <w:fldChar w:fldCharType="begin"/>
      </w:r>
      <w:r w:rsidR="00756498">
        <w:instrText xml:space="preserve"> ADDIN ZOTERO_ITEM CSL_CITATION {"citationID":"F6GHPRhb","properties":{"formattedCitation":"Ryken, Wilhoit, and Longman, {\\i{}Dictionary of Biblical Imagery}.","plainCitation":"Ryken, Wilhoit, and Longman, Dictionary of Biblical Imagery.","dontUpdate":true,"noteIndex":37},"citationItems":[{"id":382,"uris":["http://zotero.org/users/7540819/items/5D8Y9QJS"],"uri":["http://zotero.org/users/7540819/items/5D8Y9QJS"],"itemData":{"id":382,"type":"book","edition":"Nachdr.","event-place":"Downers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rsidR="002A5A89">
        <w:fldChar w:fldCharType="separate"/>
      </w:r>
      <w:r w:rsidR="002A5A89" w:rsidRPr="002A5A89">
        <w:rPr>
          <w:rFonts w:ascii="Calibri" w:cs="Calibri"/>
        </w:rPr>
        <w:t xml:space="preserve">Ryken, </w:t>
      </w:r>
      <w:proofErr w:type="spellStart"/>
      <w:r w:rsidR="002A5A89" w:rsidRPr="002A5A89">
        <w:rPr>
          <w:rFonts w:ascii="Calibri" w:cs="Calibri"/>
        </w:rPr>
        <w:t>Wilhoit</w:t>
      </w:r>
      <w:proofErr w:type="spellEnd"/>
      <w:r w:rsidR="002A5A89" w:rsidRPr="002A5A89">
        <w:rPr>
          <w:rFonts w:ascii="Calibri" w:cs="Calibri"/>
        </w:rPr>
        <w:t xml:space="preserve">, and Longman, </w:t>
      </w:r>
      <w:r w:rsidR="002A5A89" w:rsidRPr="002A5A89">
        <w:rPr>
          <w:rFonts w:ascii="Calibri" w:cs="Calibri"/>
          <w:i/>
          <w:iCs/>
        </w:rPr>
        <w:t>Dictionary of Biblical Imagery</w:t>
      </w:r>
      <w:r w:rsidR="002A5A89">
        <w:rPr>
          <w:rFonts w:ascii="Calibri" w:cs="Calibri"/>
        </w:rPr>
        <w:t>, 145, 481</w:t>
      </w:r>
      <w:r w:rsidR="002A5A89" w:rsidRPr="002A5A89">
        <w:rPr>
          <w:rFonts w:ascii="Calibri" w:cs="Calibri"/>
        </w:rPr>
        <w:t>.</w:t>
      </w:r>
      <w:r w:rsidR="002A5A89">
        <w:fldChar w:fldCharType="end"/>
      </w:r>
    </w:p>
  </w:footnote>
  <w:footnote w:id="38">
    <w:p w14:paraId="18AC4CB8" w14:textId="77777777" w:rsidR="00D8309F" w:rsidRPr="00D8309F" w:rsidRDefault="00D8309F" w:rsidP="00D8309F">
      <w:pPr>
        <w:rPr>
          <w:sz w:val="20"/>
          <w:szCs w:val="20"/>
        </w:rPr>
      </w:pPr>
      <w:r w:rsidRPr="00D8309F">
        <w:rPr>
          <w:sz w:val="20"/>
          <w:szCs w:val="20"/>
          <w:vertAlign w:val="superscript"/>
        </w:rPr>
        <w:footnoteRef/>
      </w:r>
      <w:r w:rsidRPr="00D8309F">
        <w:rPr>
          <w:sz w:val="20"/>
          <w:szCs w:val="20"/>
        </w:rPr>
        <w:t xml:space="preserve"> J. Robert </w:t>
      </w:r>
      <w:proofErr w:type="spellStart"/>
      <w:r w:rsidRPr="00D8309F">
        <w:rPr>
          <w:sz w:val="20"/>
          <w:szCs w:val="20"/>
        </w:rPr>
        <w:t>Vannoy</w:t>
      </w:r>
      <w:proofErr w:type="spellEnd"/>
      <w:r w:rsidRPr="00D8309F">
        <w:rPr>
          <w:sz w:val="20"/>
          <w:szCs w:val="20"/>
        </w:rPr>
        <w:t xml:space="preserve">, </w:t>
      </w:r>
      <w:hyperlink r:id="rId3" w:history="1">
        <w:r w:rsidRPr="00D8309F">
          <w:rPr>
            <w:i/>
            <w:color w:val="0000FF"/>
            <w:sz w:val="20"/>
            <w:szCs w:val="20"/>
            <w:u w:val="single"/>
          </w:rPr>
          <w:t xml:space="preserve">Cornerstone Biblical </w:t>
        </w:r>
        <w:proofErr w:type="spellStart"/>
        <w:r w:rsidRPr="00D8309F">
          <w:rPr>
            <w:i/>
            <w:color w:val="0000FF"/>
            <w:sz w:val="20"/>
            <w:szCs w:val="20"/>
            <w:u w:val="single"/>
          </w:rPr>
          <w:t>Commentarya</w:t>
        </w:r>
        <w:proofErr w:type="spellEnd"/>
        <w:r w:rsidRPr="00D8309F">
          <w:rPr>
            <w:i/>
            <w:color w:val="0000FF"/>
            <w:sz w:val="20"/>
            <w:szCs w:val="20"/>
            <w:u w:val="single"/>
          </w:rPr>
          <w:t>: 1-2 Samuel</w:t>
        </w:r>
      </w:hyperlink>
      <w:r w:rsidRPr="00D8309F">
        <w:rPr>
          <w:sz w:val="20"/>
          <w:szCs w:val="20"/>
        </w:rPr>
        <w:t>, vol. 4 (Carol Stream, IL: Tyndale House Publishers, 2009), 9.</w:t>
      </w:r>
    </w:p>
  </w:footnote>
  <w:footnote w:id="39">
    <w:p w14:paraId="2C9FEC4E" w14:textId="77777777" w:rsidR="00DD622F" w:rsidRPr="00120235" w:rsidRDefault="00DD622F" w:rsidP="00DD622F">
      <w:pPr>
        <w:rPr>
          <w:sz w:val="20"/>
          <w:szCs w:val="20"/>
        </w:rPr>
      </w:pPr>
      <w:r w:rsidRPr="00D8309F">
        <w:rPr>
          <w:sz w:val="20"/>
          <w:szCs w:val="20"/>
          <w:vertAlign w:val="superscript"/>
        </w:rPr>
        <w:footnoteRef/>
      </w:r>
      <w:r w:rsidRPr="00D8309F">
        <w:rPr>
          <w:sz w:val="20"/>
          <w:szCs w:val="20"/>
        </w:rPr>
        <w:t xml:space="preserve"> Eugene H. Merrill, </w:t>
      </w:r>
      <w:hyperlink r:id="rId4" w:history="1">
        <w:r w:rsidRPr="00D8309F">
          <w:rPr>
            <w:i/>
            <w:color w:val="0000FF"/>
            <w:sz w:val="20"/>
            <w:szCs w:val="20"/>
            <w:u w:val="single"/>
          </w:rPr>
          <w:t>A Commentary on 1 &amp; 2 Chronicles: Commentary</w:t>
        </w:r>
      </w:hyperlink>
      <w:r w:rsidRPr="00D8309F">
        <w:rPr>
          <w:sz w:val="20"/>
          <w:szCs w:val="20"/>
        </w:rPr>
        <w:t>, Kregel Exegetical Library (Grand Rapids,</w:t>
      </w:r>
      <w:r w:rsidRPr="00120235">
        <w:rPr>
          <w:sz w:val="20"/>
          <w:szCs w:val="20"/>
        </w:rPr>
        <w:t xml:space="preserve"> MI: Kregel Academic, 2015), 57.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25FB5"/>
    <w:multiLevelType w:val="hybridMultilevel"/>
    <w:tmpl w:val="F1026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66785"/>
    <w:multiLevelType w:val="hybridMultilevel"/>
    <w:tmpl w:val="520E7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E110E8"/>
    <w:multiLevelType w:val="hybridMultilevel"/>
    <w:tmpl w:val="847E7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351B8"/>
    <w:multiLevelType w:val="hybridMultilevel"/>
    <w:tmpl w:val="9C560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CE56E1"/>
    <w:multiLevelType w:val="hybridMultilevel"/>
    <w:tmpl w:val="8F7CF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FE0460"/>
    <w:multiLevelType w:val="hybridMultilevel"/>
    <w:tmpl w:val="F1E21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294F74"/>
    <w:multiLevelType w:val="hybridMultilevel"/>
    <w:tmpl w:val="C0A86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614950"/>
    <w:multiLevelType w:val="multilevel"/>
    <w:tmpl w:val="6FA81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28333B"/>
    <w:multiLevelType w:val="hybridMultilevel"/>
    <w:tmpl w:val="4CA6DA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7F72FC"/>
    <w:multiLevelType w:val="hybridMultilevel"/>
    <w:tmpl w:val="EBE41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8933F0"/>
    <w:multiLevelType w:val="hybridMultilevel"/>
    <w:tmpl w:val="7E8A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9"/>
  </w:num>
  <w:num w:numId="4">
    <w:abstractNumId w:val="6"/>
  </w:num>
  <w:num w:numId="5">
    <w:abstractNumId w:val="5"/>
  </w:num>
  <w:num w:numId="6">
    <w:abstractNumId w:val="10"/>
  </w:num>
  <w:num w:numId="7">
    <w:abstractNumId w:val="0"/>
  </w:num>
  <w:num w:numId="8">
    <w:abstractNumId w:val="3"/>
  </w:num>
  <w:num w:numId="9">
    <w:abstractNumId w:val="2"/>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FC4"/>
    <w:rsid w:val="00004AE5"/>
    <w:rsid w:val="00007C8D"/>
    <w:rsid w:val="00023016"/>
    <w:rsid w:val="0002690D"/>
    <w:rsid w:val="00027291"/>
    <w:rsid w:val="00042C39"/>
    <w:rsid w:val="0005010E"/>
    <w:rsid w:val="00067B7D"/>
    <w:rsid w:val="00095077"/>
    <w:rsid w:val="000B7C55"/>
    <w:rsid w:val="000D28F1"/>
    <w:rsid w:val="000D56DD"/>
    <w:rsid w:val="000F584D"/>
    <w:rsid w:val="00101175"/>
    <w:rsid w:val="00101853"/>
    <w:rsid w:val="001027EB"/>
    <w:rsid w:val="00120235"/>
    <w:rsid w:val="001334A9"/>
    <w:rsid w:val="00140A2E"/>
    <w:rsid w:val="00142F7D"/>
    <w:rsid w:val="00150C32"/>
    <w:rsid w:val="00153871"/>
    <w:rsid w:val="001571D8"/>
    <w:rsid w:val="001719D3"/>
    <w:rsid w:val="0018371A"/>
    <w:rsid w:val="00184F34"/>
    <w:rsid w:val="0019104B"/>
    <w:rsid w:val="00195D27"/>
    <w:rsid w:val="001A007A"/>
    <w:rsid w:val="001A0625"/>
    <w:rsid w:val="001B587A"/>
    <w:rsid w:val="001C1C9B"/>
    <w:rsid w:val="001E0B23"/>
    <w:rsid w:val="001F55DA"/>
    <w:rsid w:val="00202979"/>
    <w:rsid w:val="00206B8D"/>
    <w:rsid w:val="00212A37"/>
    <w:rsid w:val="00220658"/>
    <w:rsid w:val="00242757"/>
    <w:rsid w:val="002566F3"/>
    <w:rsid w:val="0025716D"/>
    <w:rsid w:val="00267FC4"/>
    <w:rsid w:val="0027211F"/>
    <w:rsid w:val="00282ED8"/>
    <w:rsid w:val="002910B6"/>
    <w:rsid w:val="002965D1"/>
    <w:rsid w:val="002A5A89"/>
    <w:rsid w:val="002A654B"/>
    <w:rsid w:val="002C4FAE"/>
    <w:rsid w:val="002D5623"/>
    <w:rsid w:val="002F7E25"/>
    <w:rsid w:val="00301217"/>
    <w:rsid w:val="0030563A"/>
    <w:rsid w:val="00310192"/>
    <w:rsid w:val="003335EC"/>
    <w:rsid w:val="00340FEA"/>
    <w:rsid w:val="00381CF7"/>
    <w:rsid w:val="00387801"/>
    <w:rsid w:val="003A5CB2"/>
    <w:rsid w:val="003B1E88"/>
    <w:rsid w:val="003B2EB5"/>
    <w:rsid w:val="003B74EC"/>
    <w:rsid w:val="003C5D2D"/>
    <w:rsid w:val="003D696A"/>
    <w:rsid w:val="00406FAC"/>
    <w:rsid w:val="00424C1F"/>
    <w:rsid w:val="004316EC"/>
    <w:rsid w:val="00443594"/>
    <w:rsid w:val="00447E9E"/>
    <w:rsid w:val="004A3ABF"/>
    <w:rsid w:val="004A6A14"/>
    <w:rsid w:val="004B6016"/>
    <w:rsid w:val="004C3CCA"/>
    <w:rsid w:val="004D2D1E"/>
    <w:rsid w:val="004F616F"/>
    <w:rsid w:val="00507392"/>
    <w:rsid w:val="005443A0"/>
    <w:rsid w:val="00545D1A"/>
    <w:rsid w:val="00553C5F"/>
    <w:rsid w:val="005669FA"/>
    <w:rsid w:val="005729FD"/>
    <w:rsid w:val="00594A39"/>
    <w:rsid w:val="00595C03"/>
    <w:rsid w:val="00596F6A"/>
    <w:rsid w:val="005E2151"/>
    <w:rsid w:val="005E36A2"/>
    <w:rsid w:val="005F0391"/>
    <w:rsid w:val="00620278"/>
    <w:rsid w:val="00633891"/>
    <w:rsid w:val="00663BC0"/>
    <w:rsid w:val="00666F6D"/>
    <w:rsid w:val="00673DC4"/>
    <w:rsid w:val="00681EB2"/>
    <w:rsid w:val="0068341B"/>
    <w:rsid w:val="006841C8"/>
    <w:rsid w:val="006A3150"/>
    <w:rsid w:val="006A43AE"/>
    <w:rsid w:val="006B25A0"/>
    <w:rsid w:val="006C77E5"/>
    <w:rsid w:val="006D4DEF"/>
    <w:rsid w:val="006E24F9"/>
    <w:rsid w:val="006F3E84"/>
    <w:rsid w:val="00706C87"/>
    <w:rsid w:val="0070708D"/>
    <w:rsid w:val="0071162E"/>
    <w:rsid w:val="00750869"/>
    <w:rsid w:val="00753612"/>
    <w:rsid w:val="00756498"/>
    <w:rsid w:val="00757CEC"/>
    <w:rsid w:val="00761FEA"/>
    <w:rsid w:val="007633FD"/>
    <w:rsid w:val="007638EA"/>
    <w:rsid w:val="007858D8"/>
    <w:rsid w:val="00797333"/>
    <w:rsid w:val="007A2895"/>
    <w:rsid w:val="007A41D4"/>
    <w:rsid w:val="007A4CA6"/>
    <w:rsid w:val="007A7045"/>
    <w:rsid w:val="007B1600"/>
    <w:rsid w:val="007C3422"/>
    <w:rsid w:val="007D0B7B"/>
    <w:rsid w:val="007F05B1"/>
    <w:rsid w:val="00802524"/>
    <w:rsid w:val="0080377D"/>
    <w:rsid w:val="00811A33"/>
    <w:rsid w:val="008141D9"/>
    <w:rsid w:val="008160A1"/>
    <w:rsid w:val="0083079F"/>
    <w:rsid w:val="00835A6C"/>
    <w:rsid w:val="00866EBC"/>
    <w:rsid w:val="00876986"/>
    <w:rsid w:val="0088578B"/>
    <w:rsid w:val="0088677A"/>
    <w:rsid w:val="008A6389"/>
    <w:rsid w:val="008B0F7A"/>
    <w:rsid w:val="008B48FC"/>
    <w:rsid w:val="008C026D"/>
    <w:rsid w:val="008E12F4"/>
    <w:rsid w:val="008E69C3"/>
    <w:rsid w:val="00904AED"/>
    <w:rsid w:val="00910F61"/>
    <w:rsid w:val="009264E7"/>
    <w:rsid w:val="0094492F"/>
    <w:rsid w:val="00947EEB"/>
    <w:rsid w:val="00977764"/>
    <w:rsid w:val="0099092B"/>
    <w:rsid w:val="00995AEF"/>
    <w:rsid w:val="009A7E10"/>
    <w:rsid w:val="009B2C10"/>
    <w:rsid w:val="009C7D15"/>
    <w:rsid w:val="009D6F15"/>
    <w:rsid w:val="009E32AA"/>
    <w:rsid w:val="009E705A"/>
    <w:rsid w:val="009F2729"/>
    <w:rsid w:val="009F5949"/>
    <w:rsid w:val="00A11D49"/>
    <w:rsid w:val="00A17578"/>
    <w:rsid w:val="00A26971"/>
    <w:rsid w:val="00A27750"/>
    <w:rsid w:val="00A45EFE"/>
    <w:rsid w:val="00A51D72"/>
    <w:rsid w:val="00A6418D"/>
    <w:rsid w:val="00A65C50"/>
    <w:rsid w:val="00AA0870"/>
    <w:rsid w:val="00AB7A64"/>
    <w:rsid w:val="00AC57D6"/>
    <w:rsid w:val="00AD0AEE"/>
    <w:rsid w:val="00AD0ECC"/>
    <w:rsid w:val="00AD383C"/>
    <w:rsid w:val="00AE3B0F"/>
    <w:rsid w:val="00AF0394"/>
    <w:rsid w:val="00B15E95"/>
    <w:rsid w:val="00B24246"/>
    <w:rsid w:val="00B33512"/>
    <w:rsid w:val="00B35743"/>
    <w:rsid w:val="00B669DE"/>
    <w:rsid w:val="00B82628"/>
    <w:rsid w:val="00BA684E"/>
    <w:rsid w:val="00BD295D"/>
    <w:rsid w:val="00BE3058"/>
    <w:rsid w:val="00BF110B"/>
    <w:rsid w:val="00BF45F5"/>
    <w:rsid w:val="00C03E1D"/>
    <w:rsid w:val="00C05C38"/>
    <w:rsid w:val="00C076C0"/>
    <w:rsid w:val="00C2346F"/>
    <w:rsid w:val="00C25DCC"/>
    <w:rsid w:val="00C31009"/>
    <w:rsid w:val="00C34C5D"/>
    <w:rsid w:val="00C4442E"/>
    <w:rsid w:val="00C51AF1"/>
    <w:rsid w:val="00C543C3"/>
    <w:rsid w:val="00C55D0C"/>
    <w:rsid w:val="00C55E4B"/>
    <w:rsid w:val="00C65149"/>
    <w:rsid w:val="00C67F72"/>
    <w:rsid w:val="00C72160"/>
    <w:rsid w:val="00C76035"/>
    <w:rsid w:val="00C909C3"/>
    <w:rsid w:val="00C975C9"/>
    <w:rsid w:val="00CD005D"/>
    <w:rsid w:val="00CD1F1A"/>
    <w:rsid w:val="00CD4321"/>
    <w:rsid w:val="00CE6DBF"/>
    <w:rsid w:val="00D01CAA"/>
    <w:rsid w:val="00D1587D"/>
    <w:rsid w:val="00D16B1C"/>
    <w:rsid w:val="00D35CFE"/>
    <w:rsid w:val="00D52E2F"/>
    <w:rsid w:val="00D54562"/>
    <w:rsid w:val="00D66179"/>
    <w:rsid w:val="00D6682A"/>
    <w:rsid w:val="00D8309F"/>
    <w:rsid w:val="00DB4E5A"/>
    <w:rsid w:val="00DC60C5"/>
    <w:rsid w:val="00DD17B0"/>
    <w:rsid w:val="00DD1B8A"/>
    <w:rsid w:val="00DD2EC4"/>
    <w:rsid w:val="00DD622F"/>
    <w:rsid w:val="00DD6BDE"/>
    <w:rsid w:val="00DE01A2"/>
    <w:rsid w:val="00DF19DB"/>
    <w:rsid w:val="00DF4875"/>
    <w:rsid w:val="00E27611"/>
    <w:rsid w:val="00E30787"/>
    <w:rsid w:val="00E325E8"/>
    <w:rsid w:val="00E32C37"/>
    <w:rsid w:val="00E37ECD"/>
    <w:rsid w:val="00E510DF"/>
    <w:rsid w:val="00E771E8"/>
    <w:rsid w:val="00E81A54"/>
    <w:rsid w:val="00E8600E"/>
    <w:rsid w:val="00ED43F4"/>
    <w:rsid w:val="00EE1CB9"/>
    <w:rsid w:val="00EF1DF0"/>
    <w:rsid w:val="00EF3F71"/>
    <w:rsid w:val="00F322D5"/>
    <w:rsid w:val="00F402F3"/>
    <w:rsid w:val="00F50515"/>
    <w:rsid w:val="00F56C4A"/>
    <w:rsid w:val="00F7112D"/>
    <w:rsid w:val="00F84D59"/>
    <w:rsid w:val="00F96E2E"/>
    <w:rsid w:val="00FB209A"/>
    <w:rsid w:val="00FB4FB5"/>
    <w:rsid w:val="00FE0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8BCC1A"/>
  <w15:chartTrackingRefBased/>
  <w15:docId w15:val="{8D0A9A64-1441-1641-962A-22058FA20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0563A"/>
    <w:rPr>
      <w:sz w:val="20"/>
      <w:szCs w:val="20"/>
    </w:rPr>
  </w:style>
  <w:style w:type="character" w:customStyle="1" w:styleId="FootnoteTextChar">
    <w:name w:val="Footnote Text Char"/>
    <w:basedOn w:val="DefaultParagraphFont"/>
    <w:link w:val="FootnoteText"/>
    <w:uiPriority w:val="99"/>
    <w:semiHidden/>
    <w:rsid w:val="0030563A"/>
    <w:rPr>
      <w:sz w:val="20"/>
      <w:szCs w:val="20"/>
    </w:rPr>
  </w:style>
  <w:style w:type="character" w:styleId="FootnoteReference">
    <w:name w:val="footnote reference"/>
    <w:basedOn w:val="DefaultParagraphFont"/>
    <w:uiPriority w:val="99"/>
    <w:semiHidden/>
    <w:unhideWhenUsed/>
    <w:rsid w:val="0030563A"/>
    <w:rPr>
      <w:vertAlign w:val="superscript"/>
    </w:rPr>
  </w:style>
  <w:style w:type="paragraph" w:styleId="Header">
    <w:name w:val="header"/>
    <w:basedOn w:val="Normal"/>
    <w:link w:val="HeaderChar"/>
    <w:uiPriority w:val="99"/>
    <w:unhideWhenUsed/>
    <w:rsid w:val="008C026D"/>
    <w:pPr>
      <w:tabs>
        <w:tab w:val="center" w:pos="4680"/>
        <w:tab w:val="right" w:pos="9360"/>
      </w:tabs>
    </w:pPr>
  </w:style>
  <w:style w:type="character" w:customStyle="1" w:styleId="HeaderChar">
    <w:name w:val="Header Char"/>
    <w:basedOn w:val="DefaultParagraphFont"/>
    <w:link w:val="Header"/>
    <w:uiPriority w:val="99"/>
    <w:rsid w:val="008C026D"/>
  </w:style>
  <w:style w:type="paragraph" w:styleId="Footer">
    <w:name w:val="footer"/>
    <w:basedOn w:val="Normal"/>
    <w:link w:val="FooterChar"/>
    <w:uiPriority w:val="99"/>
    <w:unhideWhenUsed/>
    <w:rsid w:val="008C026D"/>
    <w:pPr>
      <w:tabs>
        <w:tab w:val="center" w:pos="4680"/>
        <w:tab w:val="right" w:pos="9360"/>
      </w:tabs>
    </w:pPr>
  </w:style>
  <w:style w:type="character" w:customStyle="1" w:styleId="FooterChar">
    <w:name w:val="Footer Char"/>
    <w:basedOn w:val="DefaultParagraphFont"/>
    <w:link w:val="Footer"/>
    <w:uiPriority w:val="99"/>
    <w:rsid w:val="008C026D"/>
  </w:style>
  <w:style w:type="character" w:customStyle="1" w:styleId="text">
    <w:name w:val="text"/>
    <w:basedOn w:val="DefaultParagraphFont"/>
    <w:rsid w:val="001B587A"/>
  </w:style>
  <w:style w:type="character" w:customStyle="1" w:styleId="indent-1-breaks">
    <w:name w:val="indent-1-breaks"/>
    <w:basedOn w:val="DefaultParagraphFont"/>
    <w:rsid w:val="001B587A"/>
  </w:style>
  <w:style w:type="paragraph" w:styleId="NormalWeb">
    <w:name w:val="Normal (Web)"/>
    <w:basedOn w:val="Normal"/>
    <w:uiPriority w:val="99"/>
    <w:unhideWhenUsed/>
    <w:rsid w:val="0094492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96F6A"/>
    <w:pPr>
      <w:ind w:left="720"/>
      <w:contextualSpacing/>
    </w:pPr>
  </w:style>
  <w:style w:type="table" w:styleId="TableGrid">
    <w:name w:val="Table Grid"/>
    <w:basedOn w:val="TableNormal"/>
    <w:uiPriority w:val="39"/>
    <w:rsid w:val="00BD29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67B7D"/>
    <w:rPr>
      <w:color w:val="0000FF"/>
      <w:u w:val="single"/>
    </w:rPr>
  </w:style>
  <w:style w:type="character" w:customStyle="1" w:styleId="apple-converted-space">
    <w:name w:val="apple-converted-space"/>
    <w:basedOn w:val="DefaultParagraphFont"/>
    <w:rsid w:val="00067B7D"/>
  </w:style>
  <w:style w:type="character" w:customStyle="1" w:styleId="small-caps">
    <w:name w:val="small-caps"/>
    <w:basedOn w:val="DefaultParagraphFont"/>
    <w:rsid w:val="00067B7D"/>
  </w:style>
  <w:style w:type="paragraph" w:styleId="EndnoteText">
    <w:name w:val="endnote text"/>
    <w:basedOn w:val="Normal"/>
    <w:link w:val="EndnoteTextChar"/>
    <w:uiPriority w:val="99"/>
    <w:semiHidden/>
    <w:unhideWhenUsed/>
    <w:rsid w:val="0019104B"/>
    <w:rPr>
      <w:sz w:val="20"/>
      <w:szCs w:val="20"/>
    </w:rPr>
  </w:style>
  <w:style w:type="character" w:customStyle="1" w:styleId="EndnoteTextChar">
    <w:name w:val="Endnote Text Char"/>
    <w:basedOn w:val="DefaultParagraphFont"/>
    <w:link w:val="EndnoteText"/>
    <w:uiPriority w:val="99"/>
    <w:semiHidden/>
    <w:rsid w:val="0019104B"/>
    <w:rPr>
      <w:sz w:val="20"/>
      <w:szCs w:val="20"/>
    </w:rPr>
  </w:style>
  <w:style w:type="character" w:styleId="EndnoteReference">
    <w:name w:val="endnote reference"/>
    <w:basedOn w:val="DefaultParagraphFont"/>
    <w:uiPriority w:val="99"/>
    <w:semiHidden/>
    <w:unhideWhenUsed/>
    <w:rsid w:val="0019104B"/>
    <w:rPr>
      <w:vertAlign w:val="superscript"/>
    </w:rPr>
  </w:style>
  <w:style w:type="paragraph" w:styleId="Bibliography">
    <w:name w:val="Bibliography"/>
    <w:basedOn w:val="Normal"/>
    <w:next w:val="Normal"/>
    <w:uiPriority w:val="37"/>
    <w:unhideWhenUsed/>
    <w:rsid w:val="004F616F"/>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994058">
      <w:bodyDiv w:val="1"/>
      <w:marLeft w:val="0"/>
      <w:marRight w:val="0"/>
      <w:marTop w:val="0"/>
      <w:marBottom w:val="0"/>
      <w:divBdr>
        <w:top w:val="none" w:sz="0" w:space="0" w:color="auto"/>
        <w:left w:val="none" w:sz="0" w:space="0" w:color="auto"/>
        <w:bottom w:val="none" w:sz="0" w:space="0" w:color="auto"/>
        <w:right w:val="none" w:sz="0" w:space="0" w:color="auto"/>
      </w:divBdr>
      <w:divsChild>
        <w:div w:id="374232421">
          <w:marLeft w:val="0"/>
          <w:marRight w:val="0"/>
          <w:marTop w:val="0"/>
          <w:marBottom w:val="0"/>
          <w:divBdr>
            <w:top w:val="none" w:sz="0" w:space="0" w:color="auto"/>
            <w:left w:val="none" w:sz="0" w:space="0" w:color="auto"/>
            <w:bottom w:val="none" w:sz="0" w:space="0" w:color="auto"/>
            <w:right w:val="none" w:sz="0" w:space="0" w:color="auto"/>
          </w:divBdr>
          <w:divsChild>
            <w:div w:id="118185631">
              <w:marLeft w:val="0"/>
              <w:marRight w:val="0"/>
              <w:marTop w:val="0"/>
              <w:marBottom w:val="0"/>
              <w:divBdr>
                <w:top w:val="none" w:sz="0" w:space="0" w:color="auto"/>
                <w:left w:val="none" w:sz="0" w:space="0" w:color="auto"/>
                <w:bottom w:val="none" w:sz="0" w:space="0" w:color="auto"/>
                <w:right w:val="none" w:sz="0" w:space="0" w:color="auto"/>
              </w:divBdr>
              <w:divsChild>
                <w:div w:id="119407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861140">
      <w:bodyDiv w:val="1"/>
      <w:marLeft w:val="0"/>
      <w:marRight w:val="0"/>
      <w:marTop w:val="0"/>
      <w:marBottom w:val="0"/>
      <w:divBdr>
        <w:top w:val="none" w:sz="0" w:space="0" w:color="auto"/>
        <w:left w:val="none" w:sz="0" w:space="0" w:color="auto"/>
        <w:bottom w:val="none" w:sz="0" w:space="0" w:color="auto"/>
        <w:right w:val="none" w:sz="0" w:space="0" w:color="auto"/>
      </w:divBdr>
      <w:divsChild>
        <w:div w:id="91557152">
          <w:marLeft w:val="0"/>
          <w:marRight w:val="0"/>
          <w:marTop w:val="0"/>
          <w:marBottom w:val="0"/>
          <w:divBdr>
            <w:top w:val="none" w:sz="0" w:space="0" w:color="auto"/>
            <w:left w:val="none" w:sz="0" w:space="0" w:color="auto"/>
            <w:bottom w:val="none" w:sz="0" w:space="0" w:color="auto"/>
            <w:right w:val="none" w:sz="0" w:space="0" w:color="auto"/>
          </w:divBdr>
          <w:divsChild>
            <w:div w:id="910504843">
              <w:marLeft w:val="0"/>
              <w:marRight w:val="0"/>
              <w:marTop w:val="0"/>
              <w:marBottom w:val="0"/>
              <w:divBdr>
                <w:top w:val="none" w:sz="0" w:space="0" w:color="auto"/>
                <w:left w:val="none" w:sz="0" w:space="0" w:color="auto"/>
                <w:bottom w:val="none" w:sz="0" w:space="0" w:color="auto"/>
                <w:right w:val="none" w:sz="0" w:space="0" w:color="auto"/>
              </w:divBdr>
              <w:divsChild>
                <w:div w:id="154082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763104">
      <w:bodyDiv w:val="1"/>
      <w:marLeft w:val="0"/>
      <w:marRight w:val="0"/>
      <w:marTop w:val="0"/>
      <w:marBottom w:val="0"/>
      <w:divBdr>
        <w:top w:val="none" w:sz="0" w:space="0" w:color="auto"/>
        <w:left w:val="none" w:sz="0" w:space="0" w:color="auto"/>
        <w:bottom w:val="none" w:sz="0" w:space="0" w:color="auto"/>
        <w:right w:val="none" w:sz="0" w:space="0" w:color="auto"/>
      </w:divBdr>
      <w:divsChild>
        <w:div w:id="997997746">
          <w:marLeft w:val="0"/>
          <w:marRight w:val="0"/>
          <w:marTop w:val="0"/>
          <w:marBottom w:val="0"/>
          <w:divBdr>
            <w:top w:val="none" w:sz="0" w:space="0" w:color="auto"/>
            <w:left w:val="none" w:sz="0" w:space="0" w:color="auto"/>
            <w:bottom w:val="none" w:sz="0" w:space="0" w:color="auto"/>
            <w:right w:val="none" w:sz="0" w:space="0" w:color="auto"/>
          </w:divBdr>
          <w:divsChild>
            <w:div w:id="1281381023">
              <w:marLeft w:val="0"/>
              <w:marRight w:val="0"/>
              <w:marTop w:val="0"/>
              <w:marBottom w:val="0"/>
              <w:divBdr>
                <w:top w:val="none" w:sz="0" w:space="0" w:color="auto"/>
                <w:left w:val="none" w:sz="0" w:space="0" w:color="auto"/>
                <w:bottom w:val="none" w:sz="0" w:space="0" w:color="auto"/>
                <w:right w:val="none" w:sz="0" w:space="0" w:color="auto"/>
              </w:divBdr>
              <w:divsChild>
                <w:div w:id="37185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775334">
      <w:bodyDiv w:val="1"/>
      <w:marLeft w:val="0"/>
      <w:marRight w:val="0"/>
      <w:marTop w:val="0"/>
      <w:marBottom w:val="0"/>
      <w:divBdr>
        <w:top w:val="none" w:sz="0" w:space="0" w:color="auto"/>
        <w:left w:val="none" w:sz="0" w:space="0" w:color="auto"/>
        <w:bottom w:val="none" w:sz="0" w:space="0" w:color="auto"/>
        <w:right w:val="none" w:sz="0" w:space="0" w:color="auto"/>
      </w:divBdr>
    </w:div>
    <w:div w:id="610891897">
      <w:bodyDiv w:val="1"/>
      <w:marLeft w:val="0"/>
      <w:marRight w:val="0"/>
      <w:marTop w:val="0"/>
      <w:marBottom w:val="0"/>
      <w:divBdr>
        <w:top w:val="none" w:sz="0" w:space="0" w:color="auto"/>
        <w:left w:val="none" w:sz="0" w:space="0" w:color="auto"/>
        <w:bottom w:val="none" w:sz="0" w:space="0" w:color="auto"/>
        <w:right w:val="none" w:sz="0" w:space="0" w:color="auto"/>
      </w:divBdr>
    </w:div>
    <w:div w:id="1023937816">
      <w:bodyDiv w:val="1"/>
      <w:marLeft w:val="0"/>
      <w:marRight w:val="0"/>
      <w:marTop w:val="0"/>
      <w:marBottom w:val="0"/>
      <w:divBdr>
        <w:top w:val="none" w:sz="0" w:space="0" w:color="auto"/>
        <w:left w:val="none" w:sz="0" w:space="0" w:color="auto"/>
        <w:bottom w:val="none" w:sz="0" w:space="0" w:color="auto"/>
        <w:right w:val="none" w:sz="0" w:space="0" w:color="auto"/>
      </w:divBdr>
    </w:div>
    <w:div w:id="1342119897">
      <w:bodyDiv w:val="1"/>
      <w:marLeft w:val="0"/>
      <w:marRight w:val="0"/>
      <w:marTop w:val="0"/>
      <w:marBottom w:val="0"/>
      <w:divBdr>
        <w:top w:val="none" w:sz="0" w:space="0" w:color="auto"/>
        <w:left w:val="none" w:sz="0" w:space="0" w:color="auto"/>
        <w:bottom w:val="none" w:sz="0" w:space="0" w:color="auto"/>
        <w:right w:val="none" w:sz="0" w:space="0" w:color="auto"/>
      </w:divBdr>
    </w:div>
    <w:div w:id="1811822454">
      <w:bodyDiv w:val="1"/>
      <w:marLeft w:val="0"/>
      <w:marRight w:val="0"/>
      <w:marTop w:val="0"/>
      <w:marBottom w:val="0"/>
      <w:divBdr>
        <w:top w:val="none" w:sz="0" w:space="0" w:color="auto"/>
        <w:left w:val="none" w:sz="0" w:space="0" w:color="auto"/>
        <w:bottom w:val="none" w:sz="0" w:space="0" w:color="auto"/>
        <w:right w:val="none" w:sz="0" w:space="0" w:color="auto"/>
      </w:divBdr>
    </w:div>
    <w:div w:id="1942832294">
      <w:bodyDiv w:val="1"/>
      <w:marLeft w:val="0"/>
      <w:marRight w:val="0"/>
      <w:marTop w:val="0"/>
      <w:marBottom w:val="0"/>
      <w:divBdr>
        <w:top w:val="none" w:sz="0" w:space="0" w:color="auto"/>
        <w:left w:val="none" w:sz="0" w:space="0" w:color="auto"/>
        <w:bottom w:val="none" w:sz="0" w:space="0" w:color="auto"/>
        <w:right w:val="none" w:sz="0" w:space="0" w:color="auto"/>
      </w:divBdr>
    </w:div>
    <w:div w:id="2140416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ref.ly/logosres/cstonecm09sa?ref=Page.p+9&amp;off=2414&amp;ctx=eriod+is+the+book%E2%80%99s+~focus+on+the+themes+" TargetMode="External"/><Relationship Id="rId2" Type="http://schemas.openxmlformats.org/officeDocument/2006/relationships/hyperlink" Target="https://ref.ly/logosres/davidstruth?ref=Page.p+26&amp;off=1361&amp;ctx=nly+a+contrast%2c+but+~a+singular+focus+on+" TargetMode="External"/><Relationship Id="rId1" Type="http://schemas.openxmlformats.org/officeDocument/2006/relationships/hyperlink" Target="https://ref.ly/logosres/wbc19rev?ref=BibleBHS.Ps37.1-40" TargetMode="External"/><Relationship Id="rId4" Type="http://schemas.openxmlformats.org/officeDocument/2006/relationships/hyperlink" Target="https://ref.ly/logosres/commchroncomm?ref=Page.p+57&amp;off=794&amp;ctx=ll+contributed+to+a+~reassessment+of+Is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AD3F168-D200-8949-9832-A7A790DCC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16</Pages>
  <Words>4076</Words>
  <Characters>21237</Characters>
  <Application>Microsoft Office Word</Application>
  <DocSecurity>0</DocSecurity>
  <Lines>372</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Spenceley</dc:creator>
  <cp:keywords/>
  <dc:description/>
  <cp:lastModifiedBy>Douglas Spenceley</cp:lastModifiedBy>
  <cp:revision>4</cp:revision>
  <cp:lastPrinted>2021-08-21T09:22:00Z</cp:lastPrinted>
  <dcterms:created xsi:type="dcterms:W3CDTF">2021-08-21T05:30:00Z</dcterms:created>
  <dcterms:modified xsi:type="dcterms:W3CDTF">2021-08-21T09:47:00Z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zotero-version="5.0.97-beta.37+ddc7be75c"&gt;&lt;session id="xOSBpB8J"/&gt;&lt;style id="http://www.zotero.org/styles/chicago-fullnote-bibliography" locale="en-GB" hasBibliography="1" bibliographyStyleHasBeenSet="1"/&gt;&lt;prefs&gt;&lt;pref name="fieldTyp</vt:lpwstr>
  </property>
  <property fmtid="{D5CDD505-2E9C-101B-9397-08002B2CF9AE}" pid="3" name="ZOTERO_PREF_2">
    <vt:lpwstr>e" value="Field"/&gt;&lt;pref name="automaticJournalAbbreviations" value="true"/&gt;&lt;pref name="noteType" value="1"/&gt;&lt;/prefs&gt;&lt;/data&gt;</vt:lpwstr>
  </property>
</Properties>
</file>