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5649502"/>
        <w:docPartObj>
          <w:docPartGallery w:val="Cover Pages"/>
          <w:docPartUnique/>
        </w:docPartObj>
      </w:sdtPr>
      <w:sdtEndPr>
        <w:rPr>
          <w:rFonts w:ascii="Times New Roman" w:hAnsi="Times New Roman" w:cs="Times New Roman"/>
          <w:b/>
          <w:bCs/>
          <w:u w:val="single"/>
        </w:rPr>
      </w:sdtEndPr>
      <w:sdtContent>
        <w:p w14:paraId="2CCD3F4E" w14:textId="0BBF88FE" w:rsidR="00702CD2" w:rsidRDefault="00702CD2"/>
        <w:p w14:paraId="58747A7E" w14:textId="461389D8"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Student name:</w:t>
          </w:r>
          <w:r w:rsidR="0005107A">
            <w:rPr>
              <w:rFonts w:ascii="Times New Roman" w:hAnsi="Times New Roman" w:cs="Times New Roman"/>
              <w:b/>
              <w:bCs/>
              <w:sz w:val="56"/>
              <w:szCs w:val="56"/>
              <w:u w:val="single"/>
            </w:rPr>
            <w:t xml:space="preserve"> Cristina Tocila</w:t>
          </w:r>
          <w:r w:rsidRPr="00702CD2">
            <w:rPr>
              <w:rFonts w:ascii="Times New Roman" w:hAnsi="Times New Roman" w:cs="Times New Roman"/>
              <w:b/>
              <w:bCs/>
              <w:sz w:val="56"/>
              <w:szCs w:val="56"/>
              <w:u w:val="single"/>
            </w:rPr>
            <w:t xml:space="preserve"> </w:t>
          </w:r>
        </w:p>
        <w:p w14:paraId="078C16FB"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Programme: Business </w:t>
          </w:r>
        </w:p>
        <w:p w14:paraId="245A618B"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Module: The Changing Business Environment </w:t>
          </w:r>
        </w:p>
        <w:p w14:paraId="2BA886A9" w14:textId="02BBECA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Module code: BMBM4010 </w:t>
          </w:r>
        </w:p>
        <w:p w14:paraId="7B42BFE2"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Lecturer: Zoe Williams </w:t>
          </w:r>
        </w:p>
        <w:p w14:paraId="4AC82DAC"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James Moore </w:t>
          </w:r>
        </w:p>
        <w:p w14:paraId="7C8D00F6"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Internal Verifier: Robyn Griffiths </w:t>
          </w:r>
        </w:p>
        <w:p w14:paraId="486AE9A2"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Assignment Title: Discuss the challenges faced by an </w:t>
          </w:r>
        </w:p>
        <w:p w14:paraId="4891C6E4"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expanding business in the current </w:t>
          </w:r>
        </w:p>
        <w:p w14:paraId="1B87E6E8" w14:textId="77777777" w:rsidR="00702CD2" w:rsidRPr="00702CD2" w:rsidRDefault="00702CD2" w:rsidP="00702CD2">
          <w:pPr>
            <w:rPr>
              <w:rFonts w:ascii="Times New Roman" w:hAnsi="Times New Roman" w:cs="Times New Roman"/>
              <w:b/>
              <w:bCs/>
              <w:sz w:val="56"/>
              <w:szCs w:val="56"/>
              <w:u w:val="single"/>
            </w:rPr>
          </w:pPr>
          <w:r w:rsidRPr="00702CD2">
            <w:rPr>
              <w:rFonts w:ascii="Times New Roman" w:hAnsi="Times New Roman" w:cs="Times New Roman"/>
              <w:b/>
              <w:bCs/>
              <w:sz w:val="56"/>
              <w:szCs w:val="56"/>
              <w:u w:val="single"/>
            </w:rPr>
            <w:t xml:space="preserve">economic environment </w:t>
          </w:r>
        </w:p>
        <w:p w14:paraId="73F9E9D0" w14:textId="0E516C07" w:rsidR="00702CD2" w:rsidRDefault="00702CD2" w:rsidP="00702CD2">
          <w:pPr>
            <w:rPr>
              <w:rFonts w:ascii="Times New Roman" w:hAnsi="Times New Roman" w:cs="Times New Roman"/>
              <w:b/>
              <w:bCs/>
              <w:u w:val="single"/>
            </w:rPr>
          </w:pPr>
          <w:r w:rsidRPr="00702CD2">
            <w:rPr>
              <w:rFonts w:ascii="Times New Roman" w:hAnsi="Times New Roman" w:cs="Times New Roman"/>
              <w:b/>
              <w:bCs/>
              <w:sz w:val="56"/>
              <w:szCs w:val="56"/>
              <w:u w:val="single"/>
            </w:rPr>
            <w:t>Submission deadline: 17:00 1st April 2026</w:t>
          </w:r>
          <w:r w:rsidRPr="00702CD2">
            <w:rPr>
              <w:rFonts w:ascii="Times New Roman" w:hAnsi="Times New Roman" w:cs="Times New Roman"/>
              <w:b/>
              <w:bCs/>
              <w:u w:val="single"/>
            </w:rPr>
            <w:t xml:space="preserve"> </w:t>
          </w:r>
          <w:r>
            <w:rPr>
              <w:rFonts w:ascii="Times New Roman" w:hAnsi="Times New Roman" w:cs="Times New Roman"/>
              <w:b/>
              <w:bCs/>
              <w:u w:val="single"/>
            </w:rPr>
            <w:br w:type="page"/>
          </w:r>
        </w:p>
      </w:sdtContent>
    </w:sdt>
    <w:p w14:paraId="0B3407B4" w14:textId="05C865E6" w:rsidR="00BB2BB5" w:rsidRPr="00BB2BB5" w:rsidRDefault="00BB2BB5"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lastRenderedPageBreak/>
        <w:t>Introduction</w:t>
      </w:r>
    </w:p>
    <w:p w14:paraId="7935C337" w14:textId="3D9B55B6" w:rsidR="00DD10B3" w:rsidRDefault="00DD10B3" w:rsidP="00DD10B3">
      <w:pPr>
        <w:spacing w:line="360" w:lineRule="auto"/>
        <w:rPr>
          <w:rFonts w:ascii="Times New Roman" w:hAnsi="Times New Roman" w:cs="Times New Roman"/>
        </w:rPr>
      </w:pPr>
      <w:r w:rsidRPr="00DD10B3">
        <w:rPr>
          <w:rFonts w:ascii="Times New Roman" w:hAnsi="Times New Roman" w:cs="Times New Roman"/>
        </w:rPr>
        <w:t>The case of Barclays Bank illustrates well how rapidly changing the business environment is affecting the banking sector and why an analysis of Barclays Bank through a variety of lenses helps inform our thinking about the current state of banking today. While most businesses can respond slowly and over time to outside factors affecting them</w:t>
      </w:r>
      <w:r>
        <w:rPr>
          <w:rFonts w:ascii="Times New Roman" w:hAnsi="Times New Roman" w:cs="Times New Roman"/>
        </w:rPr>
        <w:t>,</w:t>
      </w:r>
      <w:r w:rsidRPr="00DD10B3">
        <w:rPr>
          <w:rFonts w:ascii="Times New Roman" w:hAnsi="Times New Roman" w:cs="Times New Roman"/>
        </w:rPr>
        <w:t xml:space="preserve"> such as legislative changes in public policy or evolving financial reporting standards</w:t>
      </w:r>
      <w:r>
        <w:rPr>
          <w:rFonts w:ascii="Times New Roman" w:hAnsi="Times New Roman" w:cs="Times New Roman"/>
        </w:rPr>
        <w:t>,</w:t>
      </w:r>
      <w:r w:rsidRPr="00DD10B3">
        <w:rPr>
          <w:rFonts w:ascii="Times New Roman" w:hAnsi="Times New Roman" w:cs="Times New Roman"/>
        </w:rPr>
        <w:t xml:space="preserve"> banks have been particularly susceptible to the effects of rapidly changing outside forces</w:t>
      </w:r>
      <w:r>
        <w:rPr>
          <w:rFonts w:ascii="Times New Roman" w:hAnsi="Times New Roman" w:cs="Times New Roman"/>
        </w:rPr>
        <w:t>,</w:t>
      </w:r>
      <w:r w:rsidRPr="00DD10B3">
        <w:rPr>
          <w:rFonts w:ascii="Times New Roman" w:hAnsi="Times New Roman" w:cs="Times New Roman"/>
        </w:rPr>
        <w:t xml:space="preserve"> including those related to increased consumer confidence due to digital banking infrastructure and the risks of technology disrupting banks' business models. Therefore, banks are not just players within the current business environment; they are the channels through which many of these outside forces impact the overall economy. Consequently, Barclays Bank provides an excellent example for critical analysis rather than merely descriptive analysis.</w:t>
      </w:r>
    </w:p>
    <w:p w14:paraId="3C79BCB2" w14:textId="77777777" w:rsidR="00DD10B3" w:rsidRDefault="00DD10B3" w:rsidP="00DD10B3">
      <w:pPr>
        <w:spacing w:line="360" w:lineRule="auto"/>
        <w:rPr>
          <w:rFonts w:ascii="Times New Roman" w:hAnsi="Times New Roman" w:cs="Times New Roman"/>
        </w:rPr>
      </w:pPr>
      <w:r w:rsidRPr="00DD10B3">
        <w:rPr>
          <w:rFonts w:ascii="Times New Roman" w:hAnsi="Times New Roman" w:cs="Times New Roman"/>
        </w:rPr>
        <w:t>Also, Barclays Bank provides an opportunity to show that banks' ability to adapt to their challenges is evolving beyond that of competing with other banks. With changing international economic conditions, changing international regulatory systems, and the changing expectations from consumers regarding banks' accountability and sustainability practices, banks are now required to assess the overall viability of their traditional banking models as they look to the long-term implications of the post-Brexit environment</w:t>
      </w:r>
      <w:r>
        <w:rPr>
          <w:rFonts w:ascii="Times New Roman" w:hAnsi="Times New Roman" w:cs="Times New Roman"/>
        </w:rPr>
        <w:t>,</w:t>
      </w:r>
      <w:r w:rsidRPr="00DD10B3">
        <w:rPr>
          <w:rFonts w:ascii="Times New Roman" w:hAnsi="Times New Roman" w:cs="Times New Roman"/>
        </w:rPr>
        <w:t xml:space="preserve"> as well as increasing global competition.</w:t>
      </w:r>
    </w:p>
    <w:p w14:paraId="5E3B2ADC" w14:textId="2548DDF8"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Barclays Bank has made important progress towards adapting its existing structure to be better positioned to meet the expectations of both current investors and potential investors</w:t>
      </w:r>
      <w:r>
        <w:rPr>
          <w:rFonts w:ascii="Times New Roman" w:hAnsi="Times New Roman" w:cs="Times New Roman"/>
        </w:rPr>
        <w:t>,</w:t>
      </w:r>
      <w:r w:rsidRPr="00DD10B3">
        <w:rPr>
          <w:rFonts w:ascii="Times New Roman" w:hAnsi="Times New Roman" w:cs="Times New Roman"/>
        </w:rPr>
        <w:t xml:space="preserve"> as evidenced by its four new divisions (UK Consumer Banking; Private Banking and Wealth Management; Global Markets and Online Banking; and US Consumer Banking). Barclays Bank's post-Brexit strategy includes reducing product lines, repricing existing products, improving the bank's profitability, and working to restore consumer and investor trust.</w:t>
      </w:r>
    </w:p>
    <w:p w14:paraId="47D236F1" w14:textId="569D87F5"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Overall, Barclays Bank has acknowledged that the changing climate of the business environment will require significant investments in their businesses and has responded to this issue through visible action; however, their level of adaptation is still very uneven. The Institution has advanced to digital activity, strategic restructuring, and new ways of attracting customers</w:t>
      </w:r>
      <w:r>
        <w:rPr>
          <w:rFonts w:ascii="Times New Roman" w:hAnsi="Times New Roman" w:cs="Times New Roman"/>
        </w:rPr>
        <w:t xml:space="preserve">, </w:t>
      </w:r>
      <w:r w:rsidRPr="00DD10B3">
        <w:rPr>
          <w:rFonts w:ascii="Times New Roman" w:hAnsi="Times New Roman" w:cs="Times New Roman"/>
        </w:rPr>
        <w:t xml:space="preserve">but most responses to change still seem more reactive than transformational. Though Barclays is improving on technology while being more selective in strategy, </w:t>
      </w:r>
      <w:r>
        <w:rPr>
          <w:rFonts w:ascii="Times New Roman" w:hAnsi="Times New Roman" w:cs="Times New Roman"/>
        </w:rPr>
        <w:t>its</w:t>
      </w:r>
      <w:r w:rsidRPr="00DD10B3">
        <w:rPr>
          <w:rFonts w:ascii="Times New Roman" w:hAnsi="Times New Roman" w:cs="Times New Roman"/>
        </w:rPr>
        <w:t xml:space="preserve"> efforts do not necessarily suggest they have addressed some of </w:t>
      </w:r>
      <w:r w:rsidR="004577AB">
        <w:rPr>
          <w:rFonts w:ascii="Times New Roman" w:hAnsi="Times New Roman" w:cs="Times New Roman"/>
        </w:rPr>
        <w:t>its</w:t>
      </w:r>
      <w:r w:rsidRPr="00DD10B3">
        <w:rPr>
          <w:rFonts w:ascii="Times New Roman" w:hAnsi="Times New Roman" w:cs="Times New Roman"/>
        </w:rPr>
        <w:t xml:space="preserve"> longstanding issues</w:t>
      </w:r>
      <w:r w:rsidR="004577AB">
        <w:rPr>
          <w:rFonts w:ascii="Times New Roman" w:hAnsi="Times New Roman" w:cs="Times New Roman"/>
        </w:rPr>
        <w:t xml:space="preserve">, </w:t>
      </w:r>
      <w:r w:rsidRPr="00DD10B3">
        <w:rPr>
          <w:rFonts w:ascii="Times New Roman" w:hAnsi="Times New Roman" w:cs="Times New Roman"/>
        </w:rPr>
        <w:lastRenderedPageBreak/>
        <w:t>including trust, regulation, sustainability, and consistent business models. What is important to find out is not if Barclays is changing but whether their changes can successfully compete with the post-Brexit banking environment</w:t>
      </w:r>
      <w:r w:rsidR="004577AB">
        <w:rPr>
          <w:rFonts w:ascii="Times New Roman" w:hAnsi="Times New Roman" w:cs="Times New Roman"/>
        </w:rPr>
        <w:t>,</w:t>
      </w:r>
      <w:r w:rsidRPr="00DD10B3">
        <w:rPr>
          <w:rFonts w:ascii="Times New Roman" w:hAnsi="Times New Roman" w:cs="Times New Roman"/>
        </w:rPr>
        <w:t xml:space="preserve"> increased technology competition from fintechs</w:t>
      </w:r>
      <w:r w:rsidR="004577AB">
        <w:rPr>
          <w:rFonts w:ascii="Times New Roman" w:hAnsi="Times New Roman" w:cs="Times New Roman"/>
        </w:rPr>
        <w:t>,</w:t>
      </w:r>
      <w:r w:rsidRPr="00DD10B3">
        <w:rPr>
          <w:rFonts w:ascii="Times New Roman" w:hAnsi="Times New Roman" w:cs="Times New Roman"/>
        </w:rPr>
        <w:t xml:space="preserve"> and the growing demands for a socially responsible banking industry.</w:t>
      </w:r>
    </w:p>
    <w:p w14:paraId="2359CDE5" w14:textId="506999E8" w:rsidR="00DD10B3" w:rsidRPr="00DD10B3" w:rsidRDefault="004577AB" w:rsidP="00DD10B3">
      <w:pPr>
        <w:spacing w:line="360" w:lineRule="auto"/>
        <w:rPr>
          <w:rFonts w:ascii="Times New Roman" w:hAnsi="Times New Roman" w:cs="Times New Roman"/>
        </w:rPr>
      </w:pPr>
      <w:r>
        <w:rPr>
          <w:rFonts w:ascii="Times New Roman" w:hAnsi="Times New Roman" w:cs="Times New Roman"/>
        </w:rPr>
        <w:t>T</w:t>
      </w:r>
      <w:r w:rsidR="00DD10B3" w:rsidRPr="00DD10B3">
        <w:rPr>
          <w:rFonts w:ascii="Times New Roman" w:hAnsi="Times New Roman" w:cs="Times New Roman"/>
        </w:rPr>
        <w:t xml:space="preserve">his </w:t>
      </w:r>
      <w:r>
        <w:rPr>
          <w:rFonts w:ascii="Times New Roman" w:hAnsi="Times New Roman" w:cs="Times New Roman"/>
        </w:rPr>
        <w:t xml:space="preserve">essay </w:t>
      </w:r>
      <w:r w:rsidR="00DD10B3" w:rsidRPr="00DD10B3">
        <w:rPr>
          <w:rFonts w:ascii="Times New Roman" w:hAnsi="Times New Roman" w:cs="Times New Roman"/>
        </w:rPr>
        <w:t>will first clarify what is meant by the business environment; then</w:t>
      </w:r>
      <w:r>
        <w:rPr>
          <w:rFonts w:ascii="Times New Roman" w:hAnsi="Times New Roman" w:cs="Times New Roman"/>
        </w:rPr>
        <w:t>,</w:t>
      </w:r>
      <w:r w:rsidR="00DD10B3" w:rsidRPr="00DD10B3">
        <w:rPr>
          <w:rFonts w:ascii="Times New Roman" w:hAnsi="Times New Roman" w:cs="Times New Roman"/>
        </w:rPr>
        <w:t xml:space="preserve"> </w:t>
      </w:r>
      <w:r>
        <w:rPr>
          <w:rFonts w:ascii="Times New Roman" w:hAnsi="Times New Roman" w:cs="Times New Roman"/>
        </w:rPr>
        <w:t xml:space="preserve">it </w:t>
      </w:r>
      <w:r w:rsidR="00DD10B3" w:rsidRPr="00DD10B3">
        <w:rPr>
          <w:rFonts w:ascii="Times New Roman" w:hAnsi="Times New Roman" w:cs="Times New Roman"/>
        </w:rPr>
        <w:t>will delineate the external analysis of Barclays Bank using PESTLE; and finally</w:t>
      </w:r>
      <w:r>
        <w:rPr>
          <w:rFonts w:ascii="Times New Roman" w:hAnsi="Times New Roman" w:cs="Times New Roman"/>
        </w:rPr>
        <w:t>,</w:t>
      </w:r>
      <w:r w:rsidR="00DD10B3" w:rsidRPr="00DD10B3">
        <w:rPr>
          <w:rFonts w:ascii="Times New Roman" w:hAnsi="Times New Roman" w:cs="Times New Roman"/>
        </w:rPr>
        <w:t xml:space="preserve"> </w:t>
      </w:r>
      <w:r>
        <w:rPr>
          <w:rFonts w:ascii="Times New Roman" w:hAnsi="Times New Roman" w:cs="Times New Roman"/>
        </w:rPr>
        <w:t xml:space="preserve">it </w:t>
      </w:r>
      <w:r w:rsidR="00DD10B3" w:rsidRPr="00DD10B3">
        <w:rPr>
          <w:rFonts w:ascii="Times New Roman" w:hAnsi="Times New Roman" w:cs="Times New Roman"/>
        </w:rPr>
        <w:t>will evaluate Barclays Bank's strategic response to defining issues/pressures</w:t>
      </w:r>
      <w:r>
        <w:rPr>
          <w:rFonts w:ascii="Times New Roman" w:hAnsi="Times New Roman" w:cs="Times New Roman"/>
        </w:rPr>
        <w:t xml:space="preserve"> </w:t>
      </w:r>
      <w:r w:rsidR="00DD10B3" w:rsidRPr="00DD10B3">
        <w:rPr>
          <w:rFonts w:ascii="Times New Roman" w:hAnsi="Times New Roman" w:cs="Times New Roman"/>
        </w:rPr>
        <w:t>by offering recommendations.</w:t>
      </w:r>
    </w:p>
    <w:p w14:paraId="797C7A75" w14:textId="77777777" w:rsidR="00DD10B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What Is the Business Environment?</w:t>
      </w:r>
    </w:p>
    <w:p w14:paraId="569B3389" w14:textId="77777777" w:rsidR="00060CBA"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The business environment includes all the </w:t>
      </w:r>
      <w:r w:rsidR="004577AB">
        <w:rPr>
          <w:rFonts w:ascii="Times New Roman" w:hAnsi="Times New Roman" w:cs="Times New Roman"/>
        </w:rPr>
        <w:t>external</w:t>
      </w:r>
      <w:r w:rsidRPr="00DD10B3">
        <w:rPr>
          <w:rFonts w:ascii="Times New Roman" w:hAnsi="Times New Roman" w:cs="Times New Roman"/>
        </w:rPr>
        <w:t xml:space="preserve"> situations, conditions, and relationships that influence an </w:t>
      </w:r>
      <w:r w:rsidR="004577AB">
        <w:rPr>
          <w:rFonts w:ascii="Times New Roman" w:hAnsi="Times New Roman" w:cs="Times New Roman"/>
        </w:rPr>
        <w:t>organisation's</w:t>
      </w:r>
      <w:r w:rsidRPr="00DD10B3">
        <w:rPr>
          <w:rFonts w:ascii="Times New Roman" w:hAnsi="Times New Roman" w:cs="Times New Roman"/>
        </w:rPr>
        <w:t xml:space="preserve"> operation, competition, and </w:t>
      </w:r>
      <w:r w:rsidR="004577AB" w:rsidRPr="00DD10B3">
        <w:rPr>
          <w:rFonts w:ascii="Times New Roman" w:hAnsi="Times New Roman" w:cs="Times New Roman"/>
        </w:rPr>
        <w:t>survival,</w:t>
      </w:r>
      <w:r w:rsidRPr="00DD10B3">
        <w:rPr>
          <w:rFonts w:ascii="Times New Roman" w:hAnsi="Times New Roman" w:cs="Times New Roman"/>
        </w:rPr>
        <w:t xml:space="preserve"> i.e. they </w:t>
      </w:r>
      <w:r w:rsidR="004577AB" w:rsidRPr="00DD10B3">
        <w:rPr>
          <w:rFonts w:ascii="Times New Roman" w:hAnsi="Times New Roman" w:cs="Times New Roman"/>
        </w:rPr>
        <w:t>include</w:t>
      </w:r>
      <w:r w:rsidRPr="00DD10B3">
        <w:rPr>
          <w:rFonts w:ascii="Times New Roman" w:hAnsi="Times New Roman" w:cs="Times New Roman"/>
        </w:rPr>
        <w:t xml:space="preserve"> political interference, economic conditions, technology transfer, legal requirements, social expectations, and environmental issues. Entrepreneurs can neither directly control these factors</w:t>
      </w:r>
      <w:r w:rsidR="00060CBA">
        <w:rPr>
          <w:rFonts w:ascii="Times New Roman" w:hAnsi="Times New Roman" w:cs="Times New Roman"/>
        </w:rPr>
        <w:t>,</w:t>
      </w:r>
      <w:r w:rsidRPr="00DD10B3">
        <w:rPr>
          <w:rFonts w:ascii="Times New Roman" w:hAnsi="Times New Roman" w:cs="Times New Roman"/>
        </w:rPr>
        <w:t xml:space="preserve"> but as an entrepreneur, </w:t>
      </w:r>
      <w:r w:rsidR="00060CBA">
        <w:rPr>
          <w:rFonts w:ascii="Times New Roman" w:hAnsi="Times New Roman" w:cs="Times New Roman"/>
        </w:rPr>
        <w:t>their</w:t>
      </w:r>
      <w:r w:rsidRPr="00DD10B3">
        <w:rPr>
          <w:rFonts w:ascii="Times New Roman" w:hAnsi="Times New Roman" w:cs="Times New Roman"/>
        </w:rPr>
        <w:t xml:space="preserve"> business must adapt to their presence </w:t>
      </w:r>
      <w:r w:rsidR="00060CBA" w:rsidRPr="00DD10B3">
        <w:rPr>
          <w:rFonts w:ascii="Times New Roman" w:hAnsi="Times New Roman" w:cs="Times New Roman"/>
        </w:rPr>
        <w:t>to</w:t>
      </w:r>
      <w:r w:rsidRPr="00DD10B3">
        <w:rPr>
          <w:rFonts w:ascii="Times New Roman" w:hAnsi="Times New Roman" w:cs="Times New Roman"/>
        </w:rPr>
        <w:t xml:space="preserve"> continue operating successfully and sustain their legitimacy. This is particularly true in banking</w:t>
      </w:r>
      <w:r w:rsidR="00060CBA">
        <w:rPr>
          <w:rFonts w:ascii="Times New Roman" w:hAnsi="Times New Roman" w:cs="Times New Roman"/>
        </w:rPr>
        <w:t xml:space="preserve">, </w:t>
      </w:r>
      <w:r w:rsidRPr="00DD10B3">
        <w:rPr>
          <w:rFonts w:ascii="Times New Roman" w:hAnsi="Times New Roman" w:cs="Times New Roman"/>
        </w:rPr>
        <w:t xml:space="preserve">where banks are institutionally rooted. Banks rely upon functioning within a highly regulated system, and their success/continuance/happiness </w:t>
      </w:r>
      <w:r w:rsidR="00060CBA">
        <w:rPr>
          <w:rFonts w:ascii="Times New Roman" w:hAnsi="Times New Roman" w:cs="Times New Roman"/>
        </w:rPr>
        <w:t>are</w:t>
      </w:r>
      <w:r w:rsidRPr="00DD10B3">
        <w:rPr>
          <w:rFonts w:ascii="Times New Roman" w:hAnsi="Times New Roman" w:cs="Times New Roman"/>
        </w:rPr>
        <w:t xml:space="preserve"> based on public trust and confidence; while banks </w:t>
      </w:r>
      <w:r w:rsidR="00060CBA">
        <w:rPr>
          <w:rFonts w:ascii="Times New Roman" w:hAnsi="Times New Roman" w:cs="Times New Roman"/>
        </w:rPr>
        <w:t xml:space="preserve">cannot </w:t>
      </w:r>
      <w:r w:rsidRPr="00DD10B3">
        <w:rPr>
          <w:rFonts w:ascii="Times New Roman" w:hAnsi="Times New Roman" w:cs="Times New Roman"/>
        </w:rPr>
        <w:t>control the quality of the digital (e.g., Internet) or financial (e.g., banks) infrastructure in which they function. Thus, the business environment is the backdrop or institutional regulatory framework through which banks create value, manage risk, and account for their social role(s) in society (Cromwell and Peprah, 2025).</w:t>
      </w:r>
      <w:r w:rsidR="00060CBA">
        <w:rPr>
          <w:rFonts w:ascii="Times New Roman" w:hAnsi="Times New Roman" w:cs="Times New Roman"/>
        </w:rPr>
        <w:t xml:space="preserve"> </w:t>
      </w:r>
      <w:r w:rsidRPr="00DD10B3">
        <w:rPr>
          <w:rFonts w:ascii="Times New Roman" w:hAnsi="Times New Roman" w:cs="Times New Roman"/>
        </w:rPr>
        <w:t>For a proper understanding of the commercial environment, it is important to understand that adaptation is not just a technical issue. The impacts of the environmental shifts are going to be felt primarily in the technical aspect of banking first</w:t>
      </w:r>
      <w:r w:rsidR="00060CBA">
        <w:rPr>
          <w:rFonts w:ascii="Times New Roman" w:hAnsi="Times New Roman" w:cs="Times New Roman"/>
        </w:rPr>
        <w:t>,</w:t>
      </w:r>
      <w:r w:rsidRPr="00DD10B3">
        <w:rPr>
          <w:rFonts w:ascii="Times New Roman" w:hAnsi="Times New Roman" w:cs="Times New Roman"/>
        </w:rPr>
        <w:t xml:space="preserve"> with things like digitisation, payments innovation</w:t>
      </w:r>
      <w:r w:rsidR="00060CBA">
        <w:rPr>
          <w:rFonts w:ascii="Times New Roman" w:hAnsi="Times New Roman" w:cs="Times New Roman"/>
        </w:rPr>
        <w:t>,</w:t>
      </w:r>
      <w:r w:rsidRPr="00DD10B3">
        <w:rPr>
          <w:rFonts w:ascii="Times New Roman" w:hAnsi="Times New Roman" w:cs="Times New Roman"/>
        </w:rPr>
        <w:t xml:space="preserve"> and the regulations banks must comply with. The banks have dramatically changed their infrastructure since implementing digital finance. The implementation of digital finance has fundamentally altered how customers expect to obtain access to finance and therefore has forced major changes in strategy due to changing customer demand and the way that finance is accessed, served and competed for. Furthermore, sustainable banking has become part of the banking strategy and now affects how banks are also evaluated based </w:t>
      </w:r>
      <w:r w:rsidR="00060CBA">
        <w:rPr>
          <w:rFonts w:ascii="Times New Roman" w:hAnsi="Times New Roman" w:cs="Times New Roman"/>
        </w:rPr>
        <w:t>on</w:t>
      </w:r>
      <w:r w:rsidRPr="00DD10B3">
        <w:rPr>
          <w:rFonts w:ascii="Times New Roman" w:hAnsi="Times New Roman" w:cs="Times New Roman"/>
        </w:rPr>
        <w:t xml:space="preserve"> the </w:t>
      </w:r>
      <w:r w:rsidR="00060CBA" w:rsidRPr="00DD10B3">
        <w:rPr>
          <w:rFonts w:ascii="Times New Roman" w:hAnsi="Times New Roman" w:cs="Times New Roman"/>
        </w:rPr>
        <w:t>way</w:t>
      </w:r>
      <w:r w:rsidRPr="00DD10B3">
        <w:rPr>
          <w:rFonts w:ascii="Times New Roman" w:hAnsi="Times New Roman" w:cs="Times New Roman"/>
        </w:rPr>
        <w:t xml:space="preserve"> they evaluate credit risk, invest, and look at </w:t>
      </w:r>
      <w:r w:rsidR="00060CBA">
        <w:rPr>
          <w:rFonts w:ascii="Times New Roman" w:hAnsi="Times New Roman" w:cs="Times New Roman"/>
        </w:rPr>
        <w:t>long-term</w:t>
      </w:r>
      <w:r w:rsidRPr="00DD10B3">
        <w:rPr>
          <w:rFonts w:ascii="Times New Roman" w:hAnsi="Times New Roman" w:cs="Times New Roman"/>
        </w:rPr>
        <w:t xml:space="preserve"> systemic risk. Thus, in addition to the operational performance of banks, the external environment is also a </w:t>
      </w:r>
      <w:r w:rsidRPr="00DD10B3">
        <w:rPr>
          <w:rFonts w:ascii="Times New Roman" w:hAnsi="Times New Roman" w:cs="Times New Roman"/>
        </w:rPr>
        <w:lastRenderedPageBreak/>
        <w:t>determinant of how banks determine how to define their competitive position (Li, Wang &amp; Deng, 2024).</w:t>
      </w:r>
    </w:p>
    <w:p w14:paraId="3403A0D1" w14:textId="46AFA551"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The PESTLE analysis encompasses pressures being imposed on Barclays Bank. In addition to the traditional political, economic and legal pressures existing for banking &amp; non-banking respectively</w:t>
      </w:r>
      <w:r w:rsidR="00060CBA">
        <w:rPr>
          <w:rFonts w:ascii="Times New Roman" w:hAnsi="Times New Roman" w:cs="Times New Roman"/>
        </w:rPr>
        <w:t>,</w:t>
      </w:r>
      <w:r w:rsidRPr="00DD10B3">
        <w:rPr>
          <w:rFonts w:ascii="Times New Roman" w:hAnsi="Times New Roman" w:cs="Times New Roman"/>
        </w:rPr>
        <w:t xml:space="preserve"> the social, technological and environmental forces are also extremely strong and are part of the external forces that impact the banking industry. Therefore, the PESTLE framework provides a means of evaluating the numerous factors involved in how Barclays is being reshaped by various forces as a result of changing customer expectations, changing economic conditions &amp; digital infrastructure, post-Brexit, and the bank's plan to reform itself and its products to be more competitively positioned, rather than just reduce operational costs in a small incremental fashion.</w:t>
      </w:r>
    </w:p>
    <w:p w14:paraId="691DF793" w14:textId="77777777" w:rsidR="00DD10B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PESTLE External Analysis of Barclays Bank</w:t>
      </w:r>
    </w:p>
    <w:p w14:paraId="78068762" w14:textId="4AEA6865" w:rsidR="00C6738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Political factors</w:t>
      </w:r>
    </w:p>
    <w:p w14:paraId="3DBE093C" w14:textId="5FBD30D0" w:rsidR="00C67383" w:rsidRDefault="00DD10B3" w:rsidP="00DD10B3">
      <w:pPr>
        <w:spacing w:line="360" w:lineRule="auto"/>
        <w:rPr>
          <w:rFonts w:ascii="Times New Roman" w:hAnsi="Times New Roman" w:cs="Times New Roman"/>
        </w:rPr>
      </w:pPr>
      <w:r w:rsidRPr="00DD10B3">
        <w:rPr>
          <w:rFonts w:ascii="Times New Roman" w:hAnsi="Times New Roman" w:cs="Times New Roman"/>
        </w:rPr>
        <w:t>Due to Barclays' reliance on regulatory approval and public confidence, as well as monetary policy and overall bank system governance, Political factors significantly affect Barclays and banks in general.</w:t>
      </w:r>
      <w:r w:rsidR="00C67383">
        <w:rPr>
          <w:rFonts w:ascii="Times New Roman" w:hAnsi="Times New Roman" w:cs="Times New Roman"/>
        </w:rPr>
        <w:t xml:space="preserve"> </w:t>
      </w:r>
      <w:r w:rsidRPr="00DD10B3">
        <w:rPr>
          <w:rFonts w:ascii="Times New Roman" w:hAnsi="Times New Roman" w:cs="Times New Roman"/>
        </w:rPr>
        <w:t xml:space="preserve">Following the exit of Great Britain from the EU adds yet another level of complexity as banks operating from the UK now find themselves working in a much more fractured political and regulatory environment than they did </w:t>
      </w:r>
      <w:r w:rsidR="00C67383">
        <w:rPr>
          <w:rFonts w:ascii="Times New Roman" w:hAnsi="Times New Roman" w:cs="Times New Roman"/>
        </w:rPr>
        <w:t>before</w:t>
      </w:r>
      <w:r w:rsidRPr="00DD10B3">
        <w:rPr>
          <w:rFonts w:ascii="Times New Roman" w:hAnsi="Times New Roman" w:cs="Times New Roman"/>
        </w:rPr>
        <w:t xml:space="preserve"> this event in history. A report commissioned by Barclays regarding the strategic transformation of the organi</w:t>
      </w:r>
      <w:r w:rsidR="00C67383">
        <w:rPr>
          <w:rFonts w:ascii="Times New Roman" w:hAnsi="Times New Roman" w:cs="Times New Roman"/>
        </w:rPr>
        <w:t>s</w:t>
      </w:r>
      <w:r w:rsidRPr="00DD10B3">
        <w:rPr>
          <w:rFonts w:ascii="Times New Roman" w:hAnsi="Times New Roman" w:cs="Times New Roman"/>
        </w:rPr>
        <w:t>ation</w:t>
      </w:r>
      <w:r w:rsidR="00C67383">
        <w:rPr>
          <w:rFonts w:ascii="Times New Roman" w:hAnsi="Times New Roman" w:cs="Times New Roman"/>
        </w:rPr>
        <w:t>,</w:t>
      </w:r>
      <w:r w:rsidRPr="00DD10B3">
        <w:rPr>
          <w:rFonts w:ascii="Times New Roman" w:hAnsi="Times New Roman" w:cs="Times New Roman"/>
        </w:rPr>
        <w:t xml:space="preserve"> released in October 2024</w:t>
      </w:r>
      <w:r w:rsidR="00C67383">
        <w:rPr>
          <w:rFonts w:ascii="Times New Roman" w:hAnsi="Times New Roman" w:cs="Times New Roman"/>
        </w:rPr>
        <w:t>,</w:t>
      </w:r>
      <w:r w:rsidRPr="00DD10B3">
        <w:rPr>
          <w:rFonts w:ascii="Times New Roman" w:hAnsi="Times New Roman" w:cs="Times New Roman"/>
        </w:rPr>
        <w:t xml:space="preserve"> indicates that the initiatives taken by the company were aimed, in part, at increasing the profitability of the company's overall operations. Building back trust after the Brexit decision is also reflected within this context. For example, Barclays has introduced new savings products in the US and simplified its pricing structures for various investments to retain customers in a low-interest-rate market. </w:t>
      </w:r>
      <w:r w:rsidR="00C67383" w:rsidRPr="00DD10B3">
        <w:rPr>
          <w:rFonts w:ascii="Times New Roman" w:hAnsi="Times New Roman" w:cs="Times New Roman"/>
        </w:rPr>
        <w:t>Both</w:t>
      </w:r>
      <w:r w:rsidRPr="00DD10B3">
        <w:rPr>
          <w:rFonts w:ascii="Times New Roman" w:hAnsi="Times New Roman" w:cs="Times New Roman"/>
        </w:rPr>
        <w:t xml:space="preserve"> strategies indicate that Barclays is not only looking to compete against rivals, but also that it is trying to respond to the broader political/institutional impacts of a new environment in the UK.</w:t>
      </w:r>
    </w:p>
    <w:p w14:paraId="4C54CD2E" w14:textId="36C022D7"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Establishing political legitimacy </w:t>
      </w:r>
      <w:r w:rsidR="00C67383" w:rsidRPr="00DD10B3">
        <w:rPr>
          <w:rFonts w:ascii="Times New Roman" w:hAnsi="Times New Roman" w:cs="Times New Roman"/>
        </w:rPr>
        <w:t>to</w:t>
      </w:r>
      <w:r w:rsidRPr="00DD10B3">
        <w:rPr>
          <w:rFonts w:ascii="Times New Roman" w:hAnsi="Times New Roman" w:cs="Times New Roman"/>
        </w:rPr>
        <w:t xml:space="preserve"> create strategic flexibility does not automatically mean that one can develop an innovative absolute. High levels of regulation may offer </w:t>
      </w:r>
      <w:r w:rsidR="00C67383" w:rsidRPr="00DD10B3">
        <w:rPr>
          <w:rFonts w:ascii="Times New Roman" w:hAnsi="Times New Roman" w:cs="Times New Roman"/>
        </w:rPr>
        <w:t>stability and</w:t>
      </w:r>
      <w:r w:rsidRPr="00DD10B3">
        <w:rPr>
          <w:rFonts w:ascii="Times New Roman" w:hAnsi="Times New Roman" w:cs="Times New Roman"/>
        </w:rPr>
        <w:t xml:space="preserve"> may also stifle the ability to re-design at a deeper level. For Barclays, there is a political dichotomy between the desire for control over </w:t>
      </w:r>
      <w:r w:rsidR="00C67383">
        <w:rPr>
          <w:rFonts w:ascii="Times New Roman" w:hAnsi="Times New Roman" w:cs="Times New Roman"/>
        </w:rPr>
        <w:t>its</w:t>
      </w:r>
      <w:r w:rsidRPr="00DD10B3">
        <w:rPr>
          <w:rFonts w:ascii="Times New Roman" w:hAnsi="Times New Roman" w:cs="Times New Roman"/>
        </w:rPr>
        <w:t xml:space="preserve"> operations and the need for innovation. On the one hand, Barclays requires some form of regulatory legitimacy </w:t>
      </w:r>
      <w:r w:rsidR="00C67383">
        <w:rPr>
          <w:rFonts w:ascii="Times New Roman" w:hAnsi="Times New Roman" w:cs="Times New Roman"/>
        </w:rPr>
        <w:t>to</w:t>
      </w:r>
      <w:r w:rsidRPr="00DD10B3">
        <w:rPr>
          <w:rFonts w:ascii="Times New Roman" w:hAnsi="Times New Roman" w:cs="Times New Roman"/>
        </w:rPr>
        <w:t xml:space="preserve"> be allowed to operate, but excessive reliance on a rules-based platform for accountability may drive the </w:t>
      </w:r>
      <w:r w:rsidR="00C67383">
        <w:rPr>
          <w:rFonts w:ascii="Times New Roman" w:hAnsi="Times New Roman" w:cs="Times New Roman"/>
        </w:rPr>
        <w:t>organisation</w:t>
      </w:r>
      <w:r w:rsidRPr="00DD10B3">
        <w:rPr>
          <w:rFonts w:ascii="Times New Roman" w:hAnsi="Times New Roman" w:cs="Times New Roman"/>
        </w:rPr>
        <w:t xml:space="preserve"> </w:t>
      </w:r>
      <w:r w:rsidRPr="00DD10B3">
        <w:rPr>
          <w:rFonts w:ascii="Times New Roman" w:hAnsi="Times New Roman" w:cs="Times New Roman"/>
        </w:rPr>
        <w:lastRenderedPageBreak/>
        <w:t>toward a more cautious incremental approach when</w:t>
      </w:r>
      <w:r w:rsidR="00C67383">
        <w:rPr>
          <w:rFonts w:ascii="Times New Roman" w:hAnsi="Times New Roman" w:cs="Times New Roman"/>
        </w:rPr>
        <w:t>,</w:t>
      </w:r>
      <w:r w:rsidRPr="00DD10B3">
        <w:rPr>
          <w:rFonts w:ascii="Times New Roman" w:hAnsi="Times New Roman" w:cs="Times New Roman"/>
        </w:rPr>
        <w:t xml:space="preserve"> in fact</w:t>
      </w:r>
      <w:r w:rsidR="00C67383">
        <w:rPr>
          <w:rFonts w:ascii="Times New Roman" w:hAnsi="Times New Roman" w:cs="Times New Roman"/>
        </w:rPr>
        <w:t>,</w:t>
      </w:r>
      <w:r w:rsidRPr="00DD10B3">
        <w:rPr>
          <w:rFonts w:ascii="Times New Roman" w:hAnsi="Times New Roman" w:cs="Times New Roman"/>
        </w:rPr>
        <w:t xml:space="preserve"> </w:t>
      </w:r>
      <w:r w:rsidR="00C67383">
        <w:rPr>
          <w:rFonts w:ascii="Times New Roman" w:hAnsi="Times New Roman" w:cs="Times New Roman"/>
        </w:rPr>
        <w:t>its</w:t>
      </w:r>
      <w:r w:rsidRPr="00DD10B3">
        <w:rPr>
          <w:rFonts w:ascii="Times New Roman" w:hAnsi="Times New Roman" w:cs="Times New Roman"/>
        </w:rPr>
        <w:t xml:space="preserve"> wider business environment necessitates a much deeper level of transformational design (</w:t>
      </w:r>
      <w:proofErr w:type="spellStart"/>
      <w:r w:rsidRPr="00DD10B3">
        <w:rPr>
          <w:rFonts w:ascii="Times New Roman" w:hAnsi="Times New Roman" w:cs="Times New Roman"/>
        </w:rPr>
        <w:t>Lordkipanidze</w:t>
      </w:r>
      <w:proofErr w:type="spellEnd"/>
      <w:r w:rsidRPr="00DD10B3">
        <w:rPr>
          <w:rFonts w:ascii="Times New Roman" w:hAnsi="Times New Roman" w:cs="Times New Roman"/>
        </w:rPr>
        <w:t>, 2023).</w:t>
      </w:r>
    </w:p>
    <w:p w14:paraId="5D8F60F6" w14:textId="67852A3B" w:rsidR="00DD10B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 xml:space="preserve">Economic </w:t>
      </w:r>
      <w:r w:rsidR="00C67383" w:rsidRPr="00BB2BB5">
        <w:rPr>
          <w:rFonts w:ascii="Times New Roman" w:hAnsi="Times New Roman" w:cs="Times New Roman"/>
          <w:b/>
          <w:bCs/>
          <w:u w:val="single"/>
        </w:rPr>
        <w:t>factors</w:t>
      </w:r>
    </w:p>
    <w:p w14:paraId="4E308D5F" w14:textId="3054457A"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An </w:t>
      </w:r>
      <w:r w:rsidR="00C67383">
        <w:rPr>
          <w:rFonts w:ascii="Times New Roman" w:hAnsi="Times New Roman" w:cs="Times New Roman"/>
        </w:rPr>
        <w:t>organisation's</w:t>
      </w:r>
      <w:r w:rsidRPr="00DD10B3">
        <w:rPr>
          <w:rFonts w:ascii="Times New Roman" w:hAnsi="Times New Roman" w:cs="Times New Roman"/>
        </w:rPr>
        <w:t xml:space="preserve"> economic environment is the primary force behind the banking industry in terms of overall growth and level of investment activity, as well as liquidity, the households' confidence level, and overall business performance. Banks not only react to economic conditions; they also influence them. This creates a structural presence for Barclays, but also a structural disadvantage. As such, poor financial management or strategic decision-making can rapidly undermine the </w:t>
      </w:r>
      <w:r w:rsidR="00C67383">
        <w:rPr>
          <w:rFonts w:ascii="Times New Roman" w:hAnsi="Times New Roman" w:cs="Times New Roman"/>
        </w:rPr>
        <w:t>organisation's</w:t>
      </w:r>
      <w:r w:rsidRPr="00DD10B3">
        <w:rPr>
          <w:rFonts w:ascii="Times New Roman" w:hAnsi="Times New Roman" w:cs="Times New Roman"/>
        </w:rPr>
        <w:t xml:space="preserve"> level of resilience. Therefore, financial management for Barclays is not merely related to back-office functions; rather, it is a significant source of strategic capability that will ultimately determine how successfully the </w:t>
      </w:r>
      <w:r w:rsidR="00C67383">
        <w:rPr>
          <w:rFonts w:ascii="Times New Roman" w:hAnsi="Times New Roman" w:cs="Times New Roman"/>
        </w:rPr>
        <w:t>organisation</w:t>
      </w:r>
      <w:r w:rsidRPr="00DD10B3">
        <w:rPr>
          <w:rFonts w:ascii="Times New Roman" w:hAnsi="Times New Roman" w:cs="Times New Roman"/>
        </w:rPr>
        <w:t xml:space="preserve"> can manage its profitability, appropriate level of risk, and long-term sustainability, especially within a volatile economic environment (Setiadi, Anwar, and </w:t>
      </w:r>
      <w:proofErr w:type="spellStart"/>
      <w:r w:rsidRPr="00DD10B3">
        <w:rPr>
          <w:rFonts w:ascii="Times New Roman" w:hAnsi="Times New Roman" w:cs="Times New Roman"/>
        </w:rPr>
        <w:t>Solihin</w:t>
      </w:r>
      <w:proofErr w:type="spellEnd"/>
      <w:r w:rsidRPr="00DD10B3">
        <w:rPr>
          <w:rFonts w:ascii="Times New Roman" w:hAnsi="Times New Roman" w:cs="Times New Roman"/>
        </w:rPr>
        <w:t>, 2026).</w:t>
      </w:r>
    </w:p>
    <w:p w14:paraId="18AC14E6" w14:textId="77777777" w:rsidR="00C6738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This strategy by Barclays recently illustrates that the </w:t>
      </w:r>
      <w:r w:rsidR="00C67383">
        <w:rPr>
          <w:rFonts w:ascii="Times New Roman" w:hAnsi="Times New Roman" w:cs="Times New Roman"/>
        </w:rPr>
        <w:t>organisation</w:t>
      </w:r>
      <w:r w:rsidRPr="00DD10B3">
        <w:rPr>
          <w:rFonts w:ascii="Times New Roman" w:hAnsi="Times New Roman" w:cs="Times New Roman"/>
        </w:rPr>
        <w:t xml:space="preserve"> has come to understand that these issues will impact </w:t>
      </w:r>
      <w:r w:rsidR="00C67383">
        <w:rPr>
          <w:rFonts w:ascii="Times New Roman" w:hAnsi="Times New Roman" w:cs="Times New Roman"/>
        </w:rPr>
        <w:t>its</w:t>
      </w:r>
      <w:r w:rsidRPr="00DD10B3">
        <w:rPr>
          <w:rFonts w:ascii="Times New Roman" w:hAnsi="Times New Roman" w:cs="Times New Roman"/>
        </w:rPr>
        <w:t xml:space="preserve"> ability to successfully compete in the </w:t>
      </w:r>
      <w:r w:rsidR="00C67383" w:rsidRPr="00DD10B3">
        <w:rPr>
          <w:rFonts w:ascii="Times New Roman" w:hAnsi="Times New Roman" w:cs="Times New Roman"/>
        </w:rPr>
        <w:t>market. Barclays</w:t>
      </w:r>
      <w:r w:rsidRPr="00DD10B3">
        <w:rPr>
          <w:rFonts w:ascii="Times New Roman" w:hAnsi="Times New Roman" w:cs="Times New Roman"/>
        </w:rPr>
        <w:t xml:space="preserve"> US CB has introduced a multi-tiered savings vehicle system in July 2024 as part of its response to changes since Brexit in the UK, which demonstrates that Barclays has taken steps to address profitability concerns by using product redesign and </w:t>
      </w:r>
      <w:r w:rsidR="00C67383">
        <w:rPr>
          <w:rFonts w:ascii="Times New Roman" w:hAnsi="Times New Roman" w:cs="Times New Roman"/>
        </w:rPr>
        <w:t>providing</w:t>
      </w:r>
      <w:r w:rsidRPr="00DD10B3">
        <w:rPr>
          <w:rFonts w:ascii="Times New Roman" w:hAnsi="Times New Roman" w:cs="Times New Roman"/>
        </w:rPr>
        <w:t xml:space="preserve"> greater access to all its products. Furthermore, Barclays has redefined the determination of fees by eliminating several fees as an effort to position itself competitively against other financial firms. The analysis indicates that innovation may create short-term competitive position advantages but does not provide a clear indication of the foundation of future profitability and the evolution of banking into a more price-sensitive, digital environment.</w:t>
      </w:r>
    </w:p>
    <w:p w14:paraId="3CAE4967" w14:textId="77777777" w:rsidR="00BB2BB5" w:rsidRDefault="00DD10B3" w:rsidP="00DD10B3">
      <w:pPr>
        <w:spacing w:line="360" w:lineRule="auto"/>
        <w:rPr>
          <w:rFonts w:ascii="Times New Roman" w:hAnsi="Times New Roman" w:cs="Times New Roman"/>
        </w:rPr>
      </w:pPr>
      <w:r w:rsidRPr="00DD10B3">
        <w:rPr>
          <w:rFonts w:ascii="Times New Roman" w:hAnsi="Times New Roman" w:cs="Times New Roman"/>
        </w:rPr>
        <w:t>Digital banking growth has grown with the growth of digital infrastructure; increased availability of providing the service and for users to find and compare offerings has resulted in greater competition for service providers. As a result, due to the ease of switching from one service provider to another for virtually the same product, banks' customer loyalty has become more tenuous than before due to the digital delivery methods of digital banking, thereby creating an immediate concern for Barclays' strategic direction concerning the use of digitalization and whether it enhances or detracts from the value of the bank's intermediation functions (i.e., diminishes or enhances the potential for a customer to not use the bank for transaction processing, payment functions, and any other function defined by the bank).</w:t>
      </w:r>
    </w:p>
    <w:p w14:paraId="3C0F65E9" w14:textId="17D760EE" w:rsidR="00DD10B3" w:rsidRPr="00BB2BB5" w:rsidRDefault="00DD10B3" w:rsidP="00BB2BB5">
      <w:pPr>
        <w:spacing w:line="360" w:lineRule="auto"/>
        <w:jc w:val="center"/>
        <w:rPr>
          <w:rFonts w:ascii="Times New Roman" w:hAnsi="Times New Roman" w:cs="Times New Roman"/>
          <w:u w:val="single"/>
        </w:rPr>
      </w:pPr>
      <w:r w:rsidRPr="00BB2BB5">
        <w:rPr>
          <w:rFonts w:ascii="Times New Roman" w:hAnsi="Times New Roman" w:cs="Times New Roman"/>
          <w:b/>
          <w:bCs/>
          <w:u w:val="single"/>
        </w:rPr>
        <w:lastRenderedPageBreak/>
        <w:t>Social Factors</w:t>
      </w:r>
    </w:p>
    <w:p w14:paraId="7407DE68" w14:textId="531B94E5"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Traditionally, trust is a factor that encourages customer loyalty within the banking industry, and the basis for banks' customers establishing that trust with a bank has been based on similar physical characteristics: location, size, reputation, and dependability. In today's environment, banks are creating a greater emphasis on developing trust with their customers through being responsive to customer needs, being convenient and accessible, and having an ethical and socially responsible approach in carrying out their operations (especially </w:t>
      </w:r>
      <w:r w:rsidR="00C67383">
        <w:rPr>
          <w:rFonts w:ascii="Times New Roman" w:hAnsi="Times New Roman" w:cs="Times New Roman"/>
        </w:rPr>
        <w:t>regarding</w:t>
      </w:r>
      <w:r w:rsidRPr="00DD10B3">
        <w:rPr>
          <w:rFonts w:ascii="Times New Roman" w:hAnsi="Times New Roman" w:cs="Times New Roman"/>
        </w:rPr>
        <w:t xml:space="preserve"> the issues of sustainability and inclusion). As such, it will create an increasingly difficult social environment for Barclays and other similar companies to build customer loyalty through the continued desire of customers to have security</w:t>
      </w:r>
      <w:r w:rsidR="00C67383">
        <w:rPr>
          <w:rFonts w:ascii="Times New Roman" w:hAnsi="Times New Roman" w:cs="Times New Roman"/>
        </w:rPr>
        <w:t>,</w:t>
      </w:r>
      <w:r w:rsidRPr="00DD10B3">
        <w:rPr>
          <w:rFonts w:ascii="Times New Roman" w:hAnsi="Times New Roman" w:cs="Times New Roman"/>
        </w:rPr>
        <w:t xml:space="preserve"> as well as being able to access their accounts online with some level of assurance that the company is using technology legally and </w:t>
      </w:r>
      <w:r w:rsidR="00C67383" w:rsidRPr="00DD10B3">
        <w:rPr>
          <w:rFonts w:ascii="Times New Roman" w:hAnsi="Times New Roman" w:cs="Times New Roman"/>
        </w:rPr>
        <w:t>ethically. Barclays</w:t>
      </w:r>
      <w:r w:rsidRPr="00DD10B3">
        <w:rPr>
          <w:rFonts w:ascii="Times New Roman" w:hAnsi="Times New Roman" w:cs="Times New Roman"/>
        </w:rPr>
        <w:t xml:space="preserve"> is facing a digital world as it transforms its business. Digital support tools (e.g., chatbots and automated service channels) can increase service speed/convenience; however, they can damage the relational trust between customer/bank if customers feel the tools used to service them are impersonal, opaque or difficult to contest. The effect of service failure in banking could lead to trust failure, especially with money or sensitive personal data (Maga and </w:t>
      </w:r>
      <w:proofErr w:type="spellStart"/>
      <w:r w:rsidRPr="00DD10B3">
        <w:rPr>
          <w:rFonts w:ascii="Times New Roman" w:hAnsi="Times New Roman" w:cs="Times New Roman"/>
        </w:rPr>
        <w:t>Bodlaj</w:t>
      </w:r>
      <w:proofErr w:type="spellEnd"/>
      <w:r w:rsidRPr="00DD10B3">
        <w:rPr>
          <w:rFonts w:ascii="Times New Roman" w:hAnsi="Times New Roman" w:cs="Times New Roman"/>
        </w:rPr>
        <w:t xml:space="preserve">, 2025). </w:t>
      </w:r>
    </w:p>
    <w:p w14:paraId="13842D3B" w14:textId="77777777" w:rsidR="00CA3A2A"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Social legitimacy is based upon cultural context. Financial behaviour is based upon social expectations, family obligations and attitudes towards institutions. A bank using an excessively standardised digital experience might give the appearance of technical efficiency and yet lack social connection. Therefore, Barclays loses the ability to provide customers with a sense of accessibility, fairness and ethical responsibility if it assumes that simply providing good-quality digital service will allow </w:t>
      </w:r>
      <w:r w:rsidR="00CA3A2A">
        <w:rPr>
          <w:rFonts w:ascii="Times New Roman" w:hAnsi="Times New Roman" w:cs="Times New Roman"/>
        </w:rPr>
        <w:t>it</w:t>
      </w:r>
      <w:r w:rsidRPr="00DD10B3">
        <w:rPr>
          <w:rFonts w:ascii="Times New Roman" w:hAnsi="Times New Roman" w:cs="Times New Roman"/>
        </w:rPr>
        <w:t xml:space="preserve"> to retain trust in the future. Customers' future behaviours will be judged on the broader social behaviours of the institution (Koellner and Roth, 2025). </w:t>
      </w:r>
    </w:p>
    <w:p w14:paraId="48C4E3D4" w14:textId="7FFB633B" w:rsidR="00DD10B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 xml:space="preserve">Technological </w:t>
      </w:r>
      <w:r w:rsidR="00BB2BB5" w:rsidRPr="00BB2BB5">
        <w:rPr>
          <w:rFonts w:ascii="Times New Roman" w:hAnsi="Times New Roman" w:cs="Times New Roman"/>
          <w:b/>
          <w:bCs/>
          <w:u w:val="single"/>
        </w:rPr>
        <w:t>factors</w:t>
      </w:r>
    </w:p>
    <w:p w14:paraId="72B9DE9C" w14:textId="2D57E12D"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The most obvious way Barclays has transformed its business is through technology. The challenge Barclays faces isn't simply determining whether it will adopt a new technology; rather, it is how those new technologies fit within the bank's vision of its future model for banking. Digital banking, AI-based decision support, and product automation are often thought of as "obvious" avenues to obtain competitive advantage; however, just adopting technology does not necessarily result in enhanced strategic performance. Technology </w:t>
      </w:r>
      <w:r w:rsidRPr="00DD10B3">
        <w:rPr>
          <w:rFonts w:ascii="Times New Roman" w:hAnsi="Times New Roman" w:cs="Times New Roman"/>
        </w:rPr>
        <w:lastRenderedPageBreak/>
        <w:t>changes customer expectations, company processes, and competition; however, it also increases complexity, creates governance issues, and adds costs to implementation (Molla et</w:t>
      </w:r>
      <w:r w:rsidR="00CA3A2A">
        <w:rPr>
          <w:rFonts w:ascii="Times New Roman" w:hAnsi="Times New Roman" w:cs="Times New Roman"/>
        </w:rPr>
        <w:t xml:space="preserve">. </w:t>
      </w:r>
      <w:r w:rsidRPr="00DD10B3">
        <w:rPr>
          <w:rFonts w:ascii="Times New Roman" w:hAnsi="Times New Roman" w:cs="Times New Roman"/>
        </w:rPr>
        <w:t>al., 2026).</w:t>
      </w:r>
      <w:r w:rsidR="00CA3A2A">
        <w:rPr>
          <w:rFonts w:ascii="Times New Roman" w:hAnsi="Times New Roman" w:cs="Times New Roman"/>
        </w:rPr>
        <w:t xml:space="preserve"> </w:t>
      </w:r>
      <w:r w:rsidRPr="00DD10B3">
        <w:rPr>
          <w:rFonts w:ascii="Times New Roman" w:hAnsi="Times New Roman" w:cs="Times New Roman"/>
        </w:rPr>
        <w:t xml:space="preserve">This is crucial for Barclays, since recent strategies show that they want to modernise their customer offerings and pricing strategies </w:t>
      </w:r>
      <w:r w:rsidR="00CA3A2A" w:rsidRPr="00DD10B3">
        <w:rPr>
          <w:rFonts w:ascii="Times New Roman" w:hAnsi="Times New Roman" w:cs="Times New Roman"/>
        </w:rPr>
        <w:t>to</w:t>
      </w:r>
      <w:r w:rsidRPr="00DD10B3">
        <w:rPr>
          <w:rFonts w:ascii="Times New Roman" w:hAnsi="Times New Roman" w:cs="Times New Roman"/>
        </w:rPr>
        <w:t xml:space="preserve"> remain competitive.</w:t>
      </w:r>
    </w:p>
    <w:p w14:paraId="4BEAD796" w14:textId="77777777"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However, digital transformation and increased coherence are not the same thing. Research on AI adoption in uncertain environments shows that technologies create value when companies know where these technologies are strategically relevant. In banking, AI is valuable when it can help improve fraud detection, service quality, and operational intelligence; however, if institutions use their digital foreign trade (e.g., AI) as a symbol of digital maturity (or digital progress) without addressing accountability and impact on users, then they risk not using their digital foreign trade effectively (Talebi et al., 2025).</w:t>
      </w:r>
    </w:p>
    <w:p w14:paraId="1DA11DBB" w14:textId="30CA1AFF"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In addition, business-model innovation creates additional complexities: digital transformation often fails, not because banks lack tools to transform, but rather because they try to attach new technologies to existing organisational structures without rethinking the logic and governance of service delivery. Accordingly, </w:t>
      </w:r>
      <w:r w:rsidR="00CA3A2A" w:rsidRPr="00DD10B3">
        <w:rPr>
          <w:rFonts w:ascii="Times New Roman" w:hAnsi="Times New Roman" w:cs="Times New Roman"/>
        </w:rPr>
        <w:t>considering</w:t>
      </w:r>
      <w:r w:rsidRPr="00DD10B3">
        <w:rPr>
          <w:rFonts w:ascii="Times New Roman" w:hAnsi="Times New Roman" w:cs="Times New Roman"/>
        </w:rPr>
        <w:t xml:space="preserve"> these contextual issues, Barclays faces a larger question about whether </w:t>
      </w:r>
      <w:r w:rsidR="00CA3A2A">
        <w:rPr>
          <w:rFonts w:ascii="Times New Roman" w:hAnsi="Times New Roman" w:cs="Times New Roman"/>
        </w:rPr>
        <w:t>its</w:t>
      </w:r>
      <w:r w:rsidRPr="00DD10B3">
        <w:rPr>
          <w:rFonts w:ascii="Times New Roman" w:hAnsi="Times New Roman" w:cs="Times New Roman"/>
        </w:rPr>
        <w:t xml:space="preserve"> legacy model can accommodate digital transformation without fragmentation of service, trust, and risk management (Li et al., 2024; </w:t>
      </w:r>
      <w:proofErr w:type="spellStart"/>
      <w:r w:rsidRPr="00DD10B3">
        <w:rPr>
          <w:rFonts w:ascii="Times New Roman" w:hAnsi="Times New Roman" w:cs="Times New Roman"/>
        </w:rPr>
        <w:t>Bortoluzzi</w:t>
      </w:r>
      <w:proofErr w:type="spellEnd"/>
      <w:r w:rsidRPr="00DD10B3">
        <w:rPr>
          <w:rFonts w:ascii="Times New Roman" w:hAnsi="Times New Roman" w:cs="Times New Roman"/>
        </w:rPr>
        <w:t xml:space="preserve"> et al., 2022).</w:t>
      </w:r>
    </w:p>
    <w:p w14:paraId="5E9C986D" w14:textId="2A7B71E6" w:rsidR="00DD10B3" w:rsidRPr="00BB2BB5" w:rsidRDefault="00CA3A2A"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L</w:t>
      </w:r>
      <w:r w:rsidR="00DD10B3" w:rsidRPr="00BB2BB5">
        <w:rPr>
          <w:rFonts w:ascii="Times New Roman" w:hAnsi="Times New Roman" w:cs="Times New Roman"/>
          <w:b/>
          <w:bCs/>
          <w:u w:val="single"/>
        </w:rPr>
        <w:t xml:space="preserve">egal </w:t>
      </w:r>
      <w:r w:rsidRPr="00BB2BB5">
        <w:rPr>
          <w:rFonts w:ascii="Times New Roman" w:hAnsi="Times New Roman" w:cs="Times New Roman"/>
          <w:b/>
          <w:bCs/>
          <w:u w:val="single"/>
        </w:rPr>
        <w:t>factors</w:t>
      </w:r>
    </w:p>
    <w:p w14:paraId="180AD7C8" w14:textId="6AB38944"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The legal environment within which banking operates possesses a great deal of legal influence on Banks (including Barclays) by virtue of their obligations to manage risk, comply with reporting requirements, protect customers, conduct digital activities in a manner that meets consumer expectations and ensure the systemic stability of the banking industry. Legal compliance can produce strategic minimalism if Banks focus primarily on satisfying the legal obligations placed upon them rather than questioning </w:t>
      </w:r>
      <w:r w:rsidR="00CA3A2A" w:rsidRPr="00DD10B3">
        <w:rPr>
          <w:rFonts w:ascii="Times New Roman" w:hAnsi="Times New Roman" w:cs="Times New Roman"/>
        </w:rPr>
        <w:t>whether</w:t>
      </w:r>
      <w:r w:rsidRPr="00DD10B3">
        <w:rPr>
          <w:rFonts w:ascii="Times New Roman" w:hAnsi="Times New Roman" w:cs="Times New Roman"/>
        </w:rPr>
        <w:t xml:space="preserve"> their legacy model is currently relevant. Therefore, while compliance may provide legitimacy to the organisation, it may simultaneously discourage the organisation from moving toward an environment in which </w:t>
      </w:r>
      <w:r w:rsidR="00CA3A2A">
        <w:rPr>
          <w:rFonts w:ascii="Times New Roman" w:hAnsi="Times New Roman" w:cs="Times New Roman"/>
        </w:rPr>
        <w:t>it</w:t>
      </w:r>
      <w:r w:rsidRPr="00DD10B3">
        <w:rPr>
          <w:rFonts w:ascii="Times New Roman" w:hAnsi="Times New Roman" w:cs="Times New Roman"/>
        </w:rPr>
        <w:t xml:space="preserve"> will undertake deeper renewal efforts.</w:t>
      </w:r>
    </w:p>
    <w:p w14:paraId="1D6BA615" w14:textId="06C3903D"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As such, the implications are significant for Barclays relative to the adjustments needed to accommodate the digital competition resulting from Brexit and increases in the accountability that is related to compliance within a </w:t>
      </w:r>
      <w:r w:rsidR="00CA3A2A" w:rsidRPr="00DD10B3">
        <w:rPr>
          <w:rFonts w:ascii="Times New Roman" w:hAnsi="Times New Roman" w:cs="Times New Roman"/>
        </w:rPr>
        <w:t>Bank. The</w:t>
      </w:r>
      <w:r w:rsidRPr="00DD10B3">
        <w:rPr>
          <w:rFonts w:ascii="Times New Roman" w:hAnsi="Times New Roman" w:cs="Times New Roman"/>
        </w:rPr>
        <w:t xml:space="preserve"> bank must adhere to tight regulatory constraints while at the same time working to modernise its operations. One risk of creating a </w:t>
      </w:r>
      <w:r w:rsidRPr="00DD10B3">
        <w:rPr>
          <w:rFonts w:ascii="Times New Roman" w:hAnsi="Times New Roman" w:cs="Times New Roman"/>
        </w:rPr>
        <w:lastRenderedPageBreak/>
        <w:t xml:space="preserve">disconnect between the legal adaptation and the strategic redesign of its operations is that Barclays may have the appearance of being compliant and </w:t>
      </w:r>
      <w:r w:rsidR="00CA3A2A" w:rsidRPr="00DD10B3">
        <w:rPr>
          <w:rFonts w:ascii="Times New Roman" w:hAnsi="Times New Roman" w:cs="Times New Roman"/>
        </w:rPr>
        <w:t>modernised</w:t>
      </w:r>
      <w:r w:rsidR="00CA3A2A">
        <w:rPr>
          <w:rFonts w:ascii="Times New Roman" w:hAnsi="Times New Roman" w:cs="Times New Roman"/>
        </w:rPr>
        <w:t xml:space="preserve"> but</w:t>
      </w:r>
      <w:r w:rsidRPr="00DD10B3">
        <w:rPr>
          <w:rFonts w:ascii="Times New Roman" w:hAnsi="Times New Roman" w:cs="Times New Roman"/>
        </w:rPr>
        <w:t xml:space="preserve"> </w:t>
      </w:r>
      <w:r w:rsidR="00CA3A2A">
        <w:rPr>
          <w:rFonts w:ascii="Times New Roman" w:hAnsi="Times New Roman" w:cs="Times New Roman"/>
        </w:rPr>
        <w:t>maintain</w:t>
      </w:r>
      <w:r w:rsidRPr="00DD10B3">
        <w:rPr>
          <w:rFonts w:ascii="Times New Roman" w:hAnsi="Times New Roman" w:cs="Times New Roman"/>
        </w:rPr>
        <w:t xml:space="preserve"> its functionality as a transformed organisation. As a result, the long-term challenge for Barclays will be developing a means of integrating legal accountability into a broader rethinking of the banking model, instead of treating law as an outside constraint that must be managed on a passive basis (Cromwell &amp; Peprah, 2025).</w:t>
      </w:r>
    </w:p>
    <w:p w14:paraId="371648BD" w14:textId="4F47FBFE"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As a result of environmental pressures, the impact of environmental issues has become a central concern for Barclays, given that sustainability is determined not just by the bank's workplace and supporting facilities' operational footprint but also by how the bank establishes its priorities for lending and provides a basis for evaluating and understanding its investments, the expectations of the bank's stakeholders, and the framework for defining the strategic legitimacy of financial institutions. On the one hand, Barclays is increasingly expected to contribute positively to the success of sustainable development initiatives, rather than be limited to just funding the growth of the economy. This represents a significant shift in how the role of the bank has evolved. Consequently, the evaluation of the sustainability of banking systems is no longer limited to a consideration of </w:t>
      </w:r>
      <w:r w:rsidR="00CA3A2A" w:rsidRPr="00DD10B3">
        <w:rPr>
          <w:rFonts w:ascii="Times New Roman" w:hAnsi="Times New Roman" w:cs="Times New Roman"/>
        </w:rPr>
        <w:t>ethics but</w:t>
      </w:r>
      <w:r w:rsidRPr="00DD10B3">
        <w:rPr>
          <w:rFonts w:ascii="Times New Roman" w:hAnsi="Times New Roman" w:cs="Times New Roman"/>
        </w:rPr>
        <w:t xml:space="preserve"> is becoming a significant factor used to evaluate how the banking model performs (Levchenko et al., 2024).</w:t>
      </w:r>
    </w:p>
    <w:p w14:paraId="038320BE" w14:textId="77777777" w:rsidR="00BB2BB5"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As a result, Barclays' sustainability-focused innovation is highly relevant to the bank. While Barclays does not sell physical products, the bank influences the activities that are funded versus those that are constrained from being funded. Therefore, to have significance in pursuing environmentally aligned banking, Barclays must incorporate environmentally aligned considerations into its lending practices, product development and establishment of institutional incentives. Therefore, Barclays' challenge will not be whether to communicate its commitment to sustainability, but whether to incorporate sustainability into both how capital is allocated and how risk is assessed and valued (Du, </w:t>
      </w:r>
      <w:proofErr w:type="spellStart"/>
      <w:r w:rsidRPr="00DD10B3">
        <w:rPr>
          <w:rFonts w:ascii="Times New Roman" w:hAnsi="Times New Roman" w:cs="Times New Roman"/>
        </w:rPr>
        <w:t>Bstieler</w:t>
      </w:r>
      <w:proofErr w:type="spellEnd"/>
      <w:r w:rsidRPr="00DD10B3">
        <w:rPr>
          <w:rFonts w:ascii="Times New Roman" w:hAnsi="Times New Roman" w:cs="Times New Roman"/>
        </w:rPr>
        <w:t xml:space="preserve"> &amp; </w:t>
      </w:r>
      <w:proofErr w:type="spellStart"/>
      <w:r w:rsidRPr="00DD10B3">
        <w:rPr>
          <w:rFonts w:ascii="Times New Roman" w:hAnsi="Times New Roman" w:cs="Times New Roman"/>
        </w:rPr>
        <w:t>Yalcinkaya</w:t>
      </w:r>
      <w:proofErr w:type="spellEnd"/>
      <w:r w:rsidRPr="00DD10B3">
        <w:rPr>
          <w:rFonts w:ascii="Times New Roman" w:hAnsi="Times New Roman" w:cs="Times New Roman"/>
        </w:rPr>
        <w:t>, 2022).</w:t>
      </w:r>
      <w:r w:rsidR="00CA3A2A">
        <w:rPr>
          <w:rFonts w:ascii="Times New Roman" w:hAnsi="Times New Roman" w:cs="Times New Roman"/>
        </w:rPr>
        <w:t xml:space="preserve"> </w:t>
      </w:r>
      <w:r w:rsidRPr="00DD10B3">
        <w:rPr>
          <w:rFonts w:ascii="Times New Roman" w:hAnsi="Times New Roman" w:cs="Times New Roman"/>
        </w:rPr>
        <w:t xml:space="preserve">Broader technological innovations like blockchain-based energy solutions are showing how the economic, technological and environmental systems are working together as a whole and becoming interrelated systems. For Barclays, this means environmental pressures have transitioned from being an external concern to being an integral part of its finance strategy. The relationship between the external environment, including the environment, and the way in which Barclays defines both the relevance and the responsibility of its business operations is changing; </w:t>
      </w:r>
      <w:r w:rsidR="00FC6FFE" w:rsidRPr="00DD10B3">
        <w:rPr>
          <w:rFonts w:ascii="Times New Roman" w:hAnsi="Times New Roman" w:cs="Times New Roman"/>
        </w:rPr>
        <w:t>thus,</w:t>
      </w:r>
      <w:r w:rsidRPr="00DD10B3">
        <w:rPr>
          <w:rFonts w:ascii="Times New Roman" w:hAnsi="Times New Roman" w:cs="Times New Roman"/>
        </w:rPr>
        <w:t xml:space="preserve"> creating an impact on how the bank focuses on its future and how it develops its current product offerings (Ahl, Brooks, et al.2022).</w:t>
      </w:r>
    </w:p>
    <w:p w14:paraId="7D6E36EE" w14:textId="1F510D97" w:rsidR="00DD10B3" w:rsidRPr="00BB2BB5" w:rsidRDefault="00DD10B3" w:rsidP="00BB2BB5">
      <w:pPr>
        <w:spacing w:line="360" w:lineRule="auto"/>
        <w:jc w:val="center"/>
        <w:rPr>
          <w:rFonts w:ascii="Times New Roman" w:hAnsi="Times New Roman" w:cs="Times New Roman"/>
          <w:u w:val="single"/>
        </w:rPr>
      </w:pPr>
      <w:r w:rsidRPr="00BB2BB5">
        <w:rPr>
          <w:rFonts w:ascii="Times New Roman" w:hAnsi="Times New Roman" w:cs="Times New Roman"/>
          <w:b/>
          <w:bCs/>
          <w:u w:val="single"/>
        </w:rPr>
        <w:lastRenderedPageBreak/>
        <w:t>Strategic Response and Organisational Adaptation</w:t>
      </w:r>
    </w:p>
    <w:p w14:paraId="556B767A" w14:textId="3DA76E5C"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Barclays has shown that it has adapted to </w:t>
      </w:r>
      <w:r w:rsidR="00FC6FFE">
        <w:rPr>
          <w:rFonts w:ascii="Times New Roman" w:hAnsi="Times New Roman" w:cs="Times New Roman"/>
        </w:rPr>
        <w:t>organisational</w:t>
      </w:r>
      <w:r w:rsidRPr="00DD10B3">
        <w:rPr>
          <w:rFonts w:ascii="Times New Roman" w:hAnsi="Times New Roman" w:cs="Times New Roman"/>
        </w:rPr>
        <w:t xml:space="preserve"> changes related to environmental changes through new structural changes, new product launches, changes in pricing, digitalization and strategic clarity in the public, which have all been helpful in </w:t>
      </w:r>
      <w:r w:rsidR="00FC6FFE">
        <w:rPr>
          <w:rFonts w:ascii="Times New Roman" w:hAnsi="Times New Roman" w:cs="Times New Roman"/>
        </w:rPr>
        <w:t>recognising</w:t>
      </w:r>
      <w:r w:rsidRPr="00DD10B3">
        <w:rPr>
          <w:rFonts w:ascii="Times New Roman" w:hAnsi="Times New Roman" w:cs="Times New Roman"/>
        </w:rPr>
        <w:t xml:space="preserve"> these existing pressures. Evidence from Barclays' 2024 reporting and the post-Brexit analysis from October 2024 </w:t>
      </w:r>
      <w:r w:rsidR="00FC6FFE">
        <w:rPr>
          <w:rFonts w:ascii="Times New Roman" w:hAnsi="Times New Roman" w:cs="Times New Roman"/>
        </w:rPr>
        <w:t>indicates</w:t>
      </w:r>
      <w:r w:rsidRPr="00DD10B3">
        <w:rPr>
          <w:rFonts w:ascii="Times New Roman" w:hAnsi="Times New Roman" w:cs="Times New Roman"/>
        </w:rPr>
        <w:t xml:space="preserve"> a visible level of adaptation on the part of the Bank</w:t>
      </w:r>
      <w:r w:rsidR="00FC6FFE">
        <w:rPr>
          <w:rFonts w:ascii="Times New Roman" w:hAnsi="Times New Roman" w:cs="Times New Roman"/>
        </w:rPr>
        <w:t>,</w:t>
      </w:r>
      <w:r w:rsidRPr="00DD10B3">
        <w:rPr>
          <w:rFonts w:ascii="Times New Roman" w:hAnsi="Times New Roman" w:cs="Times New Roman"/>
        </w:rPr>
        <w:t xml:space="preserve"> thus indicating that the Bank has not been passive in its reaction to these pressures. The Bank has attempted to sharpen its business focus, to refresh its consumer proposition, and to rebuild consumer confidence through its </w:t>
      </w:r>
      <w:r w:rsidR="00FC6FFE">
        <w:rPr>
          <w:rFonts w:ascii="Times New Roman" w:hAnsi="Times New Roman" w:cs="Times New Roman"/>
        </w:rPr>
        <w:t>simpler-to-use</w:t>
      </w:r>
      <w:r w:rsidRPr="00DD10B3">
        <w:rPr>
          <w:rFonts w:ascii="Times New Roman" w:hAnsi="Times New Roman" w:cs="Times New Roman"/>
        </w:rPr>
        <w:t xml:space="preserve"> products.</w:t>
      </w:r>
    </w:p>
    <w:p w14:paraId="42F4A549" w14:textId="77777777" w:rsidR="00FC6FFE"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However, </w:t>
      </w:r>
      <w:r w:rsidR="00FC6FFE">
        <w:rPr>
          <w:rFonts w:ascii="Times New Roman" w:hAnsi="Times New Roman" w:cs="Times New Roman"/>
        </w:rPr>
        <w:t>recognising</w:t>
      </w:r>
      <w:r w:rsidRPr="00DD10B3">
        <w:rPr>
          <w:rFonts w:ascii="Times New Roman" w:hAnsi="Times New Roman" w:cs="Times New Roman"/>
        </w:rPr>
        <w:t xml:space="preserve"> these pressures does not necessarily indicate a correctly adapted </w:t>
      </w:r>
      <w:r w:rsidR="00FC6FFE">
        <w:rPr>
          <w:rFonts w:ascii="Times New Roman" w:hAnsi="Times New Roman" w:cs="Times New Roman"/>
        </w:rPr>
        <w:t>organisation</w:t>
      </w:r>
      <w:r w:rsidRPr="00DD10B3">
        <w:rPr>
          <w:rFonts w:ascii="Times New Roman" w:hAnsi="Times New Roman" w:cs="Times New Roman"/>
        </w:rPr>
        <w:t xml:space="preserve">, because a large proportion of the overall response to pressure from consumers appears to have been built upon an existing model rather than fundamentally reconsidered. Thus far, Barclays' strongest responses appear to be tactical responses. Tactical responses relate to changes in pricing, new savings products, digital conveniences and restructuring activities. Although these tactical responses would improve their competitive position or assist with customer retention, they would not actually be effective in determining </w:t>
      </w:r>
      <w:r w:rsidR="00FC6FFE" w:rsidRPr="00DD10B3">
        <w:rPr>
          <w:rFonts w:ascii="Times New Roman" w:hAnsi="Times New Roman" w:cs="Times New Roman"/>
        </w:rPr>
        <w:t>whether</w:t>
      </w:r>
      <w:r w:rsidRPr="00DD10B3">
        <w:rPr>
          <w:rFonts w:ascii="Times New Roman" w:hAnsi="Times New Roman" w:cs="Times New Roman"/>
        </w:rPr>
        <w:t xml:space="preserve"> Barclays' long-term business model would be successful in a more digital, sustainability-oriented, and trust-based financial environment.</w:t>
      </w:r>
    </w:p>
    <w:p w14:paraId="25AD3EBE" w14:textId="43E11E45" w:rsidR="00DD10B3" w:rsidRPr="00DD10B3"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Alternative strategic responses to these pressures could include placing more emphasis on developing a holistic design of the business model, rather than creating partially separate strategic streams with respect to digital finance, customer convenience, and sustainability. By creating coherent approaches to their use of digital technology, the Bank could slow down the rate of digital transformation relative to the governance capacity of the Bank and the quality of the services provided to </w:t>
      </w:r>
      <w:r w:rsidR="00FC6FFE">
        <w:rPr>
          <w:rFonts w:ascii="Times New Roman" w:hAnsi="Times New Roman" w:cs="Times New Roman"/>
        </w:rPr>
        <w:t>its</w:t>
      </w:r>
      <w:r w:rsidRPr="00DD10B3">
        <w:rPr>
          <w:rFonts w:ascii="Times New Roman" w:hAnsi="Times New Roman" w:cs="Times New Roman"/>
        </w:rPr>
        <w:t xml:space="preserve"> customers. In addition, Barclays needs to be more discerning when choosing which forms of innovation will strengthen the long-term trust of its stakeholders, as opposed to simply improving stakeholder perceptions of how fast they are progressing.</w:t>
      </w:r>
    </w:p>
    <w:p w14:paraId="58E08B30" w14:textId="77777777" w:rsidR="00DD10B3" w:rsidRPr="00BB2BB5" w:rsidRDefault="00DD10B3"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t>Summary and Recommendations</w:t>
      </w:r>
    </w:p>
    <w:p w14:paraId="7DCA2459" w14:textId="77777777" w:rsidR="00FC6FFE" w:rsidRDefault="00DD10B3" w:rsidP="00DD10B3">
      <w:pPr>
        <w:spacing w:line="360" w:lineRule="auto"/>
        <w:rPr>
          <w:rFonts w:ascii="Times New Roman" w:hAnsi="Times New Roman" w:cs="Times New Roman"/>
        </w:rPr>
      </w:pPr>
      <w:r w:rsidRPr="00DD10B3">
        <w:rPr>
          <w:rFonts w:ascii="Times New Roman" w:hAnsi="Times New Roman" w:cs="Times New Roman"/>
        </w:rPr>
        <w:t xml:space="preserve">Barclays is an example of an industry that is greatly affected by the changes in its external business environment. Changes such as political control, economic fluctuations, social trust, technological changes, legal accountability, </w:t>
      </w:r>
      <w:r w:rsidR="00FC6FFE">
        <w:rPr>
          <w:rFonts w:ascii="Times New Roman" w:hAnsi="Times New Roman" w:cs="Times New Roman"/>
        </w:rPr>
        <w:t xml:space="preserve">and </w:t>
      </w:r>
      <w:r w:rsidRPr="00DD10B3">
        <w:rPr>
          <w:rFonts w:ascii="Times New Roman" w:hAnsi="Times New Roman" w:cs="Times New Roman"/>
        </w:rPr>
        <w:t xml:space="preserve">environmental pressures have created challenges for the Bank in terms of </w:t>
      </w:r>
      <w:r w:rsidR="00FC6FFE">
        <w:rPr>
          <w:rFonts w:ascii="Times New Roman" w:hAnsi="Times New Roman" w:cs="Times New Roman"/>
        </w:rPr>
        <w:t>its</w:t>
      </w:r>
      <w:r w:rsidRPr="00DD10B3">
        <w:rPr>
          <w:rFonts w:ascii="Times New Roman" w:hAnsi="Times New Roman" w:cs="Times New Roman"/>
        </w:rPr>
        <w:t xml:space="preserve"> performance and legitimacy. </w:t>
      </w:r>
      <w:r w:rsidR="00FC6FFE" w:rsidRPr="00DD10B3">
        <w:rPr>
          <w:rFonts w:ascii="Times New Roman" w:hAnsi="Times New Roman" w:cs="Times New Roman"/>
        </w:rPr>
        <w:t>Barclays</w:t>
      </w:r>
      <w:r w:rsidRPr="00DD10B3">
        <w:rPr>
          <w:rFonts w:ascii="Times New Roman" w:hAnsi="Times New Roman" w:cs="Times New Roman"/>
        </w:rPr>
        <w:t xml:space="preserve"> is publicly </w:t>
      </w:r>
      <w:r w:rsidRPr="00DD10B3">
        <w:rPr>
          <w:rFonts w:ascii="Times New Roman" w:hAnsi="Times New Roman" w:cs="Times New Roman"/>
        </w:rPr>
        <w:lastRenderedPageBreak/>
        <w:t>evidencing that it has adapted through restructuring, product redesign, digital strategy, etc.; however, there are still many areas of incomplete implementation</w:t>
      </w:r>
      <w:r w:rsidR="00FC6FFE">
        <w:rPr>
          <w:rFonts w:ascii="Times New Roman" w:hAnsi="Times New Roman" w:cs="Times New Roman"/>
        </w:rPr>
        <w:t>,</w:t>
      </w:r>
      <w:r w:rsidRPr="00DD10B3">
        <w:rPr>
          <w:rFonts w:ascii="Times New Roman" w:hAnsi="Times New Roman" w:cs="Times New Roman"/>
        </w:rPr>
        <w:t xml:space="preserve"> and partially adapted business operations remain. Barclays, on the other hand, </w:t>
      </w:r>
      <w:r w:rsidR="00FC6FFE" w:rsidRPr="00DD10B3">
        <w:rPr>
          <w:rFonts w:ascii="Times New Roman" w:hAnsi="Times New Roman" w:cs="Times New Roman"/>
        </w:rPr>
        <w:t>can</w:t>
      </w:r>
      <w:r w:rsidRPr="00DD10B3">
        <w:rPr>
          <w:rFonts w:ascii="Times New Roman" w:hAnsi="Times New Roman" w:cs="Times New Roman"/>
        </w:rPr>
        <w:t xml:space="preserve"> show evidence of being more </w:t>
      </w:r>
      <w:r w:rsidR="00FC6FFE">
        <w:rPr>
          <w:rFonts w:ascii="Times New Roman" w:hAnsi="Times New Roman" w:cs="Times New Roman"/>
        </w:rPr>
        <w:t>modernised</w:t>
      </w:r>
      <w:r w:rsidRPr="00DD10B3">
        <w:rPr>
          <w:rFonts w:ascii="Times New Roman" w:hAnsi="Times New Roman" w:cs="Times New Roman"/>
        </w:rPr>
        <w:t xml:space="preserve"> than it was previously, but will not be able to provide evidence of having undergone </w:t>
      </w:r>
      <w:r w:rsidR="00FC6FFE">
        <w:rPr>
          <w:rFonts w:ascii="Times New Roman" w:hAnsi="Times New Roman" w:cs="Times New Roman"/>
        </w:rPr>
        <w:t xml:space="preserve">a </w:t>
      </w:r>
      <w:r w:rsidRPr="00DD10B3">
        <w:rPr>
          <w:rFonts w:ascii="Times New Roman" w:hAnsi="Times New Roman" w:cs="Times New Roman"/>
        </w:rPr>
        <w:t>total transformation.</w:t>
      </w:r>
    </w:p>
    <w:p w14:paraId="49645769" w14:textId="2792CC11" w:rsidR="00DD10B3" w:rsidRDefault="00FC6FFE" w:rsidP="00DD10B3">
      <w:pPr>
        <w:spacing w:line="360" w:lineRule="auto"/>
        <w:rPr>
          <w:rFonts w:ascii="Times New Roman" w:hAnsi="Times New Roman" w:cs="Times New Roman"/>
        </w:rPr>
      </w:pPr>
      <w:r>
        <w:rPr>
          <w:rFonts w:ascii="Times New Roman" w:hAnsi="Times New Roman" w:cs="Times New Roman"/>
        </w:rPr>
        <w:t>The following</w:t>
      </w:r>
      <w:r w:rsidR="00DD10B3" w:rsidRPr="00DD10B3">
        <w:rPr>
          <w:rFonts w:ascii="Times New Roman" w:hAnsi="Times New Roman" w:cs="Times New Roman"/>
        </w:rPr>
        <w:t xml:space="preserve"> are three recommendations for Barclays. First, Barclays should view its digital transformation as an opportunity to redesign its business model, rather than viewing digital transformation simply as an opportunity to expand </w:t>
      </w:r>
      <w:r>
        <w:rPr>
          <w:rFonts w:ascii="Times New Roman" w:hAnsi="Times New Roman" w:cs="Times New Roman"/>
        </w:rPr>
        <w:t>its</w:t>
      </w:r>
      <w:r w:rsidR="00DD10B3" w:rsidRPr="00DD10B3">
        <w:rPr>
          <w:rFonts w:ascii="Times New Roman" w:hAnsi="Times New Roman" w:cs="Times New Roman"/>
        </w:rPr>
        <w:t xml:space="preserve"> distribution channels. Second, Barclays should incorporate sustainability into their lending, investing and risk assessment processes; </w:t>
      </w:r>
      <w:r w:rsidRPr="00DD10B3">
        <w:rPr>
          <w:rFonts w:ascii="Times New Roman" w:hAnsi="Times New Roman" w:cs="Times New Roman"/>
        </w:rPr>
        <w:t>thus,</w:t>
      </w:r>
      <w:r w:rsidR="00DD10B3" w:rsidRPr="00DD10B3">
        <w:rPr>
          <w:rFonts w:ascii="Times New Roman" w:hAnsi="Times New Roman" w:cs="Times New Roman"/>
        </w:rPr>
        <w:t xml:space="preserve"> moving away from viewing sustainability as simply a strategic message to their stakeholders. Third, Barclays should improve the relationship between their financial management processes, use of technology, and their relationship with the </w:t>
      </w:r>
      <w:r w:rsidRPr="00DD10B3">
        <w:rPr>
          <w:rFonts w:ascii="Times New Roman" w:hAnsi="Times New Roman" w:cs="Times New Roman"/>
        </w:rPr>
        <w:t>public</w:t>
      </w:r>
      <w:r w:rsidR="00DD10B3" w:rsidRPr="00DD10B3">
        <w:rPr>
          <w:rFonts w:ascii="Times New Roman" w:hAnsi="Times New Roman" w:cs="Times New Roman"/>
        </w:rPr>
        <w:t xml:space="preserve"> so that their adaptations will be credible at a structural level rather than simply operationally convenient for the Bank. Although Barclays remains a prominent financial institution, its long-term viability is dependent upon its ability to make long-term transformational decisions rather than simply </w:t>
      </w:r>
      <w:r>
        <w:rPr>
          <w:rFonts w:ascii="Times New Roman" w:hAnsi="Times New Roman" w:cs="Times New Roman"/>
        </w:rPr>
        <w:t>modernising</w:t>
      </w:r>
      <w:r w:rsidR="00DD10B3" w:rsidRPr="00DD10B3">
        <w:rPr>
          <w:rFonts w:ascii="Times New Roman" w:hAnsi="Times New Roman" w:cs="Times New Roman"/>
        </w:rPr>
        <w:t xml:space="preserve"> any </w:t>
      </w:r>
      <w:r w:rsidRPr="00DD10B3">
        <w:rPr>
          <w:rFonts w:ascii="Times New Roman" w:hAnsi="Times New Roman" w:cs="Times New Roman"/>
        </w:rPr>
        <w:t>product</w:t>
      </w:r>
      <w:r w:rsidR="00DD10B3" w:rsidRPr="00DD10B3">
        <w:rPr>
          <w:rFonts w:ascii="Times New Roman" w:hAnsi="Times New Roman" w:cs="Times New Roman"/>
        </w:rPr>
        <w:t xml:space="preserve"> or service rapidly.</w:t>
      </w:r>
    </w:p>
    <w:p w14:paraId="0539E74C" w14:textId="77777777" w:rsidR="00BB2BB5" w:rsidRDefault="00BB2BB5" w:rsidP="00DD10B3">
      <w:pPr>
        <w:spacing w:line="360" w:lineRule="auto"/>
        <w:rPr>
          <w:rFonts w:ascii="Times New Roman" w:hAnsi="Times New Roman" w:cs="Times New Roman"/>
          <w:b/>
          <w:bCs/>
        </w:rPr>
      </w:pPr>
    </w:p>
    <w:p w14:paraId="3A8948AA" w14:textId="77777777" w:rsidR="00BB2BB5" w:rsidRDefault="00BB2BB5" w:rsidP="00DD10B3">
      <w:pPr>
        <w:spacing w:line="360" w:lineRule="auto"/>
        <w:rPr>
          <w:rFonts w:ascii="Times New Roman" w:hAnsi="Times New Roman" w:cs="Times New Roman"/>
          <w:b/>
          <w:bCs/>
        </w:rPr>
      </w:pPr>
    </w:p>
    <w:p w14:paraId="2D9BCD8D" w14:textId="77777777" w:rsidR="00BB2BB5" w:rsidRDefault="00BB2BB5" w:rsidP="00DD10B3">
      <w:pPr>
        <w:spacing w:line="360" w:lineRule="auto"/>
        <w:rPr>
          <w:rFonts w:ascii="Times New Roman" w:hAnsi="Times New Roman" w:cs="Times New Roman"/>
          <w:b/>
          <w:bCs/>
        </w:rPr>
      </w:pPr>
    </w:p>
    <w:p w14:paraId="4A3F5C85" w14:textId="77777777" w:rsidR="00BB2BB5" w:rsidRDefault="00BB2BB5" w:rsidP="00DD10B3">
      <w:pPr>
        <w:spacing w:line="360" w:lineRule="auto"/>
        <w:rPr>
          <w:rFonts w:ascii="Times New Roman" w:hAnsi="Times New Roman" w:cs="Times New Roman"/>
          <w:b/>
          <w:bCs/>
        </w:rPr>
      </w:pPr>
    </w:p>
    <w:p w14:paraId="09767E4B" w14:textId="77777777" w:rsidR="00BB2BB5" w:rsidRDefault="00BB2BB5" w:rsidP="00DD10B3">
      <w:pPr>
        <w:spacing w:line="360" w:lineRule="auto"/>
        <w:rPr>
          <w:rFonts w:ascii="Times New Roman" w:hAnsi="Times New Roman" w:cs="Times New Roman"/>
          <w:b/>
          <w:bCs/>
        </w:rPr>
      </w:pPr>
    </w:p>
    <w:p w14:paraId="6DA61090" w14:textId="77777777" w:rsidR="00BB2BB5" w:rsidRDefault="00BB2BB5" w:rsidP="00DD10B3">
      <w:pPr>
        <w:spacing w:line="360" w:lineRule="auto"/>
        <w:rPr>
          <w:rFonts w:ascii="Times New Roman" w:hAnsi="Times New Roman" w:cs="Times New Roman"/>
          <w:b/>
          <w:bCs/>
        </w:rPr>
      </w:pPr>
    </w:p>
    <w:p w14:paraId="38AA3B69" w14:textId="77777777" w:rsidR="00BB2BB5" w:rsidRDefault="00BB2BB5" w:rsidP="00DD10B3">
      <w:pPr>
        <w:spacing w:line="360" w:lineRule="auto"/>
        <w:rPr>
          <w:rFonts w:ascii="Times New Roman" w:hAnsi="Times New Roman" w:cs="Times New Roman"/>
          <w:b/>
          <w:bCs/>
        </w:rPr>
      </w:pPr>
    </w:p>
    <w:p w14:paraId="605D8693" w14:textId="77777777" w:rsidR="00BB2BB5" w:rsidRDefault="00BB2BB5" w:rsidP="00DD10B3">
      <w:pPr>
        <w:spacing w:line="360" w:lineRule="auto"/>
        <w:rPr>
          <w:rFonts w:ascii="Times New Roman" w:hAnsi="Times New Roman" w:cs="Times New Roman"/>
          <w:b/>
          <w:bCs/>
        </w:rPr>
      </w:pPr>
    </w:p>
    <w:p w14:paraId="55ABF65D" w14:textId="77777777" w:rsidR="00BB2BB5" w:rsidRDefault="00BB2BB5" w:rsidP="00DD10B3">
      <w:pPr>
        <w:spacing w:line="360" w:lineRule="auto"/>
        <w:rPr>
          <w:rFonts w:ascii="Times New Roman" w:hAnsi="Times New Roman" w:cs="Times New Roman"/>
          <w:b/>
          <w:bCs/>
        </w:rPr>
      </w:pPr>
    </w:p>
    <w:p w14:paraId="32745E7C" w14:textId="77777777" w:rsidR="00BB2BB5" w:rsidRDefault="00BB2BB5" w:rsidP="00DD10B3">
      <w:pPr>
        <w:spacing w:line="360" w:lineRule="auto"/>
        <w:rPr>
          <w:rFonts w:ascii="Times New Roman" w:hAnsi="Times New Roman" w:cs="Times New Roman"/>
          <w:b/>
          <w:bCs/>
        </w:rPr>
      </w:pPr>
    </w:p>
    <w:p w14:paraId="4780E7D8" w14:textId="77777777" w:rsidR="00BB2BB5" w:rsidRDefault="00BB2BB5" w:rsidP="00DD10B3">
      <w:pPr>
        <w:spacing w:line="360" w:lineRule="auto"/>
        <w:rPr>
          <w:rFonts w:ascii="Times New Roman" w:hAnsi="Times New Roman" w:cs="Times New Roman"/>
          <w:b/>
          <w:bCs/>
        </w:rPr>
      </w:pPr>
    </w:p>
    <w:p w14:paraId="6593CB13" w14:textId="77777777" w:rsidR="00BB2BB5" w:rsidRDefault="00BB2BB5" w:rsidP="00DD10B3">
      <w:pPr>
        <w:spacing w:line="360" w:lineRule="auto"/>
        <w:rPr>
          <w:rFonts w:ascii="Times New Roman" w:hAnsi="Times New Roman" w:cs="Times New Roman"/>
          <w:b/>
          <w:bCs/>
        </w:rPr>
      </w:pPr>
    </w:p>
    <w:p w14:paraId="68CE4D44" w14:textId="71E2720A" w:rsidR="00FC6FFE" w:rsidRPr="00BB2BB5" w:rsidRDefault="00FC6FFE" w:rsidP="00BB2BB5">
      <w:pPr>
        <w:spacing w:line="360" w:lineRule="auto"/>
        <w:jc w:val="center"/>
        <w:rPr>
          <w:rFonts w:ascii="Times New Roman" w:hAnsi="Times New Roman" w:cs="Times New Roman"/>
          <w:b/>
          <w:bCs/>
          <w:u w:val="single"/>
        </w:rPr>
      </w:pPr>
      <w:r w:rsidRPr="00BB2BB5">
        <w:rPr>
          <w:rFonts w:ascii="Times New Roman" w:hAnsi="Times New Roman" w:cs="Times New Roman"/>
          <w:b/>
          <w:bCs/>
          <w:u w:val="single"/>
        </w:rPr>
        <w:lastRenderedPageBreak/>
        <w:t>References</w:t>
      </w:r>
    </w:p>
    <w:p w14:paraId="27E22AF0"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Ahl, A., Goto, M., Yarime, M., Tanaka, K. and Sagawa, D., 2022. Challenges and opportunities of blockchain energy applications: Interrelatedness among technological, economic, social, environmental, and institutional dimensions. </w:t>
      </w:r>
      <w:r w:rsidRPr="00BB2BB5">
        <w:rPr>
          <w:rFonts w:ascii="Times New Roman" w:hAnsi="Times New Roman" w:cs="Times New Roman"/>
          <w:i/>
          <w:iCs/>
        </w:rPr>
        <w:t>Renewable and Sustainable Energy Reviews, 166</w:t>
      </w:r>
      <w:r w:rsidRPr="00BB2BB5">
        <w:rPr>
          <w:rFonts w:ascii="Times New Roman" w:hAnsi="Times New Roman" w:cs="Times New Roman"/>
        </w:rPr>
        <w:t>, p.112623.</w:t>
      </w:r>
    </w:p>
    <w:p w14:paraId="6238EA38" w14:textId="2972ED72"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Barclays Bank PLC, 2024. Annual report 2024. Available at: </w:t>
      </w:r>
      <w:hyperlink r:id="rId6" w:history="1">
        <w:r w:rsidRPr="00E47DBB">
          <w:rPr>
            <w:rStyle w:val="Hyperlink"/>
            <w:rFonts w:ascii="Times New Roman" w:hAnsi="Times New Roman" w:cs="Times New Roman"/>
          </w:rPr>
          <w:t>https://home.barclays/investor-relations/reports-and-events/latest-financial-results/</w:t>
        </w:r>
      </w:hyperlink>
      <w:r>
        <w:rPr>
          <w:rFonts w:ascii="Times New Roman" w:hAnsi="Times New Roman" w:cs="Times New Roman"/>
        </w:rPr>
        <w:t xml:space="preserve"> </w:t>
      </w:r>
    </w:p>
    <w:p w14:paraId="3C7E52EA"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Bontempo, P.C., 2022. Countries’ governance and competitiveness: Business environment mediating effect. </w:t>
      </w:r>
      <w:r w:rsidRPr="00BB2BB5">
        <w:rPr>
          <w:rFonts w:ascii="Times New Roman" w:hAnsi="Times New Roman" w:cs="Times New Roman"/>
          <w:i/>
          <w:iCs/>
        </w:rPr>
        <w:t>RAUSP Management Journal, 57</w:t>
      </w:r>
      <w:r w:rsidRPr="00BB2BB5">
        <w:rPr>
          <w:rFonts w:ascii="Times New Roman" w:hAnsi="Times New Roman" w:cs="Times New Roman"/>
        </w:rPr>
        <w:t>(1), pp.49–64.</w:t>
      </w:r>
    </w:p>
    <w:p w14:paraId="092C0D72"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Bortoluzzi, G., Chiarvesio, M., Romanello, R., Tabacco, R. and </w:t>
      </w:r>
      <w:proofErr w:type="spellStart"/>
      <w:r w:rsidRPr="00BB2BB5">
        <w:rPr>
          <w:rFonts w:ascii="Times New Roman" w:hAnsi="Times New Roman" w:cs="Times New Roman"/>
        </w:rPr>
        <w:t>Veglio</w:t>
      </w:r>
      <w:proofErr w:type="spellEnd"/>
      <w:r w:rsidRPr="00BB2BB5">
        <w:rPr>
          <w:rFonts w:ascii="Times New Roman" w:hAnsi="Times New Roman" w:cs="Times New Roman"/>
        </w:rPr>
        <w:t xml:space="preserve">, V., 2022. </w:t>
      </w:r>
      <w:proofErr w:type="spellStart"/>
      <w:r w:rsidRPr="00BB2BB5">
        <w:rPr>
          <w:rFonts w:ascii="Times New Roman" w:hAnsi="Times New Roman" w:cs="Times New Roman"/>
        </w:rPr>
        <w:t>Servitisation</w:t>
      </w:r>
      <w:proofErr w:type="spellEnd"/>
      <w:r w:rsidRPr="00BB2BB5">
        <w:rPr>
          <w:rFonts w:ascii="Times New Roman" w:hAnsi="Times New Roman" w:cs="Times New Roman"/>
        </w:rPr>
        <w:t xml:space="preserve"> and performance in the business-to-business context: The moderating role of Industry 4.0 technologies. </w:t>
      </w:r>
      <w:r w:rsidRPr="00BB2BB5">
        <w:rPr>
          <w:rFonts w:ascii="Times New Roman" w:hAnsi="Times New Roman" w:cs="Times New Roman"/>
          <w:i/>
          <w:iCs/>
        </w:rPr>
        <w:t>Journal of Manufacturing Technology Management, 33</w:t>
      </w:r>
      <w:r w:rsidRPr="00BB2BB5">
        <w:rPr>
          <w:rFonts w:ascii="Times New Roman" w:hAnsi="Times New Roman" w:cs="Times New Roman"/>
        </w:rPr>
        <w:t>(9), pp.108–128.</w:t>
      </w:r>
    </w:p>
    <w:p w14:paraId="4DABF051" w14:textId="145CA1E4"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Cai, Y., 2024. Barclays Bank’s strategic transformation and analysis after Brexit. </w:t>
      </w:r>
      <w:r w:rsidRPr="00BB2BB5">
        <w:rPr>
          <w:rFonts w:ascii="Times New Roman" w:hAnsi="Times New Roman" w:cs="Times New Roman"/>
          <w:i/>
          <w:iCs/>
        </w:rPr>
        <w:t>Highlights in Business Economics and Management</w:t>
      </w:r>
      <w:r w:rsidRPr="00BB2BB5">
        <w:rPr>
          <w:rFonts w:ascii="Times New Roman" w:hAnsi="Times New Roman" w:cs="Times New Roman"/>
        </w:rPr>
        <w:t>, 41, pp.446–451. doi:10.54097/hzgedm34.</w:t>
      </w:r>
      <w:r>
        <w:rPr>
          <w:rFonts w:ascii="Times New Roman" w:hAnsi="Times New Roman" w:cs="Times New Roman"/>
        </w:rPr>
        <w:t xml:space="preserve"> Available at: </w:t>
      </w:r>
      <w:hyperlink r:id="rId7" w:history="1">
        <w:r w:rsidRPr="00E47DBB">
          <w:rPr>
            <w:rStyle w:val="Hyperlink"/>
            <w:rFonts w:ascii="Times New Roman" w:hAnsi="Times New Roman" w:cs="Times New Roman"/>
          </w:rPr>
          <w:t>https://www.researchgate.net/publication/385085364_Barclays_Bank%27s_Strategic_Transformation_and_Analysis_after_Brexit</w:t>
        </w:r>
      </w:hyperlink>
      <w:r>
        <w:rPr>
          <w:rFonts w:ascii="Times New Roman" w:hAnsi="Times New Roman" w:cs="Times New Roman"/>
        </w:rPr>
        <w:t xml:space="preserve"> </w:t>
      </w:r>
    </w:p>
    <w:p w14:paraId="26FF0352"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Cromwell, R.S. and Peprah, J.A., 2025. Banking business models and sustainable development: Challenges and opportunities. In: </w:t>
      </w:r>
      <w:r w:rsidRPr="00BB2BB5">
        <w:rPr>
          <w:rFonts w:ascii="Times New Roman" w:hAnsi="Times New Roman" w:cs="Times New Roman"/>
          <w:i/>
          <w:iCs/>
        </w:rPr>
        <w:t>Strategic Approaches to Banking Business and Sustainable Development Goals</w:t>
      </w:r>
      <w:r w:rsidRPr="00BB2BB5">
        <w:rPr>
          <w:rFonts w:ascii="Times New Roman" w:hAnsi="Times New Roman" w:cs="Times New Roman"/>
        </w:rPr>
        <w:t>, pp.3–22.</w:t>
      </w:r>
    </w:p>
    <w:p w14:paraId="4EF483A4"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Du, S., </w:t>
      </w:r>
      <w:proofErr w:type="spellStart"/>
      <w:r w:rsidRPr="00BB2BB5">
        <w:rPr>
          <w:rFonts w:ascii="Times New Roman" w:hAnsi="Times New Roman" w:cs="Times New Roman"/>
        </w:rPr>
        <w:t>Bstieler</w:t>
      </w:r>
      <w:proofErr w:type="spellEnd"/>
      <w:r w:rsidRPr="00BB2BB5">
        <w:rPr>
          <w:rFonts w:ascii="Times New Roman" w:hAnsi="Times New Roman" w:cs="Times New Roman"/>
        </w:rPr>
        <w:t xml:space="preserve">, L. and </w:t>
      </w:r>
      <w:proofErr w:type="spellStart"/>
      <w:r w:rsidRPr="00BB2BB5">
        <w:rPr>
          <w:rFonts w:ascii="Times New Roman" w:hAnsi="Times New Roman" w:cs="Times New Roman"/>
        </w:rPr>
        <w:t>Yalcinkaya</w:t>
      </w:r>
      <w:proofErr w:type="spellEnd"/>
      <w:r w:rsidRPr="00BB2BB5">
        <w:rPr>
          <w:rFonts w:ascii="Times New Roman" w:hAnsi="Times New Roman" w:cs="Times New Roman"/>
        </w:rPr>
        <w:t>, G., 2022. Sustainability-focused innovation in the business-to-business context: Antecedents and managerial implications</w:t>
      </w:r>
      <w:r w:rsidRPr="00BB2BB5">
        <w:rPr>
          <w:rFonts w:ascii="Times New Roman" w:hAnsi="Times New Roman" w:cs="Times New Roman"/>
          <w:i/>
          <w:iCs/>
        </w:rPr>
        <w:t>. Journal of Business Research, 138</w:t>
      </w:r>
      <w:r w:rsidRPr="00BB2BB5">
        <w:rPr>
          <w:rFonts w:ascii="Times New Roman" w:hAnsi="Times New Roman" w:cs="Times New Roman"/>
        </w:rPr>
        <w:t>, pp.117–129.</w:t>
      </w:r>
    </w:p>
    <w:p w14:paraId="48CB698E"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Farooq, S., Ahmad, A., Liaqat, F. and Ali, F.H., 2026. Understanding relevance of business environment for financial performance: The case of Asian non-banking microfinance institutions. </w:t>
      </w:r>
      <w:r w:rsidRPr="00BB2BB5">
        <w:rPr>
          <w:rFonts w:ascii="Times New Roman" w:hAnsi="Times New Roman" w:cs="Times New Roman"/>
          <w:i/>
          <w:iCs/>
        </w:rPr>
        <w:t>Vision, 30</w:t>
      </w:r>
      <w:r w:rsidRPr="00BB2BB5">
        <w:rPr>
          <w:rFonts w:ascii="Times New Roman" w:hAnsi="Times New Roman" w:cs="Times New Roman"/>
        </w:rPr>
        <w:t>(1), pp.42–52.</w:t>
      </w:r>
    </w:p>
    <w:p w14:paraId="018E8ED3" w14:textId="77777777" w:rsid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Koellner, T. and Roth, S., 2025. Family businesses and business families in cultural context: Interdisciplinary updates for family business research. </w:t>
      </w:r>
      <w:r w:rsidRPr="00BB2BB5">
        <w:rPr>
          <w:rFonts w:ascii="Times New Roman" w:hAnsi="Times New Roman" w:cs="Times New Roman"/>
          <w:i/>
          <w:iCs/>
        </w:rPr>
        <w:t>Cross-Cultural &amp; Strategic Management, 32</w:t>
      </w:r>
      <w:r w:rsidRPr="00BB2BB5">
        <w:rPr>
          <w:rFonts w:ascii="Times New Roman" w:hAnsi="Times New Roman" w:cs="Times New Roman"/>
        </w:rPr>
        <w:t>(2), pp.374–392.</w:t>
      </w:r>
    </w:p>
    <w:p w14:paraId="56A65F4E" w14:textId="5726DA7F"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lastRenderedPageBreak/>
        <w:t xml:space="preserve">Levchenko, V., Glonti, V., Polinkevych, O., </w:t>
      </w:r>
      <w:proofErr w:type="spellStart"/>
      <w:r w:rsidRPr="00BB2BB5">
        <w:rPr>
          <w:rFonts w:ascii="Times New Roman" w:hAnsi="Times New Roman" w:cs="Times New Roman"/>
        </w:rPr>
        <w:t>Khovrak</w:t>
      </w:r>
      <w:proofErr w:type="spellEnd"/>
      <w:r w:rsidRPr="00BB2BB5">
        <w:rPr>
          <w:rFonts w:ascii="Times New Roman" w:hAnsi="Times New Roman" w:cs="Times New Roman"/>
        </w:rPr>
        <w:t xml:space="preserve">, I., </w:t>
      </w:r>
      <w:proofErr w:type="spellStart"/>
      <w:r w:rsidRPr="00BB2BB5">
        <w:rPr>
          <w:rFonts w:ascii="Times New Roman" w:hAnsi="Times New Roman" w:cs="Times New Roman"/>
        </w:rPr>
        <w:t>Trynchuk</w:t>
      </w:r>
      <w:proofErr w:type="spellEnd"/>
      <w:r w:rsidRPr="00BB2BB5">
        <w:rPr>
          <w:rFonts w:ascii="Times New Roman" w:hAnsi="Times New Roman" w:cs="Times New Roman"/>
        </w:rPr>
        <w:t xml:space="preserve">, V. and Beridze, I., 2024. </w:t>
      </w:r>
      <w:r w:rsidRPr="00BB2BB5">
        <w:rPr>
          <w:rFonts w:ascii="Times New Roman" w:hAnsi="Times New Roman" w:cs="Times New Roman"/>
          <w:i/>
          <w:iCs/>
        </w:rPr>
        <w:t>Transformation of the business models in the context of achieving sustainable development. Quality.</w:t>
      </w:r>
      <w:r>
        <w:rPr>
          <w:rFonts w:ascii="Times New Roman" w:hAnsi="Times New Roman" w:cs="Times New Roman"/>
        </w:rPr>
        <w:t xml:space="preserve"> </w:t>
      </w:r>
      <w:r w:rsidRPr="00BB2BB5">
        <w:rPr>
          <w:rFonts w:ascii="Times New Roman" w:hAnsi="Times New Roman" w:cs="Times New Roman"/>
        </w:rPr>
        <w:t>Access to Success.</w:t>
      </w:r>
    </w:p>
    <w:p w14:paraId="5617BF31"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Li, G., Sun, X., Ye, M. and Mardani, A., 2024. Assessment of digital transformation challenges for business model innovation in the context of higher education institutions using a decision support approach. </w:t>
      </w:r>
      <w:r w:rsidRPr="00BB2BB5">
        <w:rPr>
          <w:rFonts w:ascii="Times New Roman" w:hAnsi="Times New Roman" w:cs="Times New Roman"/>
          <w:i/>
          <w:iCs/>
        </w:rPr>
        <w:t>Journal of Innovation &amp; Knowledge, 9</w:t>
      </w:r>
      <w:r w:rsidRPr="00BB2BB5">
        <w:rPr>
          <w:rFonts w:ascii="Times New Roman" w:hAnsi="Times New Roman" w:cs="Times New Roman"/>
        </w:rPr>
        <w:t>(3), p.100527.</w:t>
      </w:r>
    </w:p>
    <w:p w14:paraId="116674E4"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Li, W., Wang, S. and Deng, X., 2024. The impact of digital finance on the business environment: Mediating role of industrial structural upgrading and moderating role of digital infrastructure. </w:t>
      </w:r>
      <w:r w:rsidRPr="00BB2BB5">
        <w:rPr>
          <w:rFonts w:ascii="Times New Roman" w:hAnsi="Times New Roman" w:cs="Times New Roman"/>
          <w:i/>
          <w:iCs/>
        </w:rPr>
        <w:t>Finance Research Letters, 67</w:t>
      </w:r>
      <w:r w:rsidRPr="00BB2BB5">
        <w:rPr>
          <w:rFonts w:ascii="Times New Roman" w:hAnsi="Times New Roman" w:cs="Times New Roman"/>
        </w:rPr>
        <w:t>, p.105775.</w:t>
      </w:r>
    </w:p>
    <w:p w14:paraId="4CEE108E" w14:textId="08991FD1"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Lordkipanidze, R., 2023. New understanding of </w:t>
      </w:r>
      <w:r>
        <w:rPr>
          <w:rFonts w:ascii="Times New Roman" w:hAnsi="Times New Roman" w:cs="Times New Roman"/>
        </w:rPr>
        <w:t xml:space="preserve">the </w:t>
      </w:r>
      <w:r w:rsidRPr="00BB2BB5">
        <w:rPr>
          <w:rFonts w:ascii="Times New Roman" w:hAnsi="Times New Roman" w:cs="Times New Roman"/>
        </w:rPr>
        <w:t xml:space="preserve">law of supply and demand and perfect economic competition for effective economic growth and political systems. </w:t>
      </w:r>
      <w:r w:rsidRPr="00BB2BB5">
        <w:rPr>
          <w:rFonts w:ascii="Times New Roman" w:hAnsi="Times New Roman" w:cs="Times New Roman"/>
          <w:i/>
          <w:iCs/>
        </w:rPr>
        <w:t>Theoretical Economics Letters, 13</w:t>
      </w:r>
      <w:r w:rsidRPr="00BB2BB5">
        <w:rPr>
          <w:rFonts w:ascii="Times New Roman" w:hAnsi="Times New Roman" w:cs="Times New Roman"/>
        </w:rPr>
        <w:t>(5), pp.1152–1158.</w:t>
      </w:r>
    </w:p>
    <w:p w14:paraId="1F887B41"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Maga, S. and </w:t>
      </w:r>
      <w:proofErr w:type="spellStart"/>
      <w:r w:rsidRPr="00BB2BB5">
        <w:rPr>
          <w:rFonts w:ascii="Times New Roman" w:hAnsi="Times New Roman" w:cs="Times New Roman"/>
        </w:rPr>
        <w:t>Bodlaj</w:t>
      </w:r>
      <w:proofErr w:type="spellEnd"/>
      <w:r w:rsidRPr="00BB2BB5">
        <w:rPr>
          <w:rFonts w:ascii="Times New Roman" w:hAnsi="Times New Roman" w:cs="Times New Roman"/>
        </w:rPr>
        <w:t xml:space="preserve">, M., 2025. Drivers and outcomes of chatbot use in the business-to-business context: Exploring business customers’ perspectives. </w:t>
      </w:r>
      <w:r w:rsidRPr="00BB2BB5">
        <w:rPr>
          <w:rFonts w:ascii="Times New Roman" w:hAnsi="Times New Roman" w:cs="Times New Roman"/>
          <w:i/>
          <w:iCs/>
        </w:rPr>
        <w:t>Journal of Business &amp; Industrial Marketing, 40</w:t>
      </w:r>
      <w:r w:rsidRPr="00BB2BB5">
        <w:rPr>
          <w:rFonts w:ascii="Times New Roman" w:hAnsi="Times New Roman" w:cs="Times New Roman"/>
        </w:rPr>
        <w:t>(1), pp.250–264.</w:t>
      </w:r>
    </w:p>
    <w:p w14:paraId="157E2FC8"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Meyer, K.E., Li, J. and </w:t>
      </w:r>
      <w:proofErr w:type="spellStart"/>
      <w:r w:rsidRPr="00BB2BB5">
        <w:rPr>
          <w:rFonts w:ascii="Times New Roman" w:hAnsi="Times New Roman" w:cs="Times New Roman"/>
        </w:rPr>
        <w:t>Brouthers</w:t>
      </w:r>
      <w:proofErr w:type="spellEnd"/>
      <w:r w:rsidRPr="00BB2BB5">
        <w:rPr>
          <w:rFonts w:ascii="Times New Roman" w:hAnsi="Times New Roman" w:cs="Times New Roman"/>
        </w:rPr>
        <w:t xml:space="preserve">, K.D., 2023. International business in the digital age: Global strategies in a world of national institutions. </w:t>
      </w:r>
      <w:r w:rsidRPr="00BB2BB5">
        <w:rPr>
          <w:rFonts w:ascii="Times New Roman" w:hAnsi="Times New Roman" w:cs="Times New Roman"/>
          <w:i/>
          <w:iCs/>
        </w:rPr>
        <w:t>Journal of International Business Studies, 54</w:t>
      </w:r>
      <w:r w:rsidRPr="00BB2BB5">
        <w:rPr>
          <w:rFonts w:ascii="Times New Roman" w:hAnsi="Times New Roman" w:cs="Times New Roman"/>
        </w:rPr>
        <w:t>(4), p.577.</w:t>
      </w:r>
    </w:p>
    <w:p w14:paraId="6C4465F7" w14:textId="61035A9E"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Molla, C., Bhuiyan, M.R.I., Islam, M.T. and Amin, A., 2026. Mediating role </w:t>
      </w:r>
      <w:r>
        <w:rPr>
          <w:rFonts w:ascii="Times New Roman" w:hAnsi="Times New Roman" w:cs="Times New Roman"/>
        </w:rPr>
        <w:t>of</w:t>
      </w:r>
      <w:r w:rsidRPr="00BB2BB5">
        <w:rPr>
          <w:rFonts w:ascii="Times New Roman" w:hAnsi="Times New Roman" w:cs="Times New Roman"/>
        </w:rPr>
        <w:t xml:space="preserve"> banking performance for adopting </w:t>
      </w:r>
      <w:r>
        <w:rPr>
          <w:rFonts w:ascii="Times New Roman" w:hAnsi="Times New Roman" w:cs="Times New Roman"/>
        </w:rPr>
        <w:t xml:space="preserve">a </w:t>
      </w:r>
      <w:r w:rsidRPr="00BB2BB5">
        <w:rPr>
          <w:rFonts w:ascii="Times New Roman" w:hAnsi="Times New Roman" w:cs="Times New Roman"/>
        </w:rPr>
        <w:t xml:space="preserve">digital bank using a technology </w:t>
      </w:r>
      <w:r>
        <w:rPr>
          <w:rFonts w:ascii="Times New Roman" w:hAnsi="Times New Roman" w:cs="Times New Roman"/>
        </w:rPr>
        <w:t>organisational</w:t>
      </w:r>
      <w:r w:rsidRPr="00BB2BB5">
        <w:rPr>
          <w:rFonts w:ascii="Times New Roman" w:hAnsi="Times New Roman" w:cs="Times New Roman"/>
        </w:rPr>
        <w:t xml:space="preserve"> environment model. </w:t>
      </w:r>
      <w:r w:rsidRPr="00BB2BB5">
        <w:rPr>
          <w:rFonts w:ascii="Times New Roman" w:hAnsi="Times New Roman" w:cs="Times New Roman"/>
          <w:i/>
          <w:iCs/>
        </w:rPr>
        <w:t>Digital Finance, 8</w:t>
      </w:r>
      <w:r w:rsidRPr="00BB2BB5">
        <w:rPr>
          <w:rFonts w:ascii="Times New Roman" w:hAnsi="Times New Roman" w:cs="Times New Roman"/>
        </w:rPr>
        <w:t>(1), p.4.</w:t>
      </w:r>
    </w:p>
    <w:p w14:paraId="41772493"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Morrison, J., 2017. </w:t>
      </w:r>
      <w:r w:rsidRPr="00BB2BB5">
        <w:rPr>
          <w:rFonts w:ascii="Times New Roman" w:hAnsi="Times New Roman" w:cs="Times New Roman"/>
          <w:i/>
          <w:iCs/>
        </w:rPr>
        <w:t>The global business environment: Challenges and responsibilities</w:t>
      </w:r>
      <w:r w:rsidRPr="00BB2BB5">
        <w:rPr>
          <w:rFonts w:ascii="Times New Roman" w:hAnsi="Times New Roman" w:cs="Times New Roman"/>
        </w:rPr>
        <w:t>. London: Bloomsbury.</w:t>
      </w:r>
    </w:p>
    <w:p w14:paraId="5CCE371E"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Rehman, S.U., Bresciani, S., Yahiaoui, D. and Giacosa, E., 2022. Environmental sustainability orientation and corporate social responsibility influence on environmental performance of small and medium enterprises: The mediating effect of green capability. </w:t>
      </w:r>
      <w:r w:rsidRPr="00BB2BB5">
        <w:rPr>
          <w:rFonts w:ascii="Times New Roman" w:hAnsi="Times New Roman" w:cs="Times New Roman"/>
          <w:i/>
          <w:iCs/>
        </w:rPr>
        <w:t>Corporate Social Responsibility and Environmental Management, 29</w:t>
      </w:r>
      <w:r w:rsidRPr="00BB2BB5">
        <w:rPr>
          <w:rFonts w:ascii="Times New Roman" w:hAnsi="Times New Roman" w:cs="Times New Roman"/>
        </w:rPr>
        <w:t>(6), pp.1954–1967.</w:t>
      </w:r>
    </w:p>
    <w:p w14:paraId="49DFC3E6" w14:textId="77777777" w:rsid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Setiadi, M.T., Anwar, F.A. and </w:t>
      </w:r>
      <w:proofErr w:type="spellStart"/>
      <w:r w:rsidRPr="00BB2BB5">
        <w:rPr>
          <w:rFonts w:ascii="Times New Roman" w:hAnsi="Times New Roman" w:cs="Times New Roman"/>
        </w:rPr>
        <w:t>Solihin</w:t>
      </w:r>
      <w:proofErr w:type="spellEnd"/>
      <w:r w:rsidRPr="00BB2BB5">
        <w:rPr>
          <w:rFonts w:ascii="Times New Roman" w:hAnsi="Times New Roman" w:cs="Times New Roman"/>
        </w:rPr>
        <w:t xml:space="preserve">, A., 2026. The influence of financial management on business growth in medium-scale title companies. </w:t>
      </w:r>
      <w:r w:rsidRPr="00BB2BB5">
        <w:rPr>
          <w:rFonts w:ascii="Times New Roman" w:hAnsi="Times New Roman" w:cs="Times New Roman"/>
          <w:i/>
          <w:iCs/>
        </w:rPr>
        <w:t>International Journal of Financial Economics, 2</w:t>
      </w:r>
      <w:r w:rsidRPr="00BB2BB5">
        <w:rPr>
          <w:rFonts w:ascii="Times New Roman" w:hAnsi="Times New Roman" w:cs="Times New Roman"/>
        </w:rPr>
        <w:t>(7), pp.1273–1287.</w:t>
      </w:r>
    </w:p>
    <w:p w14:paraId="20DFAFE1" w14:textId="1F7A872B"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lastRenderedPageBreak/>
        <w:t xml:space="preserve">Talebi, K., Ghasemi, Z., </w:t>
      </w:r>
      <w:proofErr w:type="spellStart"/>
      <w:r w:rsidRPr="00BB2BB5">
        <w:rPr>
          <w:rFonts w:ascii="Times New Roman" w:hAnsi="Times New Roman" w:cs="Times New Roman"/>
        </w:rPr>
        <w:t>Nobari</w:t>
      </w:r>
      <w:proofErr w:type="spellEnd"/>
      <w:r w:rsidRPr="00BB2BB5">
        <w:rPr>
          <w:rFonts w:ascii="Times New Roman" w:hAnsi="Times New Roman" w:cs="Times New Roman"/>
        </w:rPr>
        <w:t xml:space="preserve">, N. and Seraj, M., 2025. Artificial intelligence adoption by digital startups in decision-making within uncertain business environments. In: </w:t>
      </w:r>
      <w:r w:rsidRPr="00BB2BB5">
        <w:rPr>
          <w:rFonts w:ascii="Times New Roman" w:hAnsi="Times New Roman" w:cs="Times New Roman"/>
          <w:i/>
          <w:iCs/>
        </w:rPr>
        <w:t>Entrepreneurship-Digital Transformation, Education, Opportunities and Challenges</w:t>
      </w:r>
      <w:r w:rsidRPr="00BB2BB5">
        <w:rPr>
          <w:rFonts w:ascii="Times New Roman" w:hAnsi="Times New Roman" w:cs="Times New Roman"/>
        </w:rPr>
        <w:t>. Intech Open.</w:t>
      </w:r>
    </w:p>
    <w:p w14:paraId="65C97D14" w14:textId="77777777" w:rsidR="00BB2BB5" w:rsidRPr="00BB2BB5" w:rsidRDefault="00BB2BB5" w:rsidP="00BB2BB5">
      <w:pPr>
        <w:spacing w:line="360" w:lineRule="auto"/>
        <w:rPr>
          <w:rFonts w:ascii="Times New Roman" w:hAnsi="Times New Roman" w:cs="Times New Roman"/>
        </w:rPr>
      </w:pPr>
      <w:r w:rsidRPr="00BB2BB5">
        <w:rPr>
          <w:rFonts w:ascii="Times New Roman" w:hAnsi="Times New Roman" w:cs="Times New Roman"/>
        </w:rPr>
        <w:t xml:space="preserve">Turner, C., 2024. </w:t>
      </w:r>
      <w:r w:rsidRPr="00BB2BB5">
        <w:rPr>
          <w:rFonts w:ascii="Times New Roman" w:hAnsi="Times New Roman" w:cs="Times New Roman"/>
          <w:i/>
          <w:iCs/>
        </w:rPr>
        <w:t>International business: Themes and issues in the modern global economy</w:t>
      </w:r>
      <w:r w:rsidRPr="00BB2BB5">
        <w:rPr>
          <w:rFonts w:ascii="Times New Roman" w:hAnsi="Times New Roman" w:cs="Times New Roman"/>
        </w:rPr>
        <w:t>. London: Routledge.</w:t>
      </w:r>
    </w:p>
    <w:p w14:paraId="1A51606E" w14:textId="312AE0AF" w:rsidR="00FC6FFE" w:rsidRPr="00DD10B3" w:rsidRDefault="00BB2BB5" w:rsidP="00BB2BB5">
      <w:pPr>
        <w:spacing w:line="360" w:lineRule="auto"/>
        <w:rPr>
          <w:rFonts w:ascii="Times New Roman" w:hAnsi="Times New Roman" w:cs="Times New Roman"/>
        </w:rPr>
      </w:pPr>
      <w:proofErr w:type="spellStart"/>
      <w:r w:rsidRPr="00BB2BB5">
        <w:rPr>
          <w:rFonts w:ascii="Times New Roman" w:hAnsi="Times New Roman" w:cs="Times New Roman"/>
        </w:rPr>
        <w:t>Wetherly</w:t>
      </w:r>
      <w:proofErr w:type="spellEnd"/>
      <w:r w:rsidRPr="00BB2BB5">
        <w:rPr>
          <w:rFonts w:ascii="Times New Roman" w:hAnsi="Times New Roman" w:cs="Times New Roman"/>
        </w:rPr>
        <w:t xml:space="preserve">, P. and Otter, D., 2014. </w:t>
      </w:r>
      <w:r w:rsidRPr="00BB2BB5">
        <w:rPr>
          <w:rFonts w:ascii="Times New Roman" w:hAnsi="Times New Roman" w:cs="Times New Roman"/>
          <w:i/>
          <w:iCs/>
        </w:rPr>
        <w:t>The business environment: Themes and issues in a globalising world.</w:t>
      </w:r>
      <w:r w:rsidRPr="00BB2BB5">
        <w:rPr>
          <w:rFonts w:ascii="Times New Roman" w:hAnsi="Times New Roman" w:cs="Times New Roman"/>
        </w:rPr>
        <w:t xml:space="preserve"> Oxford: Oxford University Press.</w:t>
      </w:r>
    </w:p>
    <w:sectPr w:rsidR="00FC6FFE" w:rsidRPr="00DD10B3" w:rsidSect="00702CD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327AE" w14:textId="77777777" w:rsidR="00FC6E37" w:rsidRDefault="00FC6E37" w:rsidP="00702CD2">
      <w:pPr>
        <w:spacing w:after="0" w:line="240" w:lineRule="auto"/>
      </w:pPr>
      <w:r>
        <w:separator/>
      </w:r>
    </w:p>
  </w:endnote>
  <w:endnote w:type="continuationSeparator" w:id="0">
    <w:p w14:paraId="601EA2C9" w14:textId="77777777" w:rsidR="00FC6E37" w:rsidRDefault="00FC6E37" w:rsidP="007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838D" w14:textId="45C9A4EC" w:rsidR="00702CD2" w:rsidRDefault="00702CD2">
    <w:pPr>
      <w:pStyle w:val="Footer"/>
    </w:pPr>
    <w:r>
      <w:rPr>
        <w:noProof/>
        <w:color w:val="156082" w:themeColor="accent1"/>
      </w:rPr>
      <mc:AlternateContent>
        <mc:Choice Requires="wps">
          <w:drawing>
            <wp:anchor distT="0" distB="0" distL="114300" distR="114300" simplePos="0" relativeHeight="251659264" behindDoc="0" locked="0" layoutInCell="1" allowOverlap="1" wp14:anchorId="63C8C85A" wp14:editId="28BAFDA3">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C85890"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1EE48" w14:textId="77777777" w:rsidR="00FC6E37" w:rsidRDefault="00FC6E37" w:rsidP="00702CD2">
      <w:pPr>
        <w:spacing w:after="0" w:line="240" w:lineRule="auto"/>
      </w:pPr>
      <w:r>
        <w:separator/>
      </w:r>
    </w:p>
  </w:footnote>
  <w:footnote w:type="continuationSeparator" w:id="0">
    <w:p w14:paraId="2E2F2368" w14:textId="77777777" w:rsidR="00FC6E37" w:rsidRDefault="00FC6E37" w:rsidP="00702C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B3"/>
    <w:rsid w:val="0005107A"/>
    <w:rsid w:val="00060CBA"/>
    <w:rsid w:val="00221411"/>
    <w:rsid w:val="004577AB"/>
    <w:rsid w:val="005B3C58"/>
    <w:rsid w:val="00702CD2"/>
    <w:rsid w:val="00753D67"/>
    <w:rsid w:val="00B416EC"/>
    <w:rsid w:val="00BB2BB5"/>
    <w:rsid w:val="00C67383"/>
    <w:rsid w:val="00CA3A2A"/>
    <w:rsid w:val="00DD10B3"/>
    <w:rsid w:val="00FC6E37"/>
    <w:rsid w:val="00FC6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ADB0"/>
  <w15:chartTrackingRefBased/>
  <w15:docId w15:val="{560914F8-D24D-46D5-8906-4DB14D71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1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1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1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1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1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0B3"/>
    <w:rPr>
      <w:rFonts w:eastAsiaTheme="majorEastAsia" w:cstheme="majorBidi"/>
      <w:color w:val="272727" w:themeColor="text1" w:themeTint="D8"/>
    </w:rPr>
  </w:style>
  <w:style w:type="paragraph" w:styleId="Title">
    <w:name w:val="Title"/>
    <w:basedOn w:val="Normal"/>
    <w:next w:val="Normal"/>
    <w:link w:val="TitleChar"/>
    <w:uiPriority w:val="10"/>
    <w:qFormat/>
    <w:rsid w:val="00DD1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0B3"/>
    <w:pPr>
      <w:spacing w:before="160"/>
      <w:jc w:val="center"/>
    </w:pPr>
    <w:rPr>
      <w:i/>
      <w:iCs/>
      <w:color w:val="404040" w:themeColor="text1" w:themeTint="BF"/>
    </w:rPr>
  </w:style>
  <w:style w:type="character" w:customStyle="1" w:styleId="QuoteChar">
    <w:name w:val="Quote Char"/>
    <w:basedOn w:val="DefaultParagraphFont"/>
    <w:link w:val="Quote"/>
    <w:uiPriority w:val="29"/>
    <w:rsid w:val="00DD10B3"/>
    <w:rPr>
      <w:i/>
      <w:iCs/>
      <w:color w:val="404040" w:themeColor="text1" w:themeTint="BF"/>
    </w:rPr>
  </w:style>
  <w:style w:type="paragraph" w:styleId="ListParagraph">
    <w:name w:val="List Paragraph"/>
    <w:basedOn w:val="Normal"/>
    <w:uiPriority w:val="34"/>
    <w:qFormat/>
    <w:rsid w:val="00DD10B3"/>
    <w:pPr>
      <w:ind w:left="720"/>
      <w:contextualSpacing/>
    </w:pPr>
  </w:style>
  <w:style w:type="character" w:styleId="IntenseEmphasis">
    <w:name w:val="Intense Emphasis"/>
    <w:basedOn w:val="DefaultParagraphFont"/>
    <w:uiPriority w:val="21"/>
    <w:qFormat/>
    <w:rsid w:val="00DD10B3"/>
    <w:rPr>
      <w:i/>
      <w:iCs/>
      <w:color w:val="0F4761" w:themeColor="accent1" w:themeShade="BF"/>
    </w:rPr>
  </w:style>
  <w:style w:type="paragraph" w:styleId="IntenseQuote">
    <w:name w:val="Intense Quote"/>
    <w:basedOn w:val="Normal"/>
    <w:next w:val="Normal"/>
    <w:link w:val="IntenseQuoteChar"/>
    <w:uiPriority w:val="30"/>
    <w:qFormat/>
    <w:rsid w:val="00DD1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10B3"/>
    <w:rPr>
      <w:i/>
      <w:iCs/>
      <w:color w:val="0F4761" w:themeColor="accent1" w:themeShade="BF"/>
    </w:rPr>
  </w:style>
  <w:style w:type="character" w:styleId="IntenseReference">
    <w:name w:val="Intense Reference"/>
    <w:basedOn w:val="DefaultParagraphFont"/>
    <w:uiPriority w:val="32"/>
    <w:qFormat/>
    <w:rsid w:val="00DD10B3"/>
    <w:rPr>
      <w:b/>
      <w:bCs/>
      <w:smallCaps/>
      <w:color w:val="0F4761" w:themeColor="accent1" w:themeShade="BF"/>
      <w:spacing w:val="5"/>
    </w:rPr>
  </w:style>
  <w:style w:type="character" w:styleId="Hyperlink">
    <w:name w:val="Hyperlink"/>
    <w:basedOn w:val="DefaultParagraphFont"/>
    <w:uiPriority w:val="99"/>
    <w:unhideWhenUsed/>
    <w:rsid w:val="00BB2BB5"/>
    <w:rPr>
      <w:color w:val="467886" w:themeColor="hyperlink"/>
      <w:u w:val="single"/>
    </w:rPr>
  </w:style>
  <w:style w:type="character" w:styleId="UnresolvedMention">
    <w:name w:val="Unresolved Mention"/>
    <w:basedOn w:val="DefaultParagraphFont"/>
    <w:uiPriority w:val="99"/>
    <w:semiHidden/>
    <w:unhideWhenUsed/>
    <w:rsid w:val="00BB2BB5"/>
    <w:rPr>
      <w:color w:val="605E5C"/>
      <w:shd w:val="clear" w:color="auto" w:fill="E1DFDD"/>
    </w:rPr>
  </w:style>
  <w:style w:type="paragraph" w:styleId="Header">
    <w:name w:val="header"/>
    <w:basedOn w:val="Normal"/>
    <w:link w:val="HeaderChar"/>
    <w:uiPriority w:val="99"/>
    <w:unhideWhenUsed/>
    <w:rsid w:val="00702C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CD2"/>
  </w:style>
  <w:style w:type="paragraph" w:styleId="Footer">
    <w:name w:val="footer"/>
    <w:basedOn w:val="Normal"/>
    <w:link w:val="FooterChar"/>
    <w:uiPriority w:val="99"/>
    <w:unhideWhenUsed/>
    <w:rsid w:val="00702C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CD2"/>
  </w:style>
  <w:style w:type="paragraph" w:styleId="NoSpacing">
    <w:name w:val="No Spacing"/>
    <w:link w:val="NoSpacingChar"/>
    <w:uiPriority w:val="1"/>
    <w:qFormat/>
    <w:rsid w:val="00702CD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2CD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researchgate.net/publication/385085364_Barclays_Bank%27s_Strategic_Transformation_and_Analysis_after_Brex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me.barclays/investor-relations/reports-and-events/latest-financial-result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4255</Words>
  <Characters>24258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2026-04-03T17:14:00Z</dcterms:created>
  <dcterms:modified xsi:type="dcterms:W3CDTF">2026-04-03T17:14:00Z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f510c2bc-c858-4d8e-82d5-318959e32608</vt:lpwstr>
  </property>
</Properties>
</file>