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D9CA26E"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7198D">
        <w:rPr>
          <w:rFonts w:ascii="Arial"/>
          <w:b/>
          <w:sz w:val="48"/>
          <w:szCs w:val="48"/>
          <w:lang w:val="fr-FR"/>
        </w:rPr>
        <w:t xml:space="preserve"> </w:t>
      </w:r>
      <w:r w:rsidR="0000375B" w:rsidRPr="0000375B">
        <w:rPr>
          <w:rFonts w:ascii="Arial"/>
          <w:b/>
          <w:sz w:val="48"/>
          <w:szCs w:val="48"/>
          <w:lang w:val="fr-FR"/>
        </w:rPr>
        <w:t>EC</w:t>
      </w:r>
      <w:r w:rsidR="0000375B">
        <w:rPr>
          <w:rFonts w:ascii="Arial"/>
          <w:b/>
          <w:sz w:val="48"/>
          <w:szCs w:val="48"/>
          <w:lang w:val="fr-FR"/>
        </w:rPr>
        <w:t>AD</w:t>
      </w:r>
      <w:r w:rsidR="0007198D">
        <w:rPr>
          <w:rFonts w:ascii="Arial"/>
          <w:b/>
          <w:sz w:val="48"/>
          <w:szCs w:val="48"/>
          <w:lang w:val="fr-FR"/>
        </w:rPr>
        <w:t>5</w:t>
      </w:r>
      <w:r w:rsidR="0000375B">
        <w:rPr>
          <w:rFonts w:ascii="Arial"/>
          <w:b/>
          <w:sz w:val="48"/>
          <w:szCs w:val="48"/>
          <w:lang w:val="fr-FR"/>
        </w:rPr>
        <w:t>01</w:t>
      </w:r>
      <w:r w:rsidR="0007198D">
        <w:rPr>
          <w:rFonts w:ascii="Arial"/>
          <w:b/>
          <w:sz w:val="48"/>
          <w:szCs w:val="48"/>
          <w:lang w:val="fr-FR"/>
        </w:rPr>
        <w:t>3</w:t>
      </w:r>
    </w:p>
    <w:p w14:paraId="5051A2D5" w14:textId="77777777" w:rsidR="00347EA1" w:rsidRPr="0000375B" w:rsidRDefault="00347EA1" w:rsidP="00DD5969">
      <w:pPr>
        <w:spacing w:before="212"/>
        <w:rPr>
          <w:rFonts w:ascii="Arial"/>
          <w:b/>
          <w:sz w:val="48"/>
          <w:szCs w:val="48"/>
          <w:lang w:val="fr-FR"/>
        </w:rPr>
      </w:pPr>
    </w:p>
    <w:p w14:paraId="7681432B" w14:textId="45331EA5" w:rsidR="00DD5969" w:rsidRPr="009650B7" w:rsidRDefault="00DD5969" w:rsidP="00DD5969">
      <w:pPr>
        <w:spacing w:before="3"/>
        <w:rPr>
          <w:rFonts w:ascii="Arial"/>
          <w:b/>
          <w:sz w:val="48"/>
          <w:szCs w:val="48"/>
        </w:rPr>
      </w:pPr>
      <w:r w:rsidRPr="009650B7">
        <w:rPr>
          <w:rFonts w:ascii="Arial"/>
          <w:b/>
          <w:sz w:val="48"/>
          <w:szCs w:val="48"/>
        </w:rPr>
        <w:t>STUDENT NAME:</w:t>
      </w:r>
      <w:r w:rsidR="0009633E" w:rsidRPr="009650B7">
        <w:rPr>
          <w:rFonts w:ascii="Arial"/>
          <w:b/>
          <w:sz w:val="48"/>
          <w:szCs w:val="48"/>
        </w:rPr>
        <w:t xml:space="preserve"> Maisie Llewelyn-Davies </w:t>
      </w:r>
    </w:p>
    <w:p w14:paraId="0D16D138" w14:textId="77777777" w:rsidR="00DD5969" w:rsidRPr="009650B7" w:rsidRDefault="00DD5969" w:rsidP="00DD5969">
      <w:pPr>
        <w:spacing w:before="3"/>
        <w:rPr>
          <w:rFonts w:ascii="Arial"/>
          <w:b/>
          <w:sz w:val="48"/>
          <w:szCs w:val="48"/>
        </w:rPr>
      </w:pPr>
    </w:p>
    <w:p w14:paraId="18107AFF" w14:textId="27AB7C18"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E25A21">
        <w:rPr>
          <w:rFonts w:ascii="Arial"/>
          <w:b/>
          <w:sz w:val="48"/>
          <w:szCs w:val="48"/>
        </w:rPr>
        <w:t xml:space="preserve"> 2304024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t>AI Acknowledgement</w:t>
      </w:r>
    </w:p>
    <w:p w14:paraId="44C358F6" w14:textId="1D492025" w:rsidR="00DD5969" w:rsidRPr="00DD5969" w:rsidRDefault="00DD5969" w:rsidP="00DD5969">
      <w:r w:rsidRPr="00DD5969">
        <w:t xml:space="preserve">I acknowledge the use of </w:t>
      </w:r>
      <w:r w:rsidR="00C74AFA">
        <w:t>Chat GPT</w:t>
      </w:r>
      <w:r w:rsidRPr="00DD5969">
        <w:t xml:space="preserve"> (</w:t>
      </w:r>
      <w:r w:rsidR="006C21D6" w:rsidRPr="006C21D6">
        <w:t>chatgpt.com</w:t>
      </w:r>
      <w:r w:rsidRPr="00DD5969">
        <w:t xml:space="preserve">) on </w:t>
      </w:r>
      <w:r w:rsidR="009324ED">
        <w:t>27</w:t>
      </w:r>
      <w:r w:rsidR="006C21D6">
        <w:t>/0</w:t>
      </w:r>
      <w:r w:rsidR="001E5138">
        <w:t>4</w:t>
      </w:r>
      <w:r w:rsidR="006C21D6">
        <w:t>/2025</w:t>
      </w:r>
      <w:r w:rsidRPr="00DD5969">
        <w:t xml:space="preserve"> to </w:t>
      </w:r>
      <w:r w:rsidR="00166CE5">
        <w:t>research for my assignment</w:t>
      </w:r>
      <w:r w:rsidRPr="00DD5969">
        <w:t xml:space="preserve">. I used the prompt(s): </w:t>
      </w:r>
    </w:p>
    <w:p w14:paraId="15389F66" w14:textId="52DF0012" w:rsidR="00DD5969" w:rsidRPr="00DD5969" w:rsidRDefault="00DD5969" w:rsidP="00DD5969">
      <w:r w:rsidRPr="00DD5969">
        <w:t xml:space="preserve">1. </w:t>
      </w:r>
      <w:r w:rsidR="001E5138">
        <w:t xml:space="preserve">What </w:t>
      </w:r>
      <w:r w:rsidR="009324ED">
        <w:t xml:space="preserve">theorists </w:t>
      </w:r>
      <w:r w:rsidR="009C338C">
        <w:t>talk about community?</w:t>
      </w:r>
    </w:p>
    <w:p w14:paraId="3847D137" w14:textId="19CD5DB8" w:rsidR="00DD5969" w:rsidRPr="00DD5969" w:rsidRDefault="00DD5969" w:rsidP="00DD5969">
      <w:r w:rsidRPr="00DD5969">
        <w:t xml:space="preserve">2. </w:t>
      </w:r>
      <w:r w:rsidR="009C338C">
        <w:t xml:space="preserve">What could be some aims of my initiative? </w:t>
      </w:r>
    </w:p>
    <w:p w14:paraId="35F2F4DA" w14:textId="1145B0A5" w:rsidR="00DD5969" w:rsidRPr="00DD5969" w:rsidRDefault="00DD5969" w:rsidP="00DD5969">
      <w:r w:rsidRPr="00DD5969">
        <w:t xml:space="preserve">3. </w:t>
      </w:r>
      <w:r w:rsidR="00745566">
        <w:t>Could you find research to support this?</w:t>
      </w:r>
    </w:p>
    <w:p w14:paraId="4008D193" w14:textId="77777777" w:rsidR="00E243A8" w:rsidRDefault="00DD5969" w:rsidP="00DD5969">
      <w:r w:rsidRPr="00DD5969">
        <w:t xml:space="preserve">I confirm that I have not presented any AI generated text as my own work. </w:t>
      </w:r>
    </w:p>
    <w:p w14:paraId="44A8291C" w14:textId="080D3142" w:rsidR="00DD5969"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66B4A3BE" w14:textId="77777777" w:rsidR="009B4F8F" w:rsidRDefault="009B4F8F" w:rsidP="00DD5969"/>
    <w:p w14:paraId="0AB44DFA" w14:textId="067C268B" w:rsidR="009B4F8F" w:rsidRDefault="00C74AFA" w:rsidP="00C74AFA">
      <w:r w:rsidRPr="00DD5969">
        <w:t xml:space="preserve">I acknowledge the use of </w:t>
      </w:r>
      <w:r w:rsidR="00BD50C3">
        <w:t>Grammarly</w:t>
      </w:r>
      <w:r w:rsidRPr="00DD5969">
        <w:t xml:space="preserve"> (</w:t>
      </w:r>
      <w:r w:rsidR="00177384" w:rsidRPr="00177384">
        <w:t>https://app.grammarly.com</w:t>
      </w:r>
      <w:r w:rsidRPr="00DD5969">
        <w:t xml:space="preserve">) on </w:t>
      </w:r>
      <w:r w:rsidR="009B4F8F">
        <w:t>05/05/2025</w:t>
      </w:r>
      <w:r w:rsidRPr="00DD5969">
        <w:t xml:space="preserve"> to </w:t>
      </w:r>
      <w:r w:rsidR="009B4F8F">
        <w:t>check punctuation of</w:t>
      </w:r>
      <w:r w:rsidRPr="00DD5969">
        <w:t xml:space="preserve"> my work.</w:t>
      </w:r>
      <w:r w:rsidR="00123DF1">
        <w:t xml:space="preserve"> </w:t>
      </w:r>
      <w:r w:rsidR="00123DF1" w:rsidRPr="00DD5969">
        <w:t>I used the prompt(s):</w:t>
      </w:r>
    </w:p>
    <w:p w14:paraId="0CDA81A3" w14:textId="5E976BBC" w:rsidR="00123DF1" w:rsidRDefault="00123DF1" w:rsidP="00C74AFA">
      <w:r w:rsidRPr="00123DF1">
        <w:t xml:space="preserve">1. Please check the following text for readability, grammar and syntax. </w:t>
      </w:r>
    </w:p>
    <w:p w14:paraId="67BEE349" w14:textId="0C1131E8" w:rsidR="00C74AFA" w:rsidRDefault="00C74AFA" w:rsidP="00C74AFA">
      <w:r w:rsidRPr="00DD5969">
        <w:t xml:space="preserve">I confirm that I have not presented any AI generated text as my own work. </w:t>
      </w:r>
    </w:p>
    <w:p w14:paraId="21226613" w14:textId="77777777" w:rsidR="00C74AFA" w:rsidRDefault="00C74AFA" w:rsidP="00C74AFA">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6596BA98" w14:textId="77777777" w:rsidR="00C74AFA" w:rsidRDefault="00C74AFA" w:rsidP="00DD5969"/>
    <w:p w14:paraId="4121D0F7" w14:textId="77777777" w:rsidR="00B103B9" w:rsidRDefault="00B103B9" w:rsidP="00DD5969"/>
    <w:p w14:paraId="154EB214" w14:textId="77777777" w:rsidR="00E243A8" w:rsidRDefault="00E243A8" w:rsidP="00DD5969"/>
    <w:p w14:paraId="187A0FDC" w14:textId="77777777" w:rsidR="00B103B9" w:rsidRDefault="00B103B9" w:rsidP="00DD5969"/>
    <w:p w14:paraId="5DE045AC" w14:textId="77777777" w:rsidR="00E10797" w:rsidRDefault="00E10797" w:rsidP="00DD5969"/>
    <w:p w14:paraId="790AB640" w14:textId="77777777" w:rsidR="00E10797" w:rsidRDefault="00E10797" w:rsidP="00DD5969"/>
    <w:p w14:paraId="31507470" w14:textId="77777777" w:rsidR="00C2550A" w:rsidRDefault="00C2550A" w:rsidP="00DD5969"/>
    <w:p w14:paraId="4DF22479" w14:textId="77777777" w:rsidR="000C541C" w:rsidRDefault="000C541C" w:rsidP="00DD5969">
      <w:pPr>
        <w:rPr>
          <w:sz w:val="16"/>
          <w:szCs w:val="16"/>
        </w:rPr>
      </w:pPr>
    </w:p>
    <w:p w14:paraId="6E7759F1" w14:textId="77777777" w:rsidR="0000375B" w:rsidRDefault="0000375B">
      <w:pPr>
        <w:rPr>
          <w:sz w:val="16"/>
          <w:szCs w:val="16"/>
        </w:rPr>
      </w:pPr>
    </w:p>
    <w:p w14:paraId="053AAD8E" w14:textId="77777777" w:rsidR="0000375B" w:rsidRDefault="0000375B">
      <w:pPr>
        <w:rPr>
          <w:sz w:val="16"/>
          <w:szCs w:val="16"/>
        </w:rPr>
      </w:pPr>
    </w:p>
    <w:p w14:paraId="00DEC237" w14:textId="77777777" w:rsidR="0000375B" w:rsidRDefault="0000375B">
      <w:pPr>
        <w:rPr>
          <w:sz w:val="16"/>
          <w:szCs w:val="16"/>
        </w:rPr>
      </w:pPr>
    </w:p>
    <w:p w14:paraId="6D2D955E" w14:textId="77777777" w:rsidR="0000375B" w:rsidRDefault="0000375B">
      <w:pPr>
        <w:rPr>
          <w:sz w:val="16"/>
          <w:szCs w:val="16"/>
        </w:rPr>
      </w:pPr>
    </w:p>
    <w:p w14:paraId="02511CD8" w14:textId="77777777" w:rsidR="0000375B" w:rsidRDefault="0000375B">
      <w:pPr>
        <w:rPr>
          <w:sz w:val="16"/>
          <w:szCs w:val="16"/>
        </w:rPr>
      </w:pPr>
    </w:p>
    <w:p w14:paraId="5154171D" w14:textId="77777777" w:rsidR="0000375B" w:rsidRDefault="0000375B">
      <w:pPr>
        <w:rPr>
          <w:b/>
          <w:bCs/>
        </w:rPr>
      </w:pPr>
      <w:r w:rsidRPr="0000375B">
        <w:rPr>
          <w:b/>
          <w:bCs/>
        </w:rPr>
        <w:lastRenderedPageBreak/>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16BB5D00" w:rsidR="0000375B" w:rsidRDefault="007F618F" w:rsidP="00DD5969">
            <w:pPr>
              <w:rPr>
                <w:sz w:val="16"/>
                <w:szCs w:val="16"/>
              </w:rPr>
            </w:pPr>
            <w:r w:rsidRPr="007F618F">
              <w:rPr>
                <w:sz w:val="16"/>
                <w:szCs w:val="16"/>
              </w:rPr>
              <w:t>Avoid over reliance on websites - try to use the recommended reading list and look for academic papers that have been peer reviewed.</w:t>
            </w:r>
          </w:p>
          <w:p w14:paraId="0EDC9850" w14:textId="77777777" w:rsidR="0000375B" w:rsidRDefault="0000375B" w:rsidP="00DD5969">
            <w:pPr>
              <w:rPr>
                <w:sz w:val="16"/>
                <w:szCs w:val="16"/>
              </w:rPr>
            </w:pPr>
          </w:p>
        </w:tc>
        <w:tc>
          <w:tcPr>
            <w:tcW w:w="4508" w:type="dxa"/>
          </w:tcPr>
          <w:p w14:paraId="314B4582" w14:textId="77777777" w:rsidR="0000375B" w:rsidRDefault="0000375B" w:rsidP="00DD5969">
            <w:pPr>
              <w:rPr>
                <w:sz w:val="16"/>
                <w:szCs w:val="16"/>
              </w:rPr>
            </w:pPr>
          </w:p>
          <w:p w14:paraId="3FCBF01B" w14:textId="6635FC44" w:rsidR="009F22F1" w:rsidRDefault="009F22F1" w:rsidP="00DD5969">
            <w:pPr>
              <w:rPr>
                <w:sz w:val="16"/>
                <w:szCs w:val="16"/>
              </w:rPr>
            </w:pPr>
            <w:r>
              <w:rPr>
                <w:sz w:val="16"/>
                <w:szCs w:val="16"/>
              </w:rPr>
              <w:t xml:space="preserve">I tried to use more academic </w:t>
            </w:r>
            <w:r w:rsidR="007F5436">
              <w:rPr>
                <w:sz w:val="16"/>
                <w:szCs w:val="16"/>
              </w:rPr>
              <w:t xml:space="preserve">sources to make my work more reliable. </w:t>
            </w:r>
          </w:p>
        </w:tc>
      </w:tr>
      <w:tr w:rsidR="0000375B" w14:paraId="2411A5A2" w14:textId="77777777" w:rsidTr="0000375B">
        <w:tc>
          <w:tcPr>
            <w:tcW w:w="4508" w:type="dxa"/>
          </w:tcPr>
          <w:p w14:paraId="4A120529" w14:textId="77777777" w:rsidR="0000375B" w:rsidRDefault="0000375B" w:rsidP="00DD5969">
            <w:pPr>
              <w:rPr>
                <w:sz w:val="16"/>
                <w:szCs w:val="16"/>
              </w:rPr>
            </w:pPr>
          </w:p>
          <w:p w14:paraId="73ED8D37" w14:textId="1C996925" w:rsidR="0000375B" w:rsidRDefault="00CF5926" w:rsidP="00DD5969">
            <w:pPr>
              <w:rPr>
                <w:sz w:val="16"/>
                <w:szCs w:val="16"/>
              </w:rPr>
            </w:pPr>
            <w:r w:rsidRPr="00CF5926">
              <w:rPr>
                <w:sz w:val="16"/>
                <w:szCs w:val="16"/>
              </w:rPr>
              <w:t>Use your professional standards and relevant literature to guide next steps. What impact will your findings have on your own future teaching practice? </w:t>
            </w:r>
          </w:p>
          <w:p w14:paraId="2A59CA2F" w14:textId="77777777" w:rsidR="0000375B" w:rsidRDefault="0000375B" w:rsidP="00DD5969">
            <w:pPr>
              <w:rPr>
                <w:sz w:val="16"/>
                <w:szCs w:val="16"/>
              </w:rPr>
            </w:pPr>
          </w:p>
        </w:tc>
        <w:tc>
          <w:tcPr>
            <w:tcW w:w="4508" w:type="dxa"/>
          </w:tcPr>
          <w:p w14:paraId="0147F7AF" w14:textId="77777777" w:rsidR="0000375B" w:rsidRDefault="0000375B" w:rsidP="00DD5969">
            <w:pPr>
              <w:rPr>
                <w:sz w:val="16"/>
                <w:szCs w:val="16"/>
              </w:rPr>
            </w:pPr>
          </w:p>
          <w:p w14:paraId="51AE3AC6" w14:textId="1DA7CC85" w:rsidR="007F5436" w:rsidRDefault="004D4704" w:rsidP="00DD5969">
            <w:pPr>
              <w:rPr>
                <w:sz w:val="16"/>
                <w:szCs w:val="16"/>
              </w:rPr>
            </w:pPr>
            <w:r>
              <w:rPr>
                <w:sz w:val="16"/>
                <w:szCs w:val="16"/>
              </w:rPr>
              <w:t xml:space="preserve">I did not find this relevant </w:t>
            </w:r>
            <w:r w:rsidR="00ED278A">
              <w:rPr>
                <w:sz w:val="16"/>
                <w:szCs w:val="16"/>
              </w:rPr>
              <w:t xml:space="preserve">for this assignment but this will be considered for future practice. </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4B51507A" w14:textId="56941C3D" w:rsidR="0000375B" w:rsidRDefault="0000375B" w:rsidP="0000375B">
      <w:pPr>
        <w:rPr>
          <w:b/>
          <w:bCs/>
        </w:rPr>
      </w:pPr>
      <w:r w:rsidRPr="6A487CAC">
        <w:rPr>
          <w:b/>
          <w:bCs/>
        </w:rPr>
        <w:lastRenderedPageBreak/>
        <w:t>Create a community profile for your PTE1</w:t>
      </w:r>
      <w:r>
        <w:rPr>
          <w:b/>
          <w:bCs/>
        </w:rPr>
        <w:t xml:space="preserve"> school</w:t>
      </w:r>
      <w:r w:rsidRPr="6A487CAC">
        <w:rPr>
          <w:b/>
          <w:bCs/>
        </w:rPr>
        <w:t xml:space="preserve">. Using relevant literature, suggest ways in which the school </w:t>
      </w:r>
      <w:r>
        <w:rPr>
          <w:b/>
          <w:bCs/>
        </w:rPr>
        <w:t xml:space="preserve">could </w:t>
      </w:r>
      <w:r w:rsidRPr="6A487CAC">
        <w:rPr>
          <w:b/>
          <w:bCs/>
        </w:rPr>
        <w:t>make use of its location and community to support pupil learning.</w:t>
      </w:r>
    </w:p>
    <w:p w14:paraId="30752396" w14:textId="77777777" w:rsidR="00C855A3" w:rsidRPr="00C855A3" w:rsidRDefault="00C855A3" w:rsidP="006F1EBC">
      <w:pPr>
        <w:spacing w:line="360" w:lineRule="auto"/>
        <w:rPr>
          <w:sz w:val="22"/>
          <w:szCs w:val="22"/>
        </w:rPr>
      </w:pPr>
      <w:r w:rsidRPr="00C855A3">
        <w:rPr>
          <w:sz w:val="22"/>
          <w:szCs w:val="22"/>
        </w:rPr>
        <w:t xml:space="preserve">The importance of community engagement within schools and education has been widely recognised, particularly in the context of schools in Wales (Sarjeant and Egan, 2023). A community is a group of people with similar characteristics or interests and can be classified by geographical location, age, race, ethnicity, occupation, and shared interests or beliefs (NICE, 2017).  This proposal aims to bring schools and the community closer together, creating opportunities for collaboration and shared learning. By encouraging active involvement from everyone, we hope to build stronger connections and create a more supportive environment for students, families, and residents (Armstrong, 2015). This also falls in line with the Welsh Government’s Community Focused School guidance (2022) which aims to increase community, family, and school involvement to help students and overcome gaps in education (Welsh Government, 2022b). </w:t>
      </w:r>
    </w:p>
    <w:p w14:paraId="18E2FC20" w14:textId="77777777" w:rsidR="00C855A3" w:rsidRPr="00C855A3" w:rsidRDefault="00C855A3" w:rsidP="006F1EBC">
      <w:pPr>
        <w:spacing w:line="360" w:lineRule="auto"/>
        <w:rPr>
          <w:sz w:val="22"/>
          <w:szCs w:val="22"/>
        </w:rPr>
      </w:pPr>
      <w:r w:rsidRPr="00C855A3">
        <w:rPr>
          <w:sz w:val="22"/>
          <w:szCs w:val="22"/>
        </w:rPr>
        <w:t>The proposed initiative, Library Walks, involves fortnightly walks to the local library where learners choose their books to read in the library, in school and take home with them. The school on which this is based doesn’t partake in library walks, however, there is a local library a short walking distance from the school, approximately 10 minutes each way. Furthermore, families of the learners would also be invited, further enriching their experience. This initiative should increase pupil engagement with literature, eliminate barriers to learning and allow students to access valuable and reliable learning materials (</w:t>
      </w:r>
      <w:proofErr w:type="spellStart"/>
      <w:r w:rsidRPr="00C855A3">
        <w:rPr>
          <w:sz w:val="22"/>
          <w:szCs w:val="22"/>
        </w:rPr>
        <w:t>Teachwire</w:t>
      </w:r>
      <w:proofErr w:type="spellEnd"/>
      <w:r w:rsidRPr="00C855A3">
        <w:rPr>
          <w:sz w:val="22"/>
          <w:szCs w:val="22"/>
        </w:rPr>
        <w:t xml:space="preserve">, 2024). The school where this initiative is based is a state school that has approximately 360 students and is well-regarded for the progress learners make in developing their reading skills. However, some learners are still experiencing the effects of COVID-19 on their reading abilities. As research suggests state school students were not offered the same resources as those in private school students through lockdown (Anders, 2022). Throughout the proposal, the school will be referred to as School A to follow BERA guidelines (Bera, 2019). </w:t>
      </w:r>
    </w:p>
    <w:p w14:paraId="56EF07CE" w14:textId="3D4BE32B" w:rsidR="00C855A3" w:rsidRPr="00C855A3" w:rsidRDefault="00C855A3" w:rsidP="006F1EBC">
      <w:pPr>
        <w:spacing w:line="360" w:lineRule="auto"/>
        <w:rPr>
          <w:sz w:val="22"/>
          <w:szCs w:val="22"/>
        </w:rPr>
      </w:pPr>
      <w:r w:rsidRPr="00C855A3">
        <w:rPr>
          <w:sz w:val="22"/>
          <w:szCs w:val="22"/>
        </w:rPr>
        <w:t xml:space="preserve">In recent years, the Welsh Government has brought attention to the importance of schools engaging with the community. The Community Focused Schools guidance (2022) highlights how collaboration between educators, families, and community organisations is essential in meeting the needs of individual learners. Effective strategies involve engaging multiple agencies, bringing services together in one location, and building trust to foster an inclusive environment. Schools use local resources and involve parents to adapt support and improve the learning experiences of children. The guidance also states how this aligns </w:t>
      </w:r>
      <w:r w:rsidR="00423E84" w:rsidRPr="00C855A3">
        <w:rPr>
          <w:sz w:val="22"/>
          <w:szCs w:val="22"/>
        </w:rPr>
        <w:t xml:space="preserve">with the 4 </w:t>
      </w:r>
      <w:r w:rsidR="00423E84" w:rsidRPr="00C855A3">
        <w:rPr>
          <w:sz w:val="22"/>
          <w:szCs w:val="22"/>
        </w:rPr>
        <w:lastRenderedPageBreak/>
        <w:t>purposes</w:t>
      </w:r>
      <w:r w:rsidRPr="00C855A3">
        <w:rPr>
          <w:sz w:val="22"/>
          <w:szCs w:val="22"/>
        </w:rPr>
        <w:t xml:space="preserve"> of preparing learners to become ambitious, capable, ethical and healthy (Welsh Government, 2022).  </w:t>
      </w:r>
    </w:p>
    <w:p w14:paraId="2B0B3BCF" w14:textId="77777777" w:rsidR="00C855A3" w:rsidRPr="00C855A3" w:rsidRDefault="00C855A3" w:rsidP="006F1EBC">
      <w:pPr>
        <w:spacing w:line="360" w:lineRule="auto"/>
        <w:rPr>
          <w:sz w:val="22"/>
          <w:szCs w:val="22"/>
        </w:rPr>
      </w:pPr>
      <w:r w:rsidRPr="00C855A3">
        <w:rPr>
          <w:sz w:val="22"/>
          <w:szCs w:val="22"/>
        </w:rPr>
        <w:t xml:space="preserve">This has been supported by Estyn (2020), who found that community schools that work closely with families and the community improve the learner’s prospects in life by being aware of the social and economic challenges they may encounter. These schools prioritise family and community involvement as they understand the importance it has on raising student achievement and well-being. Within their research, Estyn has compiled multiple case studies, highlighting the significance of community involvement on learners’ attainment. An example of this is Ysgol </w:t>
      </w:r>
      <w:proofErr w:type="spellStart"/>
      <w:r w:rsidRPr="00C855A3">
        <w:rPr>
          <w:sz w:val="22"/>
          <w:szCs w:val="22"/>
        </w:rPr>
        <w:t>Golwg</w:t>
      </w:r>
      <w:proofErr w:type="spellEnd"/>
      <w:r w:rsidRPr="00C855A3">
        <w:rPr>
          <w:sz w:val="22"/>
          <w:szCs w:val="22"/>
        </w:rPr>
        <w:t xml:space="preserve"> Y Cwm, a primary school located in a remote and underserved area in Swansea, which has cultivated a cohesive, trusting relationship with families by providing parents with unrestricted access to discuss issues with staff members. The school has formed strong partnerships with local organisations, including a domestic abuse support agency, healthcare providers and social services. These collaborations have enabled the school to offer vital support to both learners and their families. Estyn found that this approach has increased student well-being and literacy skills. Also, vulnerable parents have become more confident in their ability to learn and find work, and parent satisfaction has increased (Estyn, 2020). This highlights the benefits of family involvement in schools and how it impacts the well-being of pupils. </w:t>
      </w:r>
    </w:p>
    <w:p w14:paraId="69024319" w14:textId="77777777" w:rsidR="00C855A3" w:rsidRPr="00C855A3" w:rsidRDefault="00C855A3" w:rsidP="006F1EBC">
      <w:pPr>
        <w:spacing w:line="360" w:lineRule="auto"/>
        <w:rPr>
          <w:sz w:val="22"/>
          <w:szCs w:val="22"/>
        </w:rPr>
      </w:pPr>
      <w:r w:rsidRPr="00C855A3">
        <w:rPr>
          <w:sz w:val="22"/>
          <w:szCs w:val="22"/>
        </w:rPr>
        <w:t>However, despite the potential benefits of community schools, several challenges can hinder their implementation and effectiveness. According to Heers et al. (2016), parental engagement remains a significant challenge, as some families may be unwilling or unable to participate actively in their children's education. Additionally, community schools often require staff with diverse skill sets, complicating recruitment and professional development efforts. The effectiveness of these schools also varies widely depending on local contexts and available resources, making standardised outcomes difficult to achieve (Heers et al., 2016).</w:t>
      </w:r>
    </w:p>
    <w:p w14:paraId="16D4FA30" w14:textId="77777777" w:rsidR="00C855A3" w:rsidRPr="00C855A3" w:rsidRDefault="00C855A3" w:rsidP="006F1EBC">
      <w:pPr>
        <w:spacing w:line="360" w:lineRule="auto"/>
        <w:rPr>
          <w:sz w:val="22"/>
          <w:szCs w:val="22"/>
        </w:rPr>
      </w:pPr>
      <w:r w:rsidRPr="00C855A3">
        <w:rPr>
          <w:sz w:val="22"/>
          <w:szCs w:val="22"/>
        </w:rPr>
        <w:t xml:space="preserve">To better understand the interactions between schools, families, and the wider community, Bronfenbrenner’s Ecological Systems Theory provides a useful theoretical lens. His theory suggests that human development is shaped by a series of interconnected environments, each having its influence. These environments are organised in layers: the microsystem, which includes the person’s immediate surroundings (family, school, and peers); the mesosystem, which refers to the connections between these immediate settings (family-school partnerships); the </w:t>
      </w:r>
      <w:proofErr w:type="spellStart"/>
      <w:r w:rsidRPr="00C855A3">
        <w:rPr>
          <w:sz w:val="22"/>
          <w:szCs w:val="22"/>
        </w:rPr>
        <w:t>exosystem</w:t>
      </w:r>
      <w:proofErr w:type="spellEnd"/>
      <w:r w:rsidRPr="00C855A3">
        <w:rPr>
          <w:sz w:val="22"/>
          <w:szCs w:val="22"/>
        </w:rPr>
        <w:t xml:space="preserve">, which includes external factors (such as parent's workplace); the macrosystem, which is the broader cultural and societal influences; and the chronosystem, </w:t>
      </w:r>
      <w:r w:rsidRPr="00C855A3">
        <w:rPr>
          <w:sz w:val="22"/>
          <w:szCs w:val="22"/>
        </w:rPr>
        <w:lastRenderedPageBreak/>
        <w:t xml:space="preserve">which focuses on how time and life changes impact development. The theory emphasises that development happens through the ongoing interactions between an individual’s characteristics and these different levels of influence. Understanding these systems can encourage schools to work with families, local organisations, and community leaders, creating a supportive network that enhances the learning experience and addresses the diverse needs of students. By doing so, schools can leverage the broader community to positively influence the educational and developmental outcomes of students (Guy-Evans, 2024). </w:t>
      </w:r>
    </w:p>
    <w:p w14:paraId="038ED0B1" w14:textId="77777777" w:rsidR="00C855A3" w:rsidRPr="00C855A3" w:rsidRDefault="00C855A3" w:rsidP="006F1EBC">
      <w:pPr>
        <w:spacing w:line="360" w:lineRule="auto"/>
        <w:rPr>
          <w:sz w:val="22"/>
          <w:szCs w:val="22"/>
        </w:rPr>
      </w:pPr>
      <w:r w:rsidRPr="00C855A3">
        <w:rPr>
          <w:sz w:val="22"/>
          <w:szCs w:val="22"/>
        </w:rPr>
        <w:t xml:space="preserve">This theory supports the rationale for schools working collaboratively with families, local agencies, and community leaders to create supportive networks that enhance learning and well-being. Stanley and Kuo (2022) reinforce this, noting that the theory is used in schools to evaluate and enhance the influences of family, community, and environmental factors on student learning. Additionally, the theory guides partnerships among schools, families, and universities to improve collaboration, address diverse needs, and create supportive learning environments (Stanley and Kuo, 2022). </w:t>
      </w:r>
    </w:p>
    <w:p w14:paraId="18E8D432" w14:textId="77777777" w:rsidR="00C855A3" w:rsidRPr="00C855A3" w:rsidRDefault="00C855A3" w:rsidP="006F1EBC">
      <w:pPr>
        <w:spacing w:line="360" w:lineRule="auto"/>
        <w:rPr>
          <w:sz w:val="22"/>
          <w:szCs w:val="22"/>
        </w:rPr>
      </w:pPr>
      <w:r w:rsidRPr="00C855A3">
        <w:rPr>
          <w:sz w:val="22"/>
          <w:szCs w:val="22"/>
        </w:rPr>
        <w:t xml:space="preserve">While Bronfenbrenner offers valuable insight into structural influences on development, Christensen (2016) critiques the theory stating that it insufficiently addresses individual circumstances, and the agency people possess in shaping their development outcomes. Additionally, Christensen argues that the framework tends to focus predominantly on the adverse effects of disadvantage, offering little insight into the role of resilience and how individuals from marginalised backgrounds can still succeed (Christensen, 2016). </w:t>
      </w:r>
    </w:p>
    <w:p w14:paraId="372136FD" w14:textId="77777777" w:rsidR="00C855A3" w:rsidRPr="00C855A3" w:rsidRDefault="00C855A3" w:rsidP="006F1EBC">
      <w:pPr>
        <w:spacing w:line="360" w:lineRule="auto"/>
        <w:rPr>
          <w:sz w:val="22"/>
          <w:szCs w:val="22"/>
        </w:rPr>
      </w:pPr>
      <w:r w:rsidRPr="00C855A3">
        <w:rPr>
          <w:sz w:val="22"/>
          <w:szCs w:val="22"/>
        </w:rPr>
        <w:t xml:space="preserve">The proposal provides an opportunity for learners to strengthen their language and literacy skills, particularly considering the setbacks many have experienced in their learning due to the impact of COVID-19. Pascal et al. (2020), from the Sutton Trust, found that 65% of families that were home-schooling during lockdown felt stressed and overwhelmed (Pascal et al., 2020) while one-third of parents felt “out of depth” as children faced challenges in learning during lockdown (Action for Children, 2020). Pascal et al (2020) further highlight the importance of children attending early years setting for children’s holistic development. The lack of access to these settings during the lockdown has likely contributed to a widening attainment gap and has significantly hindered children's development (Pascal et al., 2020). An Education Endowment Foundation (EEF) study (2022) found that pupils were approximately three months behind expected levels for reading (EEF, 2022) which is supported by the National Literacy Trust (2022) that found the expected standard of reading in Key Stage 1 had fallen from 75% to 67% between 2019 and 2022. However, the article also states that the ‘Covid gap’ had closed by 2023 </w:t>
      </w:r>
      <w:r w:rsidRPr="00C855A3">
        <w:rPr>
          <w:sz w:val="22"/>
          <w:szCs w:val="22"/>
        </w:rPr>
        <w:lastRenderedPageBreak/>
        <w:t xml:space="preserve">(National Literacy Trust, 2022). Thomas Kane disagrees with this, stressing that the effects of COVID-19 still impact families and education. Kane argues that, while some schools are doing better than others, on average, learners have fallen behind by half a grade in math and a quarter of a grade in reading (Kane, as cited in </w:t>
      </w:r>
      <w:proofErr w:type="spellStart"/>
      <w:r w:rsidRPr="00C855A3">
        <w:rPr>
          <w:sz w:val="22"/>
          <w:szCs w:val="22"/>
        </w:rPr>
        <w:t>Perfas</w:t>
      </w:r>
      <w:proofErr w:type="spellEnd"/>
      <w:r w:rsidRPr="00C855A3">
        <w:rPr>
          <w:sz w:val="22"/>
          <w:szCs w:val="22"/>
        </w:rPr>
        <w:t xml:space="preserve">, 2024). This is further supported by the Welsh Government’s personalised assessments in Reading and Numeracy which highlighted how, in the 2022/23 academic year, pupils’ average attainment in English Reading was lower than in 2020/21, with the decline equivalent to approximately four months of lost learning (Welsh Government, 2024). As school A is a state school, the learners may have faced more challenges with their learning due to financial struggles compared to others. This is highlighted in the Institute for Fiscal Studies (IFS) report (2021) in which they found that 74% of private school pupils were receiving full days of education during the pandemic, compared to 38% of state school pupils. They further demonstrate how, during the first lockdown, children from higher-income families were more likely to receive online lessons from their schools, spend a lot more time learning at home, and have better access to resources like a private study space (Blundell et al., 2021). However, Estyn (2020) have expressed how state schools worked with the communities and families during the effects of COVID-19. Estyn states that the education community’s response to COVID-19 has demonstrated the capability of collaboration among schools. Teachers across Wales strengthened their partnerships with parents to support home learning and schools have teamed up with various organisations to provide hub services for children of critical workers and vulnerable students. Staff in schools and local authorities ensured that children eligible for free school meals received food, collaborating with food banks to deliver parcels to at-risk families and distributing IT devices where needed (Estyn, 2020). </w:t>
      </w:r>
    </w:p>
    <w:p w14:paraId="104763ED" w14:textId="77777777" w:rsidR="00C855A3" w:rsidRPr="00C855A3" w:rsidRDefault="00C855A3" w:rsidP="006F1EBC">
      <w:pPr>
        <w:spacing w:line="360" w:lineRule="auto"/>
        <w:rPr>
          <w:sz w:val="22"/>
          <w:szCs w:val="22"/>
        </w:rPr>
      </w:pPr>
      <w:r w:rsidRPr="00C855A3">
        <w:rPr>
          <w:sz w:val="22"/>
          <w:szCs w:val="22"/>
        </w:rPr>
        <w:t xml:space="preserve">In response to the educational impacts of COVID-19, library walks aim to provide a dynamic way to develop the Language, Literacy and Communication (LLC) skills of learners. To do this, learners must re-engage with literature and rebuild their confidence in independent reading. The National Literacy Trust (2023) states visiting local libraries can help boost children's confidence with books and library use, while also encouraging the development of their reader identities and greater enjoyment of reading (National Literacy Trust, 2023).  To encourage learners to read and improve their LLC skills, they need to choose material that they find interesting. Research by Cremin and Scholes (2024) found that allowing learners to choose what they want to read is key to their enjoyment of reading, allows them to see themselves as readers and they are more likely to stay engaged. They also found that access to a wide range of reading materials, which can be limited by family income, is important for supporting learner’s choices and encouraging a love of reading (Cremin and Scholes, 2024). This is further supported </w:t>
      </w:r>
      <w:r w:rsidRPr="00C855A3">
        <w:rPr>
          <w:sz w:val="22"/>
          <w:szCs w:val="22"/>
        </w:rPr>
        <w:lastRenderedPageBreak/>
        <w:t xml:space="preserve">by local libraries by allowing free access to books and no charge for late returns on children's books (Libraries Unlimited, 2022). </w:t>
      </w:r>
    </w:p>
    <w:p w14:paraId="1DD130AC" w14:textId="77777777" w:rsidR="00C855A3" w:rsidRPr="00C855A3" w:rsidRDefault="00C855A3" w:rsidP="006F1EBC">
      <w:pPr>
        <w:spacing w:line="360" w:lineRule="auto"/>
        <w:rPr>
          <w:sz w:val="22"/>
          <w:szCs w:val="22"/>
        </w:rPr>
      </w:pPr>
      <w:r w:rsidRPr="00C855A3">
        <w:rPr>
          <w:sz w:val="22"/>
          <w:szCs w:val="22"/>
        </w:rPr>
        <w:t>A further aim of the initiative is to strengthen the link between home, school and community. To do this families are invited on the trips to use resources provided by the community to create a shared learning experience, enhance educational outcomes and support the local community. The EEF has found that parental engagement with student learning can create an additional five months of additional learning in literacy (Education Endowment Foundation, 2021). Research by Campana et al. (2020) has found that visiting local libraries provides families with access to diverse resources that support children's learning and literacy. Libraries serve as "resource brokers," connecting parents and caregivers to early learning information and community organisations, fostering family engagement. Additionally, collaborative activities, such as story times and arts and crafts, promote active learning and enhance relationships among families, primary schools, and libraries (Campana et al., 2020). By inviting families along to the library with the school, the initiative encourages shared learning experiences, strengthens home-school communication, and builds lasting connections between families and community literacy resources.</w:t>
      </w:r>
    </w:p>
    <w:p w14:paraId="7D450B73" w14:textId="77777777" w:rsidR="00C855A3" w:rsidRPr="00C855A3" w:rsidRDefault="00C855A3" w:rsidP="006F1EBC">
      <w:pPr>
        <w:spacing w:line="360" w:lineRule="auto"/>
        <w:rPr>
          <w:sz w:val="22"/>
          <w:szCs w:val="22"/>
        </w:rPr>
      </w:pPr>
      <w:r w:rsidRPr="00C855A3">
        <w:rPr>
          <w:sz w:val="22"/>
          <w:szCs w:val="22"/>
        </w:rPr>
        <w:t xml:space="preserve">To understand the effectiveness of a fortnightly library visit, it is essential to establish clear methods for measuring impact and making sure the aims and objectives are being achieved. To do this, reading records would be used to track learner’s reading in school and at home. Reading records are commonly used in primary schools to allow feedback to be shared between the teacher and the parents and guardians of the learner (Dawes, 2023). The EEF (2020) have supported the idea of using resources such as reading records as it allows for metacognition and self-regulated learning (SRL) which, as their research suggests, raises attainment and academic achievement. Their study found that by using metacognition and SRL, learners become more aware of their reading habits and strategies, allowing them to track progress and adjust for better learning outcomes (EEF, 2022a).  However, according to </w:t>
      </w:r>
      <w:proofErr w:type="spellStart"/>
      <w:r w:rsidRPr="00C855A3">
        <w:rPr>
          <w:sz w:val="22"/>
          <w:szCs w:val="22"/>
        </w:rPr>
        <w:t>Foorman</w:t>
      </w:r>
      <w:proofErr w:type="spellEnd"/>
      <w:r w:rsidRPr="00C855A3">
        <w:rPr>
          <w:sz w:val="22"/>
          <w:szCs w:val="22"/>
        </w:rPr>
        <w:t xml:space="preserve"> et al. (2016), reading records increased stress and pressure, therefore learners who maintained a reading record made less progress in reading than those who did not (</w:t>
      </w:r>
      <w:proofErr w:type="spellStart"/>
      <w:r w:rsidRPr="00C855A3">
        <w:rPr>
          <w:sz w:val="22"/>
          <w:szCs w:val="22"/>
        </w:rPr>
        <w:t>Foorman</w:t>
      </w:r>
      <w:proofErr w:type="spellEnd"/>
      <w:r w:rsidRPr="00C855A3">
        <w:rPr>
          <w:sz w:val="22"/>
          <w:szCs w:val="22"/>
        </w:rPr>
        <w:t xml:space="preserve"> et al. 2016, as cited in Tolkien, 2023). </w:t>
      </w:r>
    </w:p>
    <w:p w14:paraId="5CD53A3B" w14:textId="77777777" w:rsidR="00C855A3" w:rsidRPr="00C855A3" w:rsidRDefault="00C855A3" w:rsidP="006F1EBC">
      <w:pPr>
        <w:spacing w:line="360" w:lineRule="auto"/>
        <w:rPr>
          <w:sz w:val="22"/>
          <w:szCs w:val="22"/>
        </w:rPr>
      </w:pPr>
      <w:r w:rsidRPr="00C855A3">
        <w:rPr>
          <w:sz w:val="22"/>
          <w:szCs w:val="22"/>
        </w:rPr>
        <w:t xml:space="preserve">To further measure the impact of library walks, a case study from Tudor Grange Primary School demonstrates how library walks have benefited their learner’s reading ability and well-being. A teacher from Tudor Grange Primary School expresses how their trips to the library have developed “their knowledge and understanding of the world by visiting a place in their local area </w:t>
      </w:r>
      <w:r w:rsidRPr="00C855A3">
        <w:rPr>
          <w:sz w:val="22"/>
          <w:szCs w:val="22"/>
        </w:rPr>
        <w:lastRenderedPageBreak/>
        <w:t xml:space="preserve">alongside promoting independence” and how it supports their curriculum in meeting the literacy strands. They continue to express how the partnership between the school and the local library demonstrates how resources from the community can be used for the benefit of young people and their education (Worcestershire County Council, 2024). </w:t>
      </w:r>
    </w:p>
    <w:p w14:paraId="7B27C238" w14:textId="77777777" w:rsidR="00C855A3" w:rsidRPr="00C855A3" w:rsidRDefault="00C855A3" w:rsidP="006F1EBC">
      <w:pPr>
        <w:spacing w:line="360" w:lineRule="auto"/>
        <w:rPr>
          <w:sz w:val="22"/>
          <w:szCs w:val="22"/>
        </w:rPr>
      </w:pPr>
      <w:r w:rsidRPr="00C855A3">
        <w:rPr>
          <w:sz w:val="22"/>
          <w:szCs w:val="22"/>
        </w:rPr>
        <w:t xml:space="preserve">To assess the potential success and challenges of the Library Walks initiative, a SWOT analysis (appendix 1) was conducted. This analysis evaluates the strengths, weaknesses, opportunities, and threats associated with implementing the project. By identifying both internal and external factors, this analysis provides a comprehensive overview of the key elements that could impact the initiative’s effectiveness and sustainability. </w:t>
      </w:r>
    </w:p>
    <w:p w14:paraId="3F52E7EA" w14:textId="77777777" w:rsidR="00C855A3" w:rsidRPr="00C855A3" w:rsidRDefault="00C855A3" w:rsidP="006F1EBC">
      <w:pPr>
        <w:spacing w:line="360" w:lineRule="auto"/>
        <w:rPr>
          <w:sz w:val="22"/>
          <w:szCs w:val="22"/>
        </w:rPr>
      </w:pPr>
      <w:r w:rsidRPr="00C855A3">
        <w:rPr>
          <w:sz w:val="22"/>
          <w:szCs w:val="22"/>
        </w:rPr>
        <w:t>One strength of the library walk initiative is that it promotes reading among young learners. Regular access to books encourages reading habits and improves literacy. The National Literacy Trust (2019) found that learners with library access show higher reading enjoyment, confidence, and attainment (National Literacy Trust, 2019). Another strength is its support for differentiated and independent learning. Students can choose books suited to their reading levels and interests, promoting autonomy. Research by Cents-Boonstra et al. (2021) shows that choice boosts engagement and supports self-directed learning (Cents-Boonstra et al., 2021). Similarly, Pozas et al. (2021) found that tailored instruction improves student outcomes, particularly when aligned with individual readiness and interests (Pozas et al., 2021). Overall, the initiative enhances both literacy and learner engagement through student choice and access to diverse reading material.</w:t>
      </w:r>
    </w:p>
    <w:p w14:paraId="6A97C25D" w14:textId="77777777" w:rsidR="00C855A3" w:rsidRPr="00C855A3" w:rsidRDefault="00C855A3" w:rsidP="006F1EBC">
      <w:pPr>
        <w:spacing w:line="360" w:lineRule="auto"/>
        <w:rPr>
          <w:sz w:val="22"/>
          <w:szCs w:val="22"/>
        </w:rPr>
      </w:pPr>
      <w:r w:rsidRPr="00C855A3">
        <w:rPr>
          <w:sz w:val="22"/>
          <w:szCs w:val="22"/>
        </w:rPr>
        <w:t xml:space="preserve">However, the initiative also comes with its weaknesses such as lack of pupil engagement and time constraints. Lack of pupil engagement reduces the effectiveness of fortnightly library trips, leading to wasted learning time and minimal educational benefit. Research by Soulen and Tedrow (2021) found that schools have not sufficiently addressed the decline in students’ library engagement since COVID-19, revealing a weakness in promoting the academic value of libraries to learners (Soulen and Tedrow, 2021). This is supported by the Department for Education’s research (2012) which found that public library use drops significantly as learners get older, with only 63% of Key Stage 2 students continuing to use them (DfE, 2012). This lack of engagement would consequently lead to the library trips becoming an inefficient use of time. With the rise of the internet, many believe that information can be accessed more quickly and conveniently online, making physical libraries less relevant and unproductive (Clark and Teravainen-Goff, 2018). </w:t>
      </w:r>
    </w:p>
    <w:p w14:paraId="5B085921" w14:textId="77777777" w:rsidR="00C855A3" w:rsidRPr="00C855A3" w:rsidRDefault="00C855A3" w:rsidP="006F1EBC">
      <w:pPr>
        <w:spacing w:line="360" w:lineRule="auto"/>
        <w:rPr>
          <w:sz w:val="22"/>
          <w:szCs w:val="22"/>
        </w:rPr>
      </w:pPr>
      <w:r w:rsidRPr="00C855A3">
        <w:rPr>
          <w:sz w:val="22"/>
          <w:szCs w:val="22"/>
        </w:rPr>
        <w:lastRenderedPageBreak/>
        <w:t>On the other hand, the library walks initiative presents itself with various opportunities for the learners, families and the community.  The 20-minute walk to and from the library offers both physical and mental health benefits for young people (</w:t>
      </w:r>
      <w:proofErr w:type="spellStart"/>
      <w:r w:rsidRPr="00C855A3">
        <w:rPr>
          <w:sz w:val="22"/>
          <w:szCs w:val="22"/>
        </w:rPr>
        <w:t>Movewell</w:t>
      </w:r>
      <w:proofErr w:type="spellEnd"/>
      <w:r w:rsidRPr="00C855A3">
        <w:rPr>
          <w:sz w:val="22"/>
          <w:szCs w:val="22"/>
        </w:rPr>
        <w:t xml:space="preserve">, 2023). Inviting families can also encourage learning at home. </w:t>
      </w:r>
      <w:proofErr w:type="spellStart"/>
      <w:r w:rsidRPr="00C855A3">
        <w:rPr>
          <w:sz w:val="22"/>
          <w:szCs w:val="22"/>
        </w:rPr>
        <w:t>Đurišić</w:t>
      </w:r>
      <w:proofErr w:type="spellEnd"/>
      <w:r w:rsidRPr="00C855A3">
        <w:rPr>
          <w:sz w:val="22"/>
          <w:szCs w:val="22"/>
        </w:rPr>
        <w:t xml:space="preserve"> and </w:t>
      </w:r>
      <w:proofErr w:type="spellStart"/>
      <w:r w:rsidRPr="00C855A3">
        <w:rPr>
          <w:sz w:val="22"/>
          <w:szCs w:val="22"/>
        </w:rPr>
        <w:t>Bunijevac</w:t>
      </w:r>
      <w:proofErr w:type="spellEnd"/>
      <w:r w:rsidRPr="00C855A3">
        <w:rPr>
          <w:sz w:val="22"/>
          <w:szCs w:val="22"/>
        </w:rPr>
        <w:t xml:space="preserve"> (2017) found that involved parents are more likely to create structured home environments, helping close the post-COVID attainment gap. The initiative also supports the local library. Due to funding cuts, over 180 UK libraries have closed since 2016, resulting in 2,000 job losses (Lynch &amp; </w:t>
      </w:r>
      <w:proofErr w:type="spellStart"/>
      <w:r w:rsidRPr="00C855A3">
        <w:rPr>
          <w:sz w:val="22"/>
          <w:szCs w:val="22"/>
        </w:rPr>
        <w:t>Hattenstone</w:t>
      </w:r>
      <w:proofErr w:type="spellEnd"/>
      <w:r w:rsidRPr="00C855A3">
        <w:rPr>
          <w:sz w:val="22"/>
          <w:szCs w:val="22"/>
        </w:rPr>
        <w:t>, 2024). By using the library, School A strengthens community ties and demonstrates its value, potentially supporting future funding through active engagement.</w:t>
      </w:r>
    </w:p>
    <w:p w14:paraId="6A501DAE" w14:textId="77777777" w:rsidR="00C855A3" w:rsidRPr="00C855A3" w:rsidRDefault="00C855A3" w:rsidP="006F1EBC">
      <w:pPr>
        <w:spacing w:line="360" w:lineRule="auto"/>
        <w:rPr>
          <w:sz w:val="22"/>
          <w:szCs w:val="22"/>
        </w:rPr>
      </w:pPr>
      <w:r w:rsidRPr="00C855A3">
        <w:rPr>
          <w:sz w:val="22"/>
          <w:szCs w:val="22"/>
        </w:rPr>
        <w:t>Finally, a key threat to the library walks initiative is safety, particularly when escorting large groups of children near busy roads. Supervision challenges and traffic hazards raise legitimate concerns. According to the Royal Society for the Prevention of Accidents (RoSPA) (n.d.), pedestrian safety is a leading concern in school-related travel, emphasising the need for adequate adult-to-child ratios and clear risk assessments (RoSPA, n.d.). Additionally, severe weather conditions can significantly disrupt the library walk initiative. Bad weather, such as heavy rain, snow, or extreme temperatures, may make walking unsafe or uncomfortable, leading to missed opportunities for the students. According to the MRC Epidemiology Unit (2024), adverse weather conditions are a barrier to outdoor activities, and studies have shown that poor weather reduces physical activity levels among children. This could force School A to find indoor alternatives, which may not provide the same level of engagement or benefit as visiting the library in person, ultimately affecting the initiative’s success (MRC Epidemiology Unit, 2024).</w:t>
      </w:r>
    </w:p>
    <w:p w14:paraId="7B66A22F" w14:textId="3F62C6DB" w:rsidR="00320AC3" w:rsidRDefault="00C855A3" w:rsidP="00D1181A">
      <w:pPr>
        <w:spacing w:line="360" w:lineRule="auto"/>
        <w:rPr>
          <w:sz w:val="22"/>
          <w:szCs w:val="22"/>
        </w:rPr>
      </w:pPr>
      <w:r w:rsidRPr="00C855A3">
        <w:rPr>
          <w:sz w:val="22"/>
          <w:szCs w:val="22"/>
        </w:rPr>
        <w:t>In conclusion, the Library Walks initiative offers a valuable strategy for supporting pupils' academic progress in Language, Literacy, and Communication, promoting reading engagement, and strengthening connections within the wider community following the disruption caused by COVID-19. By integrating these visits into the school routine, the initiative not only enhances access to diverse reading materials but also creates a culture of reading for pleasure which is an essential factor in raising literacy levels and creating lifelong learning (DfE, 2012). Furthermore, by inviting families on these trips, the link between home, school and the community is further strengthened as shared experiences in the library create stronger relationships, promote parental involvement in learning, and encourage continued reading and engagement beyond the classroom (Campana et al., 2020).  Considering the challenges many pupils faced during the pandemic, such as disrupted learning and limited access to reading materials, this initiative provides a targeted approach to restoring reading habits, bridging attainment gaps, and re-engaging students with literacy.</w:t>
      </w:r>
      <w:r w:rsidR="00320AC3">
        <w:rPr>
          <w:sz w:val="22"/>
          <w:szCs w:val="22"/>
        </w:rPr>
        <w:t xml:space="preserve"> </w:t>
      </w:r>
    </w:p>
    <w:p w14:paraId="472A3722" w14:textId="77777777" w:rsidR="009451E5" w:rsidRPr="009451E5" w:rsidRDefault="009451E5" w:rsidP="009451E5">
      <w:pPr>
        <w:rPr>
          <w:b/>
          <w:bCs/>
          <w:sz w:val="22"/>
          <w:szCs w:val="22"/>
        </w:rPr>
      </w:pPr>
      <w:r w:rsidRPr="009451E5">
        <w:rPr>
          <w:b/>
          <w:bCs/>
          <w:sz w:val="22"/>
          <w:szCs w:val="22"/>
        </w:rPr>
        <w:lastRenderedPageBreak/>
        <w:t>Reference list</w:t>
      </w:r>
    </w:p>
    <w:p w14:paraId="3991E134" w14:textId="77777777" w:rsidR="009451E5" w:rsidRPr="009451E5" w:rsidRDefault="009451E5" w:rsidP="009451E5">
      <w:pPr>
        <w:rPr>
          <w:sz w:val="22"/>
          <w:szCs w:val="22"/>
        </w:rPr>
      </w:pPr>
      <w:r w:rsidRPr="009451E5">
        <w:rPr>
          <w:sz w:val="22"/>
          <w:szCs w:val="22"/>
        </w:rPr>
        <w:t xml:space="preserve">Action for Children (2020). </w:t>
      </w:r>
      <w:r w:rsidRPr="009451E5">
        <w:rPr>
          <w:i/>
          <w:iCs/>
          <w:sz w:val="22"/>
          <w:szCs w:val="22"/>
        </w:rPr>
        <w:t>One in three parents ‘out of their depth’ as children struggle with pandemic fallout</w:t>
      </w:r>
      <w:r w:rsidRPr="009451E5">
        <w:rPr>
          <w:sz w:val="22"/>
          <w:szCs w:val="22"/>
        </w:rPr>
        <w:t>. [online] Action for Children. Available at: https://www.actionforchildren.org.uk/media-centre/one-in-three-parents-out-of-their-depth-as-children-struggle-with-pandemic-fallout/ [Accessed 29 Apr. 2025].</w:t>
      </w:r>
    </w:p>
    <w:p w14:paraId="2C79572B" w14:textId="77777777" w:rsidR="009451E5" w:rsidRPr="009451E5" w:rsidRDefault="009451E5" w:rsidP="009451E5">
      <w:pPr>
        <w:rPr>
          <w:sz w:val="22"/>
          <w:szCs w:val="22"/>
        </w:rPr>
      </w:pPr>
      <w:r w:rsidRPr="009451E5">
        <w:rPr>
          <w:sz w:val="22"/>
          <w:szCs w:val="22"/>
        </w:rPr>
        <w:t xml:space="preserve">Anders, J. (2022). </w:t>
      </w:r>
      <w:r w:rsidRPr="009451E5">
        <w:rPr>
          <w:i/>
          <w:iCs/>
          <w:sz w:val="22"/>
          <w:szCs w:val="22"/>
        </w:rPr>
        <w:t>How has Covid-19 affected inequalities between state and private schools?</w:t>
      </w:r>
      <w:r w:rsidRPr="009451E5">
        <w:rPr>
          <w:sz w:val="22"/>
          <w:szCs w:val="22"/>
        </w:rPr>
        <w:t xml:space="preserve"> [online] Economics Observatory. Available at: https://www.economicsobservatory.com/how-has-covid-19-affected-inequalities-between-state-and-private-schools [Accessed 5 May 2025].</w:t>
      </w:r>
    </w:p>
    <w:p w14:paraId="4611C6D7" w14:textId="77777777" w:rsidR="009451E5" w:rsidRPr="009451E5" w:rsidRDefault="009451E5" w:rsidP="009451E5">
      <w:pPr>
        <w:rPr>
          <w:sz w:val="22"/>
          <w:szCs w:val="22"/>
        </w:rPr>
      </w:pPr>
      <w:r w:rsidRPr="009451E5">
        <w:rPr>
          <w:sz w:val="22"/>
          <w:szCs w:val="22"/>
        </w:rPr>
        <w:t xml:space="preserve">Armstrong, P. (2015). </w:t>
      </w:r>
      <w:r w:rsidRPr="009451E5">
        <w:rPr>
          <w:i/>
          <w:iCs/>
          <w:sz w:val="22"/>
          <w:szCs w:val="22"/>
        </w:rPr>
        <w:t>Effective school partnerships and collaboration for school improvement: a review of the evidence Research report October 2015</w:t>
      </w:r>
      <w:r w:rsidRPr="009451E5">
        <w:rPr>
          <w:sz w:val="22"/>
          <w:szCs w:val="22"/>
        </w:rPr>
        <w:t>. [online] Available at: https://assets.publishing.service.gov.uk/media/5a809a84e5274a2e8ab5117f/DFE-RR466_-_School_improvement_effective_school_partnerships.pdf [Accessed 10 Apr. 2025].</w:t>
      </w:r>
    </w:p>
    <w:p w14:paraId="3306051E" w14:textId="77777777" w:rsidR="009451E5" w:rsidRPr="009451E5" w:rsidRDefault="009451E5" w:rsidP="009451E5">
      <w:pPr>
        <w:rPr>
          <w:sz w:val="22"/>
          <w:szCs w:val="22"/>
        </w:rPr>
      </w:pPr>
      <w:r w:rsidRPr="009451E5">
        <w:rPr>
          <w:sz w:val="22"/>
          <w:szCs w:val="22"/>
        </w:rPr>
        <w:t xml:space="preserve">Bera (2019). </w:t>
      </w:r>
      <w:r w:rsidRPr="009451E5">
        <w:rPr>
          <w:i/>
          <w:iCs/>
          <w:sz w:val="22"/>
          <w:szCs w:val="22"/>
        </w:rPr>
        <w:t>BERA</w:t>
      </w:r>
      <w:r w:rsidRPr="009451E5">
        <w:rPr>
          <w:sz w:val="22"/>
          <w:szCs w:val="22"/>
        </w:rPr>
        <w:t>. [online] Bera.ac.uk. Available at: https://www.bera.ac.uk [Accessed 9 Apr. 2025].</w:t>
      </w:r>
    </w:p>
    <w:p w14:paraId="08FF0FAB" w14:textId="1492E91D" w:rsidR="009451E5" w:rsidRPr="009451E5" w:rsidRDefault="009451E5" w:rsidP="009451E5">
      <w:pPr>
        <w:rPr>
          <w:sz w:val="22"/>
          <w:szCs w:val="22"/>
        </w:rPr>
      </w:pPr>
      <w:r w:rsidRPr="009451E5">
        <w:rPr>
          <w:sz w:val="22"/>
          <w:szCs w:val="22"/>
        </w:rPr>
        <w:t xml:space="preserve">Blundell, R., Cribb, J., </w:t>
      </w:r>
      <w:proofErr w:type="spellStart"/>
      <w:r w:rsidRPr="009451E5">
        <w:rPr>
          <w:sz w:val="22"/>
          <w:szCs w:val="22"/>
        </w:rPr>
        <w:t>Mcnally</w:t>
      </w:r>
      <w:proofErr w:type="spellEnd"/>
      <w:r w:rsidRPr="009451E5">
        <w:rPr>
          <w:sz w:val="22"/>
          <w:szCs w:val="22"/>
        </w:rPr>
        <w:t xml:space="preserve">, S., Warwick, R. and Xu, X. (2021). </w:t>
      </w:r>
      <w:r w:rsidRPr="009451E5">
        <w:rPr>
          <w:i/>
          <w:iCs/>
          <w:sz w:val="22"/>
          <w:szCs w:val="22"/>
        </w:rPr>
        <w:t>Inequalities in education, skills, and Incomes in the UK: the Implications of the COVID-19 Pandemic</w:t>
      </w:r>
      <w:r w:rsidRPr="009451E5">
        <w:rPr>
          <w:sz w:val="22"/>
          <w:szCs w:val="22"/>
        </w:rPr>
        <w:t>. [online] The Institute for Fiscal Studies. Available at: https://ifs.org.uk/inequality/wp-content/uploads/2021/03/BN-Inequalities-in-education-skills-and-incomes-in-the-UK-the-implications-of-the-COVID-19-pandemic.pdf.</w:t>
      </w:r>
    </w:p>
    <w:p w14:paraId="3C08B657" w14:textId="41F27FBE" w:rsidR="009451E5" w:rsidRPr="009451E5" w:rsidRDefault="009451E5" w:rsidP="009451E5">
      <w:pPr>
        <w:rPr>
          <w:sz w:val="22"/>
          <w:szCs w:val="22"/>
        </w:rPr>
      </w:pPr>
      <w:r w:rsidRPr="009451E5">
        <w:rPr>
          <w:sz w:val="22"/>
          <w:szCs w:val="22"/>
        </w:rPr>
        <w:t xml:space="preserve">Campana, K., Martens, M., Filippi, A. and Clunis, J. (2020). A ‘Library School:’ Building a Collaborative Preschool-Library Partnership to Support Whole Family Engagement. </w:t>
      </w:r>
      <w:r w:rsidRPr="009451E5">
        <w:rPr>
          <w:i/>
          <w:iCs/>
          <w:sz w:val="22"/>
          <w:szCs w:val="22"/>
        </w:rPr>
        <w:t>Early Childhood Education Journal</w:t>
      </w:r>
      <w:r w:rsidRPr="009451E5">
        <w:rPr>
          <w:sz w:val="22"/>
          <w:szCs w:val="22"/>
        </w:rPr>
        <w:t>, [online] 50. https://doi.org/10.1007/s10643-020-01127-4.</w:t>
      </w:r>
    </w:p>
    <w:p w14:paraId="3547E952" w14:textId="77777777" w:rsidR="009451E5" w:rsidRPr="009451E5" w:rsidRDefault="009451E5" w:rsidP="009451E5">
      <w:pPr>
        <w:rPr>
          <w:sz w:val="22"/>
          <w:szCs w:val="22"/>
        </w:rPr>
      </w:pPr>
      <w:r w:rsidRPr="009451E5">
        <w:rPr>
          <w:sz w:val="22"/>
          <w:szCs w:val="22"/>
        </w:rPr>
        <w:t xml:space="preserve">Cents-Boonstra, M., </w:t>
      </w:r>
      <w:proofErr w:type="spellStart"/>
      <w:r w:rsidRPr="009451E5">
        <w:rPr>
          <w:sz w:val="22"/>
          <w:szCs w:val="22"/>
        </w:rPr>
        <w:t>Lichtwarck</w:t>
      </w:r>
      <w:proofErr w:type="spellEnd"/>
      <w:r w:rsidRPr="009451E5">
        <w:rPr>
          <w:sz w:val="22"/>
          <w:szCs w:val="22"/>
        </w:rPr>
        <w:t xml:space="preserve">-Aschoff, A., </w:t>
      </w:r>
      <w:proofErr w:type="spellStart"/>
      <w:r w:rsidRPr="009451E5">
        <w:rPr>
          <w:sz w:val="22"/>
          <w:szCs w:val="22"/>
        </w:rPr>
        <w:t>Denessen</w:t>
      </w:r>
      <w:proofErr w:type="spellEnd"/>
      <w:r w:rsidRPr="009451E5">
        <w:rPr>
          <w:sz w:val="22"/>
          <w:szCs w:val="22"/>
        </w:rPr>
        <w:t xml:space="preserve">, E., </w:t>
      </w:r>
      <w:proofErr w:type="spellStart"/>
      <w:r w:rsidRPr="009451E5">
        <w:rPr>
          <w:sz w:val="22"/>
          <w:szCs w:val="22"/>
        </w:rPr>
        <w:t>Aelterman</w:t>
      </w:r>
      <w:proofErr w:type="spellEnd"/>
      <w:r w:rsidRPr="009451E5">
        <w:rPr>
          <w:sz w:val="22"/>
          <w:szCs w:val="22"/>
        </w:rPr>
        <w:t xml:space="preserve">, N. and </w:t>
      </w:r>
      <w:proofErr w:type="spellStart"/>
      <w:r w:rsidRPr="009451E5">
        <w:rPr>
          <w:sz w:val="22"/>
          <w:szCs w:val="22"/>
        </w:rPr>
        <w:t>Haerens</w:t>
      </w:r>
      <w:proofErr w:type="spellEnd"/>
      <w:r w:rsidRPr="009451E5">
        <w:rPr>
          <w:sz w:val="22"/>
          <w:szCs w:val="22"/>
        </w:rPr>
        <w:t xml:space="preserve">, L. (2021). Fostering Student Engagement with Motivating teaching: an Observation Study of Teacher and Student Behaviours. </w:t>
      </w:r>
      <w:r w:rsidRPr="009451E5">
        <w:rPr>
          <w:i/>
          <w:iCs/>
          <w:sz w:val="22"/>
          <w:szCs w:val="22"/>
        </w:rPr>
        <w:t>Research Papers in Education</w:t>
      </w:r>
      <w:r w:rsidRPr="009451E5">
        <w:rPr>
          <w:sz w:val="22"/>
          <w:szCs w:val="22"/>
        </w:rPr>
        <w:t xml:space="preserve">, [online] 36(6), pp.754–779. </w:t>
      </w:r>
      <w:proofErr w:type="spellStart"/>
      <w:r w:rsidRPr="009451E5">
        <w:rPr>
          <w:sz w:val="22"/>
          <w:szCs w:val="22"/>
        </w:rPr>
        <w:t>doi:https</w:t>
      </w:r>
      <w:proofErr w:type="spellEnd"/>
      <w:r w:rsidRPr="009451E5">
        <w:rPr>
          <w:sz w:val="22"/>
          <w:szCs w:val="22"/>
        </w:rPr>
        <w:t>://doi.org/10.1080/02671522.2020.1767184.</w:t>
      </w:r>
    </w:p>
    <w:p w14:paraId="22CEADBB" w14:textId="77777777" w:rsidR="009451E5" w:rsidRPr="009451E5" w:rsidRDefault="009451E5" w:rsidP="009451E5">
      <w:pPr>
        <w:rPr>
          <w:sz w:val="22"/>
          <w:szCs w:val="22"/>
        </w:rPr>
      </w:pPr>
      <w:r w:rsidRPr="009451E5">
        <w:rPr>
          <w:sz w:val="22"/>
          <w:szCs w:val="22"/>
        </w:rPr>
        <w:t xml:space="preserve">Christensen, J. (2016). A Critical Reflection of Bronfenbrenner’s Development Ecology Model. </w:t>
      </w:r>
      <w:r w:rsidRPr="009451E5">
        <w:rPr>
          <w:i/>
          <w:iCs/>
          <w:sz w:val="22"/>
          <w:szCs w:val="22"/>
        </w:rPr>
        <w:t>Problems of Education in the 21st Century</w:t>
      </w:r>
      <w:r w:rsidRPr="009451E5">
        <w:rPr>
          <w:sz w:val="22"/>
          <w:szCs w:val="22"/>
        </w:rPr>
        <w:t xml:space="preserve">, [online] 69(1), pp.22–28. </w:t>
      </w:r>
      <w:proofErr w:type="spellStart"/>
      <w:r w:rsidRPr="009451E5">
        <w:rPr>
          <w:sz w:val="22"/>
          <w:szCs w:val="22"/>
        </w:rPr>
        <w:t>doi:https</w:t>
      </w:r>
      <w:proofErr w:type="spellEnd"/>
      <w:r w:rsidRPr="009451E5">
        <w:rPr>
          <w:sz w:val="22"/>
          <w:szCs w:val="22"/>
        </w:rPr>
        <w:t>://doi.org/10.33225/pec/16.69.22.</w:t>
      </w:r>
    </w:p>
    <w:p w14:paraId="6DEBA896" w14:textId="77777777" w:rsidR="009451E5" w:rsidRPr="009451E5" w:rsidRDefault="009451E5" w:rsidP="009451E5">
      <w:pPr>
        <w:rPr>
          <w:sz w:val="22"/>
          <w:szCs w:val="22"/>
        </w:rPr>
      </w:pPr>
      <w:r w:rsidRPr="009451E5">
        <w:rPr>
          <w:sz w:val="22"/>
          <w:szCs w:val="22"/>
        </w:rPr>
        <w:t xml:space="preserve">Clark, C. and Teravainen-Goff, A. (2018). </w:t>
      </w:r>
      <w:r w:rsidRPr="009451E5">
        <w:rPr>
          <w:i/>
          <w:iCs/>
          <w:sz w:val="22"/>
          <w:szCs w:val="22"/>
        </w:rPr>
        <w:t>School libraries: Why children and young people use them or not, their literacy engagement and mental wellbeing Findings from our annual literacy survey 2017/2018</w:t>
      </w:r>
      <w:r w:rsidRPr="009451E5">
        <w:rPr>
          <w:sz w:val="22"/>
          <w:szCs w:val="22"/>
        </w:rPr>
        <w:t>. [online] Available at: https://files.eric.ed.gov/fulltext/ED593893.pdf [Accessed 5 May 2025].</w:t>
      </w:r>
    </w:p>
    <w:p w14:paraId="04AF718A" w14:textId="77777777" w:rsidR="009451E5" w:rsidRPr="009451E5" w:rsidRDefault="009451E5" w:rsidP="009451E5">
      <w:pPr>
        <w:rPr>
          <w:sz w:val="22"/>
          <w:szCs w:val="22"/>
        </w:rPr>
      </w:pPr>
      <w:r w:rsidRPr="009451E5">
        <w:rPr>
          <w:sz w:val="22"/>
          <w:szCs w:val="22"/>
        </w:rPr>
        <w:t xml:space="preserve">Cremin, T. and Scholes, L. (2024). Reading for pleasure: scrutinising the evidence base – benefits, tensions and recommendations. </w:t>
      </w:r>
      <w:r w:rsidRPr="009451E5">
        <w:rPr>
          <w:i/>
          <w:iCs/>
          <w:sz w:val="22"/>
          <w:szCs w:val="22"/>
        </w:rPr>
        <w:t>Language and Education</w:t>
      </w:r>
      <w:r w:rsidRPr="009451E5">
        <w:rPr>
          <w:sz w:val="22"/>
          <w:szCs w:val="22"/>
        </w:rPr>
        <w:t xml:space="preserve">, [online] 38(4), pp.1–23. </w:t>
      </w:r>
      <w:proofErr w:type="spellStart"/>
      <w:r w:rsidRPr="009451E5">
        <w:rPr>
          <w:sz w:val="22"/>
          <w:szCs w:val="22"/>
        </w:rPr>
        <w:t>doi:https</w:t>
      </w:r>
      <w:proofErr w:type="spellEnd"/>
      <w:r w:rsidRPr="009451E5">
        <w:rPr>
          <w:sz w:val="22"/>
          <w:szCs w:val="22"/>
        </w:rPr>
        <w:t>://doi.org/10.1080/09500782.2024.2324948.</w:t>
      </w:r>
    </w:p>
    <w:p w14:paraId="59A3761A" w14:textId="77777777" w:rsidR="009451E5" w:rsidRPr="009451E5" w:rsidRDefault="009451E5" w:rsidP="009451E5">
      <w:pPr>
        <w:rPr>
          <w:sz w:val="22"/>
          <w:szCs w:val="22"/>
        </w:rPr>
      </w:pPr>
      <w:r w:rsidRPr="009451E5">
        <w:rPr>
          <w:sz w:val="22"/>
          <w:szCs w:val="22"/>
        </w:rPr>
        <w:t xml:space="preserve">Dawes, O. (2023). </w:t>
      </w:r>
      <w:r w:rsidRPr="009451E5">
        <w:rPr>
          <w:i/>
          <w:iCs/>
          <w:sz w:val="22"/>
          <w:szCs w:val="22"/>
        </w:rPr>
        <w:t>Reading Records and Literacy Guides - School Planner Company</w:t>
      </w:r>
      <w:r w:rsidRPr="009451E5">
        <w:rPr>
          <w:sz w:val="22"/>
          <w:szCs w:val="22"/>
        </w:rPr>
        <w:t>. [online] www.schoolplanner.co.uk. Available at: https://www.schoolplanner.co.uk/blog/reading-records-and-literacy-guides/ [Accessed 3 May 2025].</w:t>
      </w:r>
    </w:p>
    <w:p w14:paraId="6EF69B69" w14:textId="77777777" w:rsidR="009451E5" w:rsidRPr="009451E5" w:rsidRDefault="009451E5" w:rsidP="009451E5">
      <w:pPr>
        <w:rPr>
          <w:sz w:val="22"/>
          <w:szCs w:val="22"/>
        </w:rPr>
      </w:pPr>
      <w:r w:rsidRPr="009451E5">
        <w:rPr>
          <w:sz w:val="22"/>
          <w:szCs w:val="22"/>
        </w:rPr>
        <w:lastRenderedPageBreak/>
        <w:t xml:space="preserve">DfE (2012). </w:t>
      </w:r>
      <w:r w:rsidRPr="009451E5">
        <w:rPr>
          <w:i/>
          <w:iCs/>
          <w:sz w:val="22"/>
          <w:szCs w:val="22"/>
        </w:rPr>
        <w:t>Research Evidence on Reading for Pleasure Education Standards Research Team</w:t>
      </w:r>
      <w:r w:rsidRPr="009451E5">
        <w:rPr>
          <w:sz w:val="22"/>
          <w:szCs w:val="22"/>
        </w:rPr>
        <w:t>. [online] Available at: https://assets.publishing.service.gov.uk/media/5a7c18d540f0b61a825d66e9/reading_for_pleasure.pdf [Accessed 5 May 2025].</w:t>
      </w:r>
    </w:p>
    <w:p w14:paraId="05B4EE6E" w14:textId="77777777" w:rsidR="009451E5" w:rsidRPr="009451E5" w:rsidRDefault="009451E5" w:rsidP="009451E5">
      <w:pPr>
        <w:rPr>
          <w:sz w:val="22"/>
          <w:szCs w:val="22"/>
        </w:rPr>
      </w:pPr>
      <w:proofErr w:type="spellStart"/>
      <w:r w:rsidRPr="009451E5">
        <w:rPr>
          <w:sz w:val="22"/>
          <w:szCs w:val="22"/>
        </w:rPr>
        <w:t>Đurišić</w:t>
      </w:r>
      <w:proofErr w:type="spellEnd"/>
      <w:r w:rsidRPr="009451E5">
        <w:rPr>
          <w:sz w:val="22"/>
          <w:szCs w:val="22"/>
        </w:rPr>
        <w:t xml:space="preserve">, M. and </w:t>
      </w:r>
      <w:proofErr w:type="spellStart"/>
      <w:r w:rsidRPr="009451E5">
        <w:rPr>
          <w:sz w:val="22"/>
          <w:szCs w:val="22"/>
        </w:rPr>
        <w:t>Bunijevac</w:t>
      </w:r>
      <w:proofErr w:type="spellEnd"/>
      <w:r w:rsidRPr="009451E5">
        <w:rPr>
          <w:sz w:val="22"/>
          <w:szCs w:val="22"/>
        </w:rPr>
        <w:t xml:space="preserve">, M. (2017). Parental Involvement as </w:t>
      </w:r>
      <w:proofErr w:type="spellStart"/>
      <w:r w:rsidRPr="009451E5">
        <w:rPr>
          <w:sz w:val="22"/>
          <w:szCs w:val="22"/>
        </w:rPr>
        <w:t>a</w:t>
      </w:r>
      <w:proofErr w:type="spellEnd"/>
      <w:r w:rsidRPr="009451E5">
        <w:rPr>
          <w:sz w:val="22"/>
          <w:szCs w:val="22"/>
        </w:rPr>
        <w:t xml:space="preserve"> Important Factor for Successful Education. </w:t>
      </w:r>
      <w:proofErr w:type="spellStart"/>
      <w:r w:rsidRPr="009451E5">
        <w:rPr>
          <w:i/>
          <w:iCs/>
          <w:sz w:val="22"/>
          <w:szCs w:val="22"/>
        </w:rPr>
        <w:t>Center</w:t>
      </w:r>
      <w:proofErr w:type="spellEnd"/>
      <w:r w:rsidRPr="009451E5">
        <w:rPr>
          <w:i/>
          <w:iCs/>
          <w:sz w:val="22"/>
          <w:szCs w:val="22"/>
        </w:rPr>
        <w:t xml:space="preserve"> for Educational Policy Studies Journal</w:t>
      </w:r>
      <w:r w:rsidRPr="009451E5">
        <w:rPr>
          <w:sz w:val="22"/>
          <w:szCs w:val="22"/>
        </w:rPr>
        <w:t xml:space="preserve">, [online] 7(3), pp.137–153. </w:t>
      </w:r>
      <w:proofErr w:type="spellStart"/>
      <w:r w:rsidRPr="009451E5">
        <w:rPr>
          <w:sz w:val="22"/>
          <w:szCs w:val="22"/>
        </w:rPr>
        <w:t>doi:https</w:t>
      </w:r>
      <w:proofErr w:type="spellEnd"/>
      <w:r w:rsidRPr="009451E5">
        <w:rPr>
          <w:sz w:val="22"/>
          <w:szCs w:val="22"/>
        </w:rPr>
        <w:t>://doi.org/10.26529/cepsj.291.</w:t>
      </w:r>
    </w:p>
    <w:p w14:paraId="092B9901" w14:textId="77777777" w:rsidR="009451E5" w:rsidRPr="009451E5" w:rsidRDefault="009451E5" w:rsidP="009451E5">
      <w:pPr>
        <w:rPr>
          <w:sz w:val="22"/>
          <w:szCs w:val="22"/>
        </w:rPr>
      </w:pPr>
      <w:r w:rsidRPr="009451E5">
        <w:rPr>
          <w:sz w:val="22"/>
          <w:szCs w:val="22"/>
        </w:rPr>
        <w:t xml:space="preserve">Education Endowment Foundation (2021). </w:t>
      </w:r>
      <w:r w:rsidRPr="009451E5">
        <w:rPr>
          <w:i/>
          <w:iCs/>
          <w:sz w:val="22"/>
          <w:szCs w:val="22"/>
        </w:rPr>
        <w:t>Parental engagement</w:t>
      </w:r>
      <w:r w:rsidRPr="009451E5">
        <w:rPr>
          <w:sz w:val="22"/>
          <w:szCs w:val="22"/>
        </w:rPr>
        <w:t>. [online] Education Endowment Foundation. Available at: https://educationendowmentfoundation.org.uk/education-evidence/teaching-learning-toolkit/parental-engagement [Accessed 30 Apr. 2025].</w:t>
      </w:r>
    </w:p>
    <w:p w14:paraId="689960D3" w14:textId="677EF126" w:rsidR="009451E5" w:rsidRPr="009451E5" w:rsidRDefault="009451E5" w:rsidP="009451E5">
      <w:pPr>
        <w:rPr>
          <w:sz w:val="22"/>
          <w:szCs w:val="22"/>
        </w:rPr>
      </w:pPr>
      <w:r w:rsidRPr="009451E5">
        <w:rPr>
          <w:sz w:val="22"/>
          <w:szCs w:val="22"/>
        </w:rPr>
        <w:t xml:space="preserve">EEF (2022a). </w:t>
      </w:r>
      <w:r w:rsidRPr="009451E5">
        <w:rPr>
          <w:i/>
          <w:iCs/>
          <w:sz w:val="22"/>
          <w:szCs w:val="22"/>
        </w:rPr>
        <w:t>Metacognition and self-regulation</w:t>
      </w:r>
      <w:r w:rsidRPr="009451E5">
        <w:rPr>
          <w:sz w:val="22"/>
          <w:szCs w:val="22"/>
        </w:rPr>
        <w:t>. [online] EEF. Available at: https://educationendowmentfoundation.org.uk/education-evidence/evidence-reviews/metacognition-and-self-regulation? [Accessed 3 May 2025].</w:t>
      </w:r>
    </w:p>
    <w:p w14:paraId="5F2477F6" w14:textId="77777777" w:rsidR="009451E5" w:rsidRPr="009451E5" w:rsidRDefault="009451E5" w:rsidP="009451E5">
      <w:pPr>
        <w:rPr>
          <w:sz w:val="22"/>
          <w:szCs w:val="22"/>
        </w:rPr>
      </w:pPr>
      <w:r w:rsidRPr="009451E5">
        <w:rPr>
          <w:sz w:val="22"/>
          <w:szCs w:val="22"/>
        </w:rPr>
        <w:t xml:space="preserve">EEF (2022b). </w:t>
      </w:r>
      <w:r w:rsidRPr="009451E5">
        <w:rPr>
          <w:i/>
          <w:iCs/>
          <w:sz w:val="22"/>
          <w:szCs w:val="22"/>
        </w:rPr>
        <w:t>The Impact of COVID-19 on Learning: A review of the evidence</w:t>
      </w:r>
      <w:r w:rsidRPr="009451E5">
        <w:rPr>
          <w:sz w:val="22"/>
          <w:szCs w:val="22"/>
        </w:rPr>
        <w:t>. [online] Available at: https://d2tic4wvo1iusb.cloudfront.net/production/documents/guidance-for-teachers/covid-19/Impact_of_Covid_on_Learning.pdf?v=1745843966 [Accessed 29 Apr. 2025].</w:t>
      </w:r>
    </w:p>
    <w:p w14:paraId="151AF522" w14:textId="77777777" w:rsidR="009451E5" w:rsidRPr="009451E5" w:rsidRDefault="009451E5" w:rsidP="009451E5">
      <w:pPr>
        <w:rPr>
          <w:sz w:val="22"/>
          <w:szCs w:val="22"/>
        </w:rPr>
      </w:pPr>
      <w:r w:rsidRPr="009451E5">
        <w:rPr>
          <w:sz w:val="22"/>
          <w:szCs w:val="22"/>
        </w:rPr>
        <w:t xml:space="preserve">ESTYN (2020). </w:t>
      </w:r>
      <w:r w:rsidRPr="009451E5">
        <w:rPr>
          <w:i/>
          <w:iCs/>
          <w:sz w:val="22"/>
          <w:szCs w:val="22"/>
        </w:rPr>
        <w:t>Community schools: families and communities at the heart of school life</w:t>
      </w:r>
      <w:r w:rsidRPr="009451E5">
        <w:rPr>
          <w:sz w:val="22"/>
          <w:szCs w:val="22"/>
        </w:rPr>
        <w:t>. [online] Available at: https://www.estyn.gov.wales/system/files/2021-08/Community%2520Schools%2520en.pdf [Accessed 10 Apr. 2025].</w:t>
      </w:r>
    </w:p>
    <w:p w14:paraId="463AC7E2" w14:textId="77777777" w:rsidR="009451E5" w:rsidRPr="009451E5" w:rsidRDefault="009451E5" w:rsidP="009451E5">
      <w:pPr>
        <w:rPr>
          <w:sz w:val="22"/>
          <w:szCs w:val="22"/>
        </w:rPr>
      </w:pPr>
      <w:r w:rsidRPr="009451E5">
        <w:rPr>
          <w:sz w:val="22"/>
          <w:szCs w:val="22"/>
        </w:rPr>
        <w:t xml:space="preserve">Guy-Evans, O. (2024). </w:t>
      </w:r>
      <w:r w:rsidRPr="009451E5">
        <w:rPr>
          <w:i/>
          <w:iCs/>
          <w:sz w:val="22"/>
          <w:szCs w:val="22"/>
        </w:rPr>
        <w:t>Bronfenbrenner’s Ecological Systems Theory</w:t>
      </w:r>
      <w:r w:rsidRPr="009451E5">
        <w:rPr>
          <w:sz w:val="22"/>
          <w:szCs w:val="22"/>
        </w:rPr>
        <w:t>. [online] ResearchGate. Available at: https://www.researchgate.net/publication/383500583_Bronfenbrenner [Accessed 27 Apr. 2025].</w:t>
      </w:r>
    </w:p>
    <w:p w14:paraId="5812FB39" w14:textId="77777777" w:rsidR="009451E5" w:rsidRPr="009451E5" w:rsidRDefault="009451E5" w:rsidP="009451E5">
      <w:pPr>
        <w:rPr>
          <w:sz w:val="22"/>
          <w:szCs w:val="22"/>
        </w:rPr>
      </w:pPr>
      <w:r w:rsidRPr="009451E5">
        <w:rPr>
          <w:sz w:val="22"/>
          <w:szCs w:val="22"/>
          <w:lang w:val="de-DE"/>
        </w:rPr>
        <w:t xml:space="preserve">Heers, M., Van Klaveren, C., Groot, W. and Maassen van den Brink, H. (2016). </w:t>
      </w:r>
      <w:r w:rsidRPr="009451E5">
        <w:rPr>
          <w:sz w:val="22"/>
          <w:szCs w:val="22"/>
        </w:rPr>
        <w:t xml:space="preserve">Community Schools: What We Know and What We Need to Know. </w:t>
      </w:r>
      <w:r w:rsidRPr="009451E5">
        <w:rPr>
          <w:i/>
          <w:iCs/>
          <w:sz w:val="22"/>
          <w:szCs w:val="22"/>
        </w:rPr>
        <w:t>Review of Educational Research</w:t>
      </w:r>
      <w:r w:rsidRPr="009451E5">
        <w:rPr>
          <w:sz w:val="22"/>
          <w:szCs w:val="22"/>
        </w:rPr>
        <w:t xml:space="preserve">, 86(4), pp.1016–1051. </w:t>
      </w:r>
      <w:proofErr w:type="spellStart"/>
      <w:r w:rsidRPr="009451E5">
        <w:rPr>
          <w:sz w:val="22"/>
          <w:szCs w:val="22"/>
        </w:rPr>
        <w:t>doi:https</w:t>
      </w:r>
      <w:proofErr w:type="spellEnd"/>
      <w:r w:rsidRPr="009451E5">
        <w:rPr>
          <w:sz w:val="22"/>
          <w:szCs w:val="22"/>
        </w:rPr>
        <w:t>://doi.org/10.3102/0034654315627365.</w:t>
      </w:r>
    </w:p>
    <w:p w14:paraId="6B3C968A" w14:textId="77777777" w:rsidR="009451E5" w:rsidRPr="009451E5" w:rsidRDefault="009451E5" w:rsidP="009451E5">
      <w:pPr>
        <w:rPr>
          <w:sz w:val="22"/>
          <w:szCs w:val="22"/>
        </w:rPr>
      </w:pPr>
      <w:r w:rsidRPr="009451E5">
        <w:rPr>
          <w:sz w:val="22"/>
          <w:szCs w:val="22"/>
        </w:rPr>
        <w:t xml:space="preserve">Libraries Unlimited (2022). </w:t>
      </w:r>
      <w:r w:rsidRPr="009451E5">
        <w:rPr>
          <w:i/>
          <w:iCs/>
          <w:sz w:val="22"/>
          <w:szCs w:val="22"/>
        </w:rPr>
        <w:t>Overdue fines removed for under 18s</w:t>
      </w:r>
      <w:r w:rsidRPr="009451E5">
        <w:rPr>
          <w:sz w:val="22"/>
          <w:szCs w:val="22"/>
        </w:rPr>
        <w:t>. [online] Libraries Unlimited. Available at: https://www.librariesunlimited.org.uk/news/overdue-fines-removed-for-under-18s/ [Accessed 5 May 2025].</w:t>
      </w:r>
    </w:p>
    <w:p w14:paraId="0E682E5D" w14:textId="77777777" w:rsidR="009451E5" w:rsidRPr="009451E5" w:rsidRDefault="009451E5" w:rsidP="009451E5">
      <w:pPr>
        <w:rPr>
          <w:sz w:val="22"/>
          <w:szCs w:val="22"/>
        </w:rPr>
      </w:pPr>
      <w:r w:rsidRPr="009451E5">
        <w:rPr>
          <w:sz w:val="22"/>
          <w:szCs w:val="22"/>
        </w:rPr>
        <w:t xml:space="preserve">Lynch, P. and </w:t>
      </w:r>
      <w:proofErr w:type="spellStart"/>
      <w:r w:rsidRPr="009451E5">
        <w:rPr>
          <w:sz w:val="22"/>
          <w:szCs w:val="22"/>
        </w:rPr>
        <w:t>Hattenstone</w:t>
      </w:r>
      <w:proofErr w:type="spellEnd"/>
      <w:r w:rsidRPr="009451E5">
        <w:rPr>
          <w:sz w:val="22"/>
          <w:szCs w:val="22"/>
        </w:rPr>
        <w:t xml:space="preserve">, A. (2024). </w:t>
      </w:r>
      <w:r w:rsidRPr="009451E5">
        <w:rPr>
          <w:i/>
          <w:iCs/>
          <w:sz w:val="22"/>
          <w:szCs w:val="22"/>
        </w:rPr>
        <w:t>Public libraries in ‘crisis’ as councils cut services</w:t>
      </w:r>
      <w:r w:rsidRPr="009451E5">
        <w:rPr>
          <w:sz w:val="22"/>
          <w:szCs w:val="22"/>
        </w:rPr>
        <w:t>. [online] BBC News. Available at: https://www.bbc.co.uk/news/articles/cn9lexplel5o [Accessed 4 May 2025].</w:t>
      </w:r>
    </w:p>
    <w:p w14:paraId="4DC74D92" w14:textId="77777777" w:rsidR="009451E5" w:rsidRPr="009451E5" w:rsidRDefault="009451E5" w:rsidP="009451E5">
      <w:pPr>
        <w:rPr>
          <w:sz w:val="22"/>
          <w:szCs w:val="22"/>
        </w:rPr>
      </w:pPr>
      <w:proofErr w:type="spellStart"/>
      <w:r w:rsidRPr="009451E5">
        <w:rPr>
          <w:sz w:val="22"/>
          <w:szCs w:val="22"/>
        </w:rPr>
        <w:t>Movewell</w:t>
      </w:r>
      <w:proofErr w:type="spellEnd"/>
      <w:r w:rsidRPr="009451E5">
        <w:rPr>
          <w:sz w:val="22"/>
          <w:szCs w:val="22"/>
        </w:rPr>
        <w:t xml:space="preserve"> (2023). </w:t>
      </w:r>
      <w:r w:rsidRPr="009451E5">
        <w:rPr>
          <w:i/>
          <w:iCs/>
          <w:sz w:val="22"/>
          <w:szCs w:val="22"/>
        </w:rPr>
        <w:t>A 20-minute walk can change cognitive performance</w:t>
      </w:r>
      <w:r w:rsidRPr="009451E5">
        <w:rPr>
          <w:sz w:val="22"/>
          <w:szCs w:val="22"/>
        </w:rPr>
        <w:t xml:space="preserve">. [online] </w:t>
      </w:r>
      <w:proofErr w:type="spellStart"/>
      <w:r w:rsidRPr="009451E5">
        <w:rPr>
          <w:sz w:val="22"/>
          <w:szCs w:val="22"/>
        </w:rPr>
        <w:t>Movewell</w:t>
      </w:r>
      <w:proofErr w:type="spellEnd"/>
      <w:r w:rsidRPr="009451E5">
        <w:rPr>
          <w:sz w:val="22"/>
          <w:szCs w:val="22"/>
        </w:rPr>
        <w:t>. Available at: https://www.movewell.dk/en/blogs/inspiration/20-minutters-gatur-kan-aendre-den-kognitive-ydeevne [Accessed 4 May 2025].</w:t>
      </w:r>
    </w:p>
    <w:p w14:paraId="71F7C52F" w14:textId="77777777" w:rsidR="009451E5" w:rsidRPr="009451E5" w:rsidRDefault="009451E5" w:rsidP="009451E5">
      <w:pPr>
        <w:rPr>
          <w:sz w:val="22"/>
          <w:szCs w:val="22"/>
        </w:rPr>
      </w:pPr>
      <w:r w:rsidRPr="009451E5">
        <w:rPr>
          <w:sz w:val="22"/>
          <w:szCs w:val="22"/>
        </w:rPr>
        <w:t xml:space="preserve">MRC Epidemiology Unit (2024). </w:t>
      </w:r>
      <w:r w:rsidRPr="009451E5">
        <w:rPr>
          <w:i/>
          <w:iCs/>
          <w:sz w:val="22"/>
          <w:szCs w:val="22"/>
        </w:rPr>
        <w:t>Evidence Brief - A child for all seasons - MRC Epidemiology Unit</w:t>
      </w:r>
      <w:r w:rsidRPr="009451E5">
        <w:rPr>
          <w:sz w:val="22"/>
          <w:szCs w:val="22"/>
        </w:rPr>
        <w:t>. [online] MRC Epidemiology Unit. Available at: https://www.mrc-epid.cam.ac.uk/resources/policy-resources/evidence-briefs/eb-a-child-for-all-seasons/ [Accessed 4 May 2025].</w:t>
      </w:r>
    </w:p>
    <w:p w14:paraId="49549289" w14:textId="77777777" w:rsidR="009451E5" w:rsidRPr="009451E5" w:rsidRDefault="009451E5" w:rsidP="009451E5">
      <w:pPr>
        <w:rPr>
          <w:sz w:val="22"/>
          <w:szCs w:val="22"/>
        </w:rPr>
      </w:pPr>
      <w:r w:rsidRPr="009451E5">
        <w:rPr>
          <w:sz w:val="22"/>
          <w:szCs w:val="22"/>
        </w:rPr>
        <w:lastRenderedPageBreak/>
        <w:t xml:space="preserve">National Literacy Trust (2019). </w:t>
      </w:r>
      <w:r w:rsidRPr="009451E5">
        <w:rPr>
          <w:i/>
          <w:iCs/>
          <w:sz w:val="22"/>
          <w:szCs w:val="22"/>
        </w:rPr>
        <w:t>Understanding the impact and characteristics of school libraries and reading spaces</w:t>
      </w:r>
      <w:r w:rsidRPr="009451E5">
        <w:rPr>
          <w:sz w:val="22"/>
          <w:szCs w:val="22"/>
        </w:rPr>
        <w:t>. [online] National Literacy Trust. Available at: https://literacytrust.org.uk/research-services/research-reports/understanding-impact-and-characteristics-school-libraries-and-reading-spaces/ [Accessed 4 May 2025].</w:t>
      </w:r>
    </w:p>
    <w:p w14:paraId="4C86725A" w14:textId="77777777" w:rsidR="009451E5" w:rsidRPr="009451E5" w:rsidRDefault="009451E5" w:rsidP="009451E5">
      <w:pPr>
        <w:rPr>
          <w:sz w:val="22"/>
          <w:szCs w:val="22"/>
        </w:rPr>
      </w:pPr>
      <w:r w:rsidRPr="009451E5">
        <w:rPr>
          <w:sz w:val="22"/>
          <w:szCs w:val="22"/>
        </w:rPr>
        <w:t xml:space="preserve">National Literacy Trust (2022). </w:t>
      </w:r>
      <w:r w:rsidRPr="009451E5">
        <w:rPr>
          <w:i/>
          <w:iCs/>
          <w:sz w:val="22"/>
          <w:szCs w:val="22"/>
        </w:rPr>
        <w:t>COVID-19 Research and Policy Observatory</w:t>
      </w:r>
      <w:r w:rsidRPr="009451E5">
        <w:rPr>
          <w:sz w:val="22"/>
          <w:szCs w:val="22"/>
        </w:rPr>
        <w:t>. [online] National Literacy Trust. Available at: https://literacytrust.org.uk/information/what-is-literacy/covid-19-and-literacy/ [Accessed 29 Apr. 2025].</w:t>
      </w:r>
    </w:p>
    <w:p w14:paraId="5CDDC5B4" w14:textId="77777777" w:rsidR="009451E5" w:rsidRPr="009451E5" w:rsidRDefault="009451E5" w:rsidP="009451E5">
      <w:pPr>
        <w:rPr>
          <w:sz w:val="22"/>
          <w:szCs w:val="22"/>
        </w:rPr>
      </w:pPr>
      <w:r w:rsidRPr="009451E5">
        <w:rPr>
          <w:sz w:val="22"/>
          <w:szCs w:val="22"/>
        </w:rPr>
        <w:t xml:space="preserve">National Literacy Trust (2023). </w:t>
      </w:r>
      <w:r w:rsidRPr="009451E5">
        <w:rPr>
          <w:i/>
          <w:iCs/>
          <w:sz w:val="22"/>
          <w:szCs w:val="22"/>
        </w:rPr>
        <w:t xml:space="preserve">Arranging school class visits to the local library </w:t>
      </w:r>
      <w:r w:rsidRPr="009451E5">
        <w:rPr>
          <w:sz w:val="22"/>
          <w:szCs w:val="22"/>
        </w:rPr>
        <w:t>. [online] National Literacy Trust. Available at: https://literacytrust.org.uk/blog/library-lifeline-part-17-how-and-why-should-i-arrange-class-visits-with-my-local-library/ [Accessed 29 Apr. 2025].</w:t>
      </w:r>
    </w:p>
    <w:p w14:paraId="42F67085" w14:textId="77777777" w:rsidR="009451E5" w:rsidRPr="009451E5" w:rsidRDefault="009451E5" w:rsidP="009451E5">
      <w:pPr>
        <w:rPr>
          <w:sz w:val="22"/>
          <w:szCs w:val="22"/>
        </w:rPr>
      </w:pPr>
      <w:r w:rsidRPr="009451E5">
        <w:rPr>
          <w:sz w:val="22"/>
          <w:szCs w:val="22"/>
        </w:rPr>
        <w:t xml:space="preserve">NICE (2017). </w:t>
      </w:r>
      <w:r w:rsidRPr="009451E5">
        <w:rPr>
          <w:i/>
          <w:iCs/>
          <w:sz w:val="22"/>
          <w:szCs w:val="22"/>
        </w:rPr>
        <w:t xml:space="preserve">Contents </w:t>
      </w:r>
      <w:proofErr w:type="spellStart"/>
      <w:r w:rsidRPr="009451E5">
        <w:rPr>
          <w:i/>
          <w:iCs/>
          <w:sz w:val="22"/>
          <w:szCs w:val="22"/>
        </w:rPr>
        <w:t>Contents</w:t>
      </w:r>
      <w:proofErr w:type="spellEnd"/>
      <w:r w:rsidRPr="009451E5">
        <w:rPr>
          <w:sz w:val="22"/>
          <w:szCs w:val="22"/>
        </w:rPr>
        <w:t>. [online] Available at: https://www.nice.org.uk/guidance/qs148/resources/community-engagement-improving-health-and-wellbeing-pdf-75545486227141 [Accessed 9 Apr. 2025].</w:t>
      </w:r>
    </w:p>
    <w:p w14:paraId="034767E6" w14:textId="77777777" w:rsidR="009451E5" w:rsidRPr="009451E5" w:rsidRDefault="009451E5" w:rsidP="009451E5">
      <w:pPr>
        <w:rPr>
          <w:sz w:val="22"/>
          <w:szCs w:val="22"/>
        </w:rPr>
      </w:pPr>
      <w:r w:rsidRPr="009451E5">
        <w:rPr>
          <w:sz w:val="22"/>
          <w:szCs w:val="22"/>
        </w:rPr>
        <w:t xml:space="preserve">Pascal, C., Bertram, T., Cullinane, C. and Holt-White, E. (2020). </w:t>
      </w:r>
      <w:r w:rsidRPr="009451E5">
        <w:rPr>
          <w:i/>
          <w:iCs/>
          <w:sz w:val="22"/>
          <w:szCs w:val="22"/>
        </w:rPr>
        <w:t>COVID-19 and Social Mobility Impact Brief #4: Early Years</w:t>
      </w:r>
      <w:r w:rsidRPr="009451E5">
        <w:rPr>
          <w:sz w:val="22"/>
          <w:szCs w:val="22"/>
        </w:rPr>
        <w:t>. [online] The Sutton Trust. Available at: https://www.suttontrust.com/wp-content/uploads/2020/06/Early-Years-Impact-Brief.pdf [Accessed 29 Apr. 2025].</w:t>
      </w:r>
    </w:p>
    <w:p w14:paraId="6569A444" w14:textId="77777777" w:rsidR="009451E5" w:rsidRPr="009451E5" w:rsidRDefault="009451E5" w:rsidP="009451E5">
      <w:pPr>
        <w:rPr>
          <w:sz w:val="22"/>
          <w:szCs w:val="22"/>
        </w:rPr>
      </w:pPr>
      <w:r w:rsidRPr="009451E5">
        <w:rPr>
          <w:sz w:val="22"/>
          <w:szCs w:val="22"/>
          <w:lang w:val="de-DE"/>
        </w:rPr>
        <w:t xml:space="preserve">Pozas, M., Letzel, V., Lindner, K.-T. and Schwab, S. (2021). </w:t>
      </w:r>
      <w:r w:rsidRPr="009451E5">
        <w:rPr>
          <w:sz w:val="22"/>
          <w:szCs w:val="22"/>
        </w:rPr>
        <w:t xml:space="preserve">DI (Differentiated Instruction) Does Matter! The Effects of DI on Secondary School Students’ Well-Being, Social Inclusion and Academic Self-Concept. </w:t>
      </w:r>
      <w:r w:rsidRPr="009451E5">
        <w:rPr>
          <w:i/>
          <w:iCs/>
          <w:sz w:val="22"/>
          <w:szCs w:val="22"/>
        </w:rPr>
        <w:t>Frontiers in Education</w:t>
      </w:r>
      <w:r w:rsidRPr="009451E5">
        <w:rPr>
          <w:sz w:val="22"/>
          <w:szCs w:val="22"/>
        </w:rPr>
        <w:t xml:space="preserve">, [online] 6. </w:t>
      </w:r>
      <w:proofErr w:type="spellStart"/>
      <w:r w:rsidRPr="009451E5">
        <w:rPr>
          <w:sz w:val="22"/>
          <w:szCs w:val="22"/>
        </w:rPr>
        <w:t>doi:https</w:t>
      </w:r>
      <w:proofErr w:type="spellEnd"/>
      <w:r w:rsidRPr="009451E5">
        <w:rPr>
          <w:sz w:val="22"/>
          <w:szCs w:val="22"/>
        </w:rPr>
        <w:t>://doi.org/10.3389/feduc.2021.729027.</w:t>
      </w:r>
    </w:p>
    <w:p w14:paraId="20CFAA03" w14:textId="77777777" w:rsidR="009451E5" w:rsidRPr="009451E5" w:rsidRDefault="009451E5" w:rsidP="009451E5">
      <w:pPr>
        <w:rPr>
          <w:sz w:val="22"/>
          <w:szCs w:val="22"/>
        </w:rPr>
      </w:pPr>
      <w:r w:rsidRPr="009451E5">
        <w:rPr>
          <w:sz w:val="22"/>
          <w:szCs w:val="22"/>
        </w:rPr>
        <w:t xml:space="preserve">ROSPA (n.d.). </w:t>
      </w:r>
      <w:r w:rsidRPr="009451E5">
        <w:rPr>
          <w:i/>
          <w:iCs/>
          <w:sz w:val="22"/>
          <w:szCs w:val="22"/>
        </w:rPr>
        <w:t>The Royal Society for the Prevention of Accidents</w:t>
      </w:r>
      <w:r w:rsidRPr="009451E5">
        <w:rPr>
          <w:sz w:val="22"/>
          <w:szCs w:val="22"/>
        </w:rPr>
        <w:t>. [online] Available at: https://www.rospa.com/media/documents/road-safety/factsheets/home-to-school-travel-guide.pdf [Accessed 4 May 2025].</w:t>
      </w:r>
    </w:p>
    <w:p w14:paraId="59B9EF62" w14:textId="77777777" w:rsidR="009451E5" w:rsidRPr="009451E5" w:rsidRDefault="009451E5" w:rsidP="009451E5">
      <w:pPr>
        <w:rPr>
          <w:sz w:val="22"/>
          <w:szCs w:val="22"/>
        </w:rPr>
      </w:pPr>
      <w:r w:rsidRPr="009451E5">
        <w:rPr>
          <w:sz w:val="22"/>
          <w:szCs w:val="22"/>
        </w:rPr>
        <w:t xml:space="preserve">Samantha Laine </w:t>
      </w:r>
      <w:proofErr w:type="spellStart"/>
      <w:r w:rsidRPr="009451E5">
        <w:rPr>
          <w:sz w:val="22"/>
          <w:szCs w:val="22"/>
        </w:rPr>
        <w:t>Perfas</w:t>
      </w:r>
      <w:proofErr w:type="spellEnd"/>
      <w:r w:rsidRPr="009451E5">
        <w:rPr>
          <w:sz w:val="22"/>
          <w:szCs w:val="22"/>
        </w:rPr>
        <w:t xml:space="preserve"> (2024). </w:t>
      </w:r>
      <w:r w:rsidRPr="009451E5">
        <w:rPr>
          <w:i/>
          <w:iCs/>
          <w:sz w:val="22"/>
          <w:szCs w:val="22"/>
        </w:rPr>
        <w:t>How far has COVID set back students?</w:t>
      </w:r>
      <w:r w:rsidRPr="009451E5">
        <w:rPr>
          <w:sz w:val="22"/>
          <w:szCs w:val="22"/>
        </w:rPr>
        <w:t xml:space="preserve"> [online] Harvard Gazette. Available at: https://news.harvard.edu/gazette/story/2024/05/how-far-has-covid-pandemic-set-back-students-harvard-thinking-podcast/ [Accessed 29 Apr. 2025].</w:t>
      </w:r>
    </w:p>
    <w:p w14:paraId="4D216894" w14:textId="77777777" w:rsidR="009451E5" w:rsidRPr="009451E5" w:rsidRDefault="009451E5" w:rsidP="009451E5">
      <w:pPr>
        <w:rPr>
          <w:sz w:val="22"/>
          <w:szCs w:val="22"/>
        </w:rPr>
      </w:pPr>
      <w:r w:rsidRPr="009451E5">
        <w:rPr>
          <w:sz w:val="22"/>
          <w:szCs w:val="22"/>
        </w:rPr>
        <w:t xml:space="preserve">Sarjeant, S. and Egan, D. (2023). </w:t>
      </w:r>
      <w:r w:rsidRPr="009451E5">
        <w:rPr>
          <w:i/>
          <w:iCs/>
          <w:sz w:val="22"/>
          <w:szCs w:val="22"/>
        </w:rPr>
        <w:t>The importance of engaging families and the wider community in children’s learning: A Welsh perspective</w:t>
      </w:r>
      <w:r w:rsidRPr="009451E5">
        <w:rPr>
          <w:sz w:val="22"/>
          <w:szCs w:val="22"/>
        </w:rPr>
        <w:t>. [online] My College. Available at: https://my.chartered.college/impact_article/the-importance-of-engaging-families-and-the-wider-community-in-childrens-learning-a-welsh-perspective/ [Accessed 10 Apr. 2025].</w:t>
      </w:r>
    </w:p>
    <w:p w14:paraId="15B5D7C6" w14:textId="77777777" w:rsidR="009451E5" w:rsidRPr="009451E5" w:rsidRDefault="009451E5" w:rsidP="009451E5">
      <w:pPr>
        <w:rPr>
          <w:sz w:val="22"/>
          <w:szCs w:val="22"/>
        </w:rPr>
      </w:pPr>
      <w:r w:rsidRPr="009451E5">
        <w:rPr>
          <w:sz w:val="22"/>
          <w:szCs w:val="22"/>
        </w:rPr>
        <w:t xml:space="preserve">Soulen, R.R. and Tedrow, L. (2021). Students’ frequency of access to school library materials in transformative times. </w:t>
      </w:r>
      <w:r w:rsidRPr="009451E5">
        <w:rPr>
          <w:i/>
          <w:iCs/>
          <w:sz w:val="22"/>
          <w:szCs w:val="22"/>
        </w:rPr>
        <w:t>Journal of Librarianship and Information Science</w:t>
      </w:r>
      <w:r w:rsidRPr="009451E5">
        <w:rPr>
          <w:sz w:val="22"/>
          <w:szCs w:val="22"/>
        </w:rPr>
        <w:t xml:space="preserve">, [online] 54(4), p.096100062110377. </w:t>
      </w:r>
      <w:proofErr w:type="spellStart"/>
      <w:r w:rsidRPr="009451E5">
        <w:rPr>
          <w:sz w:val="22"/>
          <w:szCs w:val="22"/>
        </w:rPr>
        <w:t>doi:https</w:t>
      </w:r>
      <w:proofErr w:type="spellEnd"/>
      <w:r w:rsidRPr="009451E5">
        <w:rPr>
          <w:sz w:val="22"/>
          <w:szCs w:val="22"/>
        </w:rPr>
        <w:t>://doi.org/10.1177/09610006211037721.</w:t>
      </w:r>
    </w:p>
    <w:p w14:paraId="7C2390E1" w14:textId="77777777" w:rsidR="009451E5" w:rsidRPr="009451E5" w:rsidRDefault="009451E5" w:rsidP="009451E5">
      <w:pPr>
        <w:rPr>
          <w:sz w:val="22"/>
          <w:szCs w:val="22"/>
        </w:rPr>
      </w:pPr>
      <w:r w:rsidRPr="009451E5">
        <w:rPr>
          <w:sz w:val="22"/>
          <w:szCs w:val="22"/>
        </w:rPr>
        <w:t xml:space="preserve">Stanley, K. and Kuo, N.-C. (2022). ‘It Takes a Village’: Approaching the Development of School-Family-Community Partnerships through Bronfenbrenner’s Socio-Ecological Perspectives. </w:t>
      </w:r>
      <w:r w:rsidRPr="009451E5">
        <w:rPr>
          <w:i/>
          <w:iCs/>
          <w:sz w:val="22"/>
          <w:szCs w:val="22"/>
        </w:rPr>
        <w:t>Journal of Human Sciences and Extension</w:t>
      </w:r>
      <w:r w:rsidRPr="009451E5">
        <w:rPr>
          <w:sz w:val="22"/>
          <w:szCs w:val="22"/>
        </w:rPr>
        <w:t xml:space="preserve">, 10(1). </w:t>
      </w:r>
      <w:proofErr w:type="spellStart"/>
      <w:r w:rsidRPr="009451E5">
        <w:rPr>
          <w:sz w:val="22"/>
          <w:szCs w:val="22"/>
        </w:rPr>
        <w:t>doi:https</w:t>
      </w:r>
      <w:proofErr w:type="spellEnd"/>
      <w:r w:rsidRPr="009451E5">
        <w:rPr>
          <w:sz w:val="22"/>
          <w:szCs w:val="22"/>
        </w:rPr>
        <w:t>://doi.org/10.54718/cqbw6379.</w:t>
      </w:r>
    </w:p>
    <w:p w14:paraId="7B7A12A7" w14:textId="77777777" w:rsidR="009451E5" w:rsidRPr="009451E5" w:rsidRDefault="009451E5" w:rsidP="009451E5">
      <w:pPr>
        <w:rPr>
          <w:sz w:val="22"/>
          <w:szCs w:val="22"/>
        </w:rPr>
      </w:pPr>
      <w:proofErr w:type="spellStart"/>
      <w:r w:rsidRPr="009451E5">
        <w:rPr>
          <w:sz w:val="22"/>
          <w:szCs w:val="22"/>
        </w:rPr>
        <w:lastRenderedPageBreak/>
        <w:t>Teachwire</w:t>
      </w:r>
      <w:proofErr w:type="spellEnd"/>
      <w:r w:rsidRPr="009451E5">
        <w:rPr>
          <w:sz w:val="22"/>
          <w:szCs w:val="22"/>
        </w:rPr>
        <w:t xml:space="preserve"> (2024). </w:t>
      </w:r>
      <w:r w:rsidRPr="009451E5">
        <w:rPr>
          <w:i/>
          <w:iCs/>
          <w:sz w:val="22"/>
          <w:szCs w:val="22"/>
        </w:rPr>
        <w:t>School library – Why they’re vital and how to improve yours</w:t>
      </w:r>
      <w:r w:rsidRPr="009451E5">
        <w:rPr>
          <w:sz w:val="22"/>
          <w:szCs w:val="22"/>
        </w:rPr>
        <w:t xml:space="preserve">. [online] </w:t>
      </w:r>
      <w:proofErr w:type="spellStart"/>
      <w:r w:rsidRPr="009451E5">
        <w:rPr>
          <w:sz w:val="22"/>
          <w:szCs w:val="22"/>
        </w:rPr>
        <w:t>Teachwire</w:t>
      </w:r>
      <w:proofErr w:type="spellEnd"/>
      <w:r w:rsidRPr="009451E5">
        <w:rPr>
          <w:sz w:val="22"/>
          <w:szCs w:val="22"/>
        </w:rPr>
        <w:t>. Available at: https://www.teachwire.net/news/libraries-for-schools-the-story-centre/ [Accessed 9 Apr. 2025].</w:t>
      </w:r>
    </w:p>
    <w:p w14:paraId="152A87E2" w14:textId="77777777" w:rsidR="009451E5" w:rsidRPr="009451E5" w:rsidRDefault="009451E5" w:rsidP="009451E5">
      <w:pPr>
        <w:rPr>
          <w:sz w:val="22"/>
          <w:szCs w:val="22"/>
        </w:rPr>
      </w:pPr>
      <w:r w:rsidRPr="009451E5">
        <w:rPr>
          <w:sz w:val="22"/>
          <w:szCs w:val="22"/>
        </w:rPr>
        <w:t xml:space="preserve">Tolkien, T. (2023). </w:t>
      </w:r>
      <w:r w:rsidRPr="009451E5">
        <w:rPr>
          <w:i/>
          <w:iCs/>
          <w:sz w:val="22"/>
          <w:szCs w:val="22"/>
        </w:rPr>
        <w:t>Why it’s not a good idea to use reading records | Series 1, Episode 7</w:t>
      </w:r>
      <w:r w:rsidRPr="009451E5">
        <w:rPr>
          <w:sz w:val="22"/>
          <w:szCs w:val="22"/>
        </w:rPr>
        <w:t>. [online] School Reading List. Available at: https://schoolreadinglist.co.uk/podcasts/series-1-episode-7/ [Accessed 3 May 2025].</w:t>
      </w:r>
    </w:p>
    <w:p w14:paraId="1BAB9C48" w14:textId="77777777" w:rsidR="009451E5" w:rsidRPr="009451E5" w:rsidRDefault="009451E5" w:rsidP="009451E5">
      <w:pPr>
        <w:rPr>
          <w:sz w:val="22"/>
          <w:szCs w:val="22"/>
        </w:rPr>
      </w:pPr>
      <w:r w:rsidRPr="009451E5">
        <w:rPr>
          <w:sz w:val="22"/>
          <w:szCs w:val="22"/>
        </w:rPr>
        <w:t xml:space="preserve">Welsh Government (2022a). </w:t>
      </w:r>
      <w:r w:rsidRPr="009451E5">
        <w:rPr>
          <w:i/>
          <w:iCs/>
          <w:sz w:val="22"/>
          <w:szCs w:val="22"/>
        </w:rPr>
        <w:t>Community Focused Schools</w:t>
      </w:r>
      <w:r w:rsidRPr="009451E5">
        <w:rPr>
          <w:sz w:val="22"/>
          <w:szCs w:val="22"/>
        </w:rPr>
        <w:t>. [online] Available at: https://www.gov.wales/sites/default/files/pdf-versions/2024/2/4/1708614958/community-focused-schools.pdf [Accessed 9 Apr. 2025].</w:t>
      </w:r>
    </w:p>
    <w:p w14:paraId="21972BF5" w14:textId="77777777" w:rsidR="009451E5" w:rsidRPr="009451E5" w:rsidRDefault="009451E5" w:rsidP="009451E5">
      <w:pPr>
        <w:rPr>
          <w:sz w:val="22"/>
          <w:szCs w:val="22"/>
        </w:rPr>
      </w:pPr>
      <w:r w:rsidRPr="009451E5">
        <w:rPr>
          <w:sz w:val="22"/>
          <w:szCs w:val="22"/>
        </w:rPr>
        <w:t xml:space="preserve">Welsh Government (2022b). </w:t>
      </w:r>
      <w:r w:rsidRPr="009451E5">
        <w:rPr>
          <w:i/>
          <w:iCs/>
          <w:sz w:val="22"/>
          <w:szCs w:val="22"/>
        </w:rPr>
        <w:t>Community Focused Schools</w:t>
      </w:r>
      <w:r w:rsidRPr="009451E5">
        <w:rPr>
          <w:sz w:val="22"/>
          <w:szCs w:val="22"/>
        </w:rPr>
        <w:t>. [online] Available at: https://www.gov.wales/sites/default/files/pdf-versions/2024/2/4/1708614958/community-focused-schools.pdf [Accessed 10 Apr. 2025].</w:t>
      </w:r>
    </w:p>
    <w:p w14:paraId="3F7E1984" w14:textId="77777777" w:rsidR="009451E5" w:rsidRPr="009451E5" w:rsidRDefault="009451E5" w:rsidP="009451E5">
      <w:pPr>
        <w:rPr>
          <w:sz w:val="22"/>
          <w:szCs w:val="22"/>
        </w:rPr>
      </w:pPr>
      <w:r w:rsidRPr="009451E5">
        <w:rPr>
          <w:sz w:val="22"/>
          <w:szCs w:val="22"/>
        </w:rPr>
        <w:t xml:space="preserve">Welsh Government (2024). </w:t>
      </w:r>
      <w:r w:rsidRPr="009451E5">
        <w:rPr>
          <w:i/>
          <w:iCs/>
          <w:sz w:val="22"/>
          <w:szCs w:val="22"/>
        </w:rPr>
        <w:t>Patterns of attainment in reading and numeracy: September 2018 to August 2023 [HTML] | GOV.WALES</w:t>
      </w:r>
      <w:r w:rsidRPr="009451E5">
        <w:rPr>
          <w:sz w:val="22"/>
          <w:szCs w:val="22"/>
        </w:rPr>
        <w:t>. [online] GOV.WALES. Available at: https://www.gov.wales/patterns-attainment-reading-and-numeracy-september-2018-august-2023-html [Accessed 3 May 2025].</w:t>
      </w:r>
    </w:p>
    <w:p w14:paraId="027C5B43" w14:textId="671AACAD" w:rsidR="007E42BE" w:rsidRDefault="009451E5" w:rsidP="00DD5969">
      <w:pPr>
        <w:rPr>
          <w:sz w:val="22"/>
          <w:szCs w:val="22"/>
        </w:rPr>
      </w:pPr>
      <w:r w:rsidRPr="009451E5">
        <w:rPr>
          <w:sz w:val="22"/>
          <w:szCs w:val="22"/>
        </w:rPr>
        <w:t xml:space="preserve">Worcestershire County Council (2024). </w:t>
      </w:r>
      <w:r w:rsidRPr="009451E5">
        <w:rPr>
          <w:i/>
          <w:iCs/>
          <w:sz w:val="22"/>
          <w:szCs w:val="22"/>
        </w:rPr>
        <w:t>Learning Outside the Classroom: Fostering a lifelong love of reading | Worcestershire County Council</w:t>
      </w:r>
      <w:r w:rsidRPr="009451E5">
        <w:rPr>
          <w:sz w:val="22"/>
          <w:szCs w:val="22"/>
        </w:rPr>
        <w:t>. [online] Worcestershire.gov.uk. Available at: https://www.worcestershire.gov.uk/council-services/worcestershire-libraries/worcestershires-library-stories/learning-outside-classroom-fostering-lifelong-love-reading [Accessed 2 May 2025].</w:t>
      </w:r>
    </w:p>
    <w:p w14:paraId="31443742" w14:textId="13BE2C7B" w:rsidR="004F3313" w:rsidRPr="002F1CBE" w:rsidRDefault="004F3313" w:rsidP="00DD5969">
      <w:pPr>
        <w:rPr>
          <w:b/>
          <w:bCs/>
          <w:sz w:val="22"/>
          <w:szCs w:val="22"/>
        </w:rPr>
      </w:pPr>
      <w:r w:rsidRPr="002F1CBE">
        <w:rPr>
          <w:b/>
          <w:bCs/>
          <w:sz w:val="22"/>
          <w:szCs w:val="22"/>
        </w:rPr>
        <w:t>Appendices</w:t>
      </w:r>
    </w:p>
    <w:p w14:paraId="5006F362" w14:textId="07BF6D21" w:rsidR="004F3313" w:rsidRDefault="00137A5F" w:rsidP="00DD5969">
      <w:pPr>
        <w:rPr>
          <w:sz w:val="22"/>
          <w:szCs w:val="22"/>
        </w:rPr>
      </w:pPr>
      <w:r w:rsidRPr="00137A5F">
        <w:rPr>
          <w:sz w:val="22"/>
          <w:szCs w:val="22"/>
        </w:rPr>
        <w:drawing>
          <wp:anchor distT="0" distB="0" distL="114300" distR="114300" simplePos="0" relativeHeight="251658240" behindDoc="0" locked="0" layoutInCell="1" allowOverlap="1" wp14:anchorId="0A672BDC" wp14:editId="699CFD96">
            <wp:simplePos x="0" y="0"/>
            <wp:positionH relativeFrom="page">
              <wp:posOffset>63169</wp:posOffset>
            </wp:positionH>
            <wp:positionV relativeFrom="paragraph">
              <wp:posOffset>229870</wp:posOffset>
            </wp:positionV>
            <wp:extent cx="7456466" cy="3562185"/>
            <wp:effectExtent l="0" t="0" r="0" b="635"/>
            <wp:wrapSquare wrapText="bothSides"/>
            <wp:docPr id="2087749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498" name="Picture 1" descr="A close-up of a documen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456466" cy="3562185"/>
                    </a:xfrm>
                    <a:prstGeom prst="rect">
                      <a:avLst/>
                    </a:prstGeom>
                  </pic:spPr>
                </pic:pic>
              </a:graphicData>
            </a:graphic>
            <wp14:sizeRelH relativeFrom="margin">
              <wp14:pctWidth>0</wp14:pctWidth>
            </wp14:sizeRelH>
            <wp14:sizeRelV relativeFrom="margin">
              <wp14:pctHeight>0</wp14:pctHeight>
            </wp14:sizeRelV>
          </wp:anchor>
        </w:drawing>
      </w:r>
      <w:r w:rsidR="004F3313">
        <w:rPr>
          <w:sz w:val="22"/>
          <w:szCs w:val="22"/>
        </w:rPr>
        <w:t>Appendix 1</w:t>
      </w:r>
    </w:p>
    <w:p w14:paraId="3EE9F1A4" w14:textId="176E910D" w:rsidR="00137A5F" w:rsidRDefault="00137A5F" w:rsidP="00DD5969">
      <w:pPr>
        <w:rPr>
          <w:sz w:val="22"/>
          <w:szCs w:val="22"/>
        </w:rPr>
      </w:pPr>
    </w:p>
    <w:p w14:paraId="01F98D14" w14:textId="2DA1B6C4" w:rsidR="004F3313" w:rsidRPr="00B103B9" w:rsidRDefault="004F3313" w:rsidP="00DD5969">
      <w:pPr>
        <w:rPr>
          <w:sz w:val="16"/>
          <w:szCs w:val="16"/>
        </w:rPr>
      </w:pPr>
    </w:p>
    <w:sectPr w:rsidR="004F3313"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975F7"/>
    <w:multiLevelType w:val="multilevel"/>
    <w:tmpl w:val="C20E2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F9336E"/>
    <w:multiLevelType w:val="hybridMultilevel"/>
    <w:tmpl w:val="8C088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315377">
    <w:abstractNumId w:val="1"/>
  </w:num>
  <w:num w:numId="2" w16cid:durableId="278486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0267"/>
    <w:rsid w:val="000007A3"/>
    <w:rsid w:val="000007CF"/>
    <w:rsid w:val="0000247D"/>
    <w:rsid w:val="0000375B"/>
    <w:rsid w:val="00021195"/>
    <w:rsid w:val="00023AC5"/>
    <w:rsid w:val="00023D99"/>
    <w:rsid w:val="00026DB0"/>
    <w:rsid w:val="00035C68"/>
    <w:rsid w:val="00043F53"/>
    <w:rsid w:val="00045538"/>
    <w:rsid w:val="00046E5D"/>
    <w:rsid w:val="00047C78"/>
    <w:rsid w:val="000526B6"/>
    <w:rsid w:val="000564FF"/>
    <w:rsid w:val="00061BBC"/>
    <w:rsid w:val="000635EA"/>
    <w:rsid w:val="00063AAB"/>
    <w:rsid w:val="00063ADC"/>
    <w:rsid w:val="00066BE6"/>
    <w:rsid w:val="0007198D"/>
    <w:rsid w:val="00072A4E"/>
    <w:rsid w:val="00072F72"/>
    <w:rsid w:val="00077ED2"/>
    <w:rsid w:val="00090819"/>
    <w:rsid w:val="000932A3"/>
    <w:rsid w:val="00095C4D"/>
    <w:rsid w:val="0009633E"/>
    <w:rsid w:val="000964DE"/>
    <w:rsid w:val="00096AE5"/>
    <w:rsid w:val="000A04FA"/>
    <w:rsid w:val="000A156E"/>
    <w:rsid w:val="000A245C"/>
    <w:rsid w:val="000A2E17"/>
    <w:rsid w:val="000A470F"/>
    <w:rsid w:val="000A7753"/>
    <w:rsid w:val="000B3F7F"/>
    <w:rsid w:val="000B4262"/>
    <w:rsid w:val="000B5E7E"/>
    <w:rsid w:val="000C144A"/>
    <w:rsid w:val="000C3BFE"/>
    <w:rsid w:val="000C53FB"/>
    <w:rsid w:val="000C541C"/>
    <w:rsid w:val="000C5D17"/>
    <w:rsid w:val="000C68CB"/>
    <w:rsid w:val="000D0AD3"/>
    <w:rsid w:val="000D5B34"/>
    <w:rsid w:val="000E0197"/>
    <w:rsid w:val="000E4B96"/>
    <w:rsid w:val="000E6084"/>
    <w:rsid w:val="000E7076"/>
    <w:rsid w:val="000F0D79"/>
    <w:rsid w:val="000F2004"/>
    <w:rsid w:val="000F55A1"/>
    <w:rsid w:val="000F747C"/>
    <w:rsid w:val="0010406A"/>
    <w:rsid w:val="001047D5"/>
    <w:rsid w:val="001118FB"/>
    <w:rsid w:val="00115538"/>
    <w:rsid w:val="00117718"/>
    <w:rsid w:val="00123DF1"/>
    <w:rsid w:val="0012432D"/>
    <w:rsid w:val="00132F32"/>
    <w:rsid w:val="00135DD1"/>
    <w:rsid w:val="001374DE"/>
    <w:rsid w:val="00137A5F"/>
    <w:rsid w:val="00137E34"/>
    <w:rsid w:val="00137FFE"/>
    <w:rsid w:val="00140356"/>
    <w:rsid w:val="001406D7"/>
    <w:rsid w:val="0014108F"/>
    <w:rsid w:val="00144E9C"/>
    <w:rsid w:val="00147B5A"/>
    <w:rsid w:val="00150798"/>
    <w:rsid w:val="001567E7"/>
    <w:rsid w:val="00161C02"/>
    <w:rsid w:val="00163EEF"/>
    <w:rsid w:val="0016687E"/>
    <w:rsid w:val="00166CE5"/>
    <w:rsid w:val="00170906"/>
    <w:rsid w:val="00170B39"/>
    <w:rsid w:val="00170DCA"/>
    <w:rsid w:val="00174AAA"/>
    <w:rsid w:val="00177384"/>
    <w:rsid w:val="001819DF"/>
    <w:rsid w:val="00184CA8"/>
    <w:rsid w:val="001A2201"/>
    <w:rsid w:val="001A7A80"/>
    <w:rsid w:val="001A7D47"/>
    <w:rsid w:val="001B086C"/>
    <w:rsid w:val="001B4F59"/>
    <w:rsid w:val="001B763E"/>
    <w:rsid w:val="001C2538"/>
    <w:rsid w:val="001C6E70"/>
    <w:rsid w:val="001C74A9"/>
    <w:rsid w:val="001D7C59"/>
    <w:rsid w:val="001E5138"/>
    <w:rsid w:val="001E6103"/>
    <w:rsid w:val="001F0F94"/>
    <w:rsid w:val="002019F6"/>
    <w:rsid w:val="002027B6"/>
    <w:rsid w:val="00205DA0"/>
    <w:rsid w:val="002079D3"/>
    <w:rsid w:val="00207A43"/>
    <w:rsid w:val="00207D0D"/>
    <w:rsid w:val="0021058A"/>
    <w:rsid w:val="002121E8"/>
    <w:rsid w:val="0021464B"/>
    <w:rsid w:val="00215EF5"/>
    <w:rsid w:val="002217B0"/>
    <w:rsid w:val="002246ED"/>
    <w:rsid w:val="00226BEC"/>
    <w:rsid w:val="00230D8B"/>
    <w:rsid w:val="00240873"/>
    <w:rsid w:val="002408CD"/>
    <w:rsid w:val="00242F15"/>
    <w:rsid w:val="0024443A"/>
    <w:rsid w:val="0025070D"/>
    <w:rsid w:val="00252AC8"/>
    <w:rsid w:val="00252E8B"/>
    <w:rsid w:val="00253AB8"/>
    <w:rsid w:val="00254823"/>
    <w:rsid w:val="00254838"/>
    <w:rsid w:val="00260376"/>
    <w:rsid w:val="002610C7"/>
    <w:rsid w:val="00262437"/>
    <w:rsid w:val="00262DC1"/>
    <w:rsid w:val="00263BDF"/>
    <w:rsid w:val="00271206"/>
    <w:rsid w:val="00271D48"/>
    <w:rsid w:val="00280D22"/>
    <w:rsid w:val="0028395E"/>
    <w:rsid w:val="002850F0"/>
    <w:rsid w:val="00286107"/>
    <w:rsid w:val="002927B3"/>
    <w:rsid w:val="00293AD1"/>
    <w:rsid w:val="002971C9"/>
    <w:rsid w:val="002A3E1E"/>
    <w:rsid w:val="002A61D5"/>
    <w:rsid w:val="002A794A"/>
    <w:rsid w:val="002B3795"/>
    <w:rsid w:val="002B554A"/>
    <w:rsid w:val="002B6249"/>
    <w:rsid w:val="002C05B1"/>
    <w:rsid w:val="002C1562"/>
    <w:rsid w:val="002C6BEB"/>
    <w:rsid w:val="002D27E6"/>
    <w:rsid w:val="002D49D7"/>
    <w:rsid w:val="002D533A"/>
    <w:rsid w:val="002E0909"/>
    <w:rsid w:val="002E4710"/>
    <w:rsid w:val="002E496A"/>
    <w:rsid w:val="002E5FEE"/>
    <w:rsid w:val="002F0C5F"/>
    <w:rsid w:val="002F14A1"/>
    <w:rsid w:val="002F1CBE"/>
    <w:rsid w:val="002F243A"/>
    <w:rsid w:val="002F24DC"/>
    <w:rsid w:val="002F5A63"/>
    <w:rsid w:val="00301114"/>
    <w:rsid w:val="00301906"/>
    <w:rsid w:val="00302BB1"/>
    <w:rsid w:val="003035CF"/>
    <w:rsid w:val="003061E1"/>
    <w:rsid w:val="00310A88"/>
    <w:rsid w:val="003116AA"/>
    <w:rsid w:val="003206C9"/>
    <w:rsid w:val="00320979"/>
    <w:rsid w:val="00320AC3"/>
    <w:rsid w:val="00326E6B"/>
    <w:rsid w:val="003341DF"/>
    <w:rsid w:val="003346A3"/>
    <w:rsid w:val="00347EA1"/>
    <w:rsid w:val="003511AB"/>
    <w:rsid w:val="0035430C"/>
    <w:rsid w:val="003550E3"/>
    <w:rsid w:val="00363AA7"/>
    <w:rsid w:val="00365DEA"/>
    <w:rsid w:val="003674F5"/>
    <w:rsid w:val="00367879"/>
    <w:rsid w:val="00370B2B"/>
    <w:rsid w:val="0037283E"/>
    <w:rsid w:val="00374ED4"/>
    <w:rsid w:val="00376DE3"/>
    <w:rsid w:val="00382546"/>
    <w:rsid w:val="00382F32"/>
    <w:rsid w:val="00383D91"/>
    <w:rsid w:val="00390E0E"/>
    <w:rsid w:val="00395162"/>
    <w:rsid w:val="003A4D8A"/>
    <w:rsid w:val="003A709B"/>
    <w:rsid w:val="003B129A"/>
    <w:rsid w:val="003B2B17"/>
    <w:rsid w:val="003B5CD8"/>
    <w:rsid w:val="003B64A4"/>
    <w:rsid w:val="003B6C6B"/>
    <w:rsid w:val="003C048D"/>
    <w:rsid w:val="003C792B"/>
    <w:rsid w:val="003D223A"/>
    <w:rsid w:val="003D70D4"/>
    <w:rsid w:val="003D7B06"/>
    <w:rsid w:val="003E0CC7"/>
    <w:rsid w:val="003E1507"/>
    <w:rsid w:val="003E270D"/>
    <w:rsid w:val="003E2C7B"/>
    <w:rsid w:val="003E41D7"/>
    <w:rsid w:val="003F006B"/>
    <w:rsid w:val="003F24EC"/>
    <w:rsid w:val="003F3992"/>
    <w:rsid w:val="00401598"/>
    <w:rsid w:val="00417AB6"/>
    <w:rsid w:val="00422472"/>
    <w:rsid w:val="004224E1"/>
    <w:rsid w:val="00423E84"/>
    <w:rsid w:val="00427725"/>
    <w:rsid w:val="00435D25"/>
    <w:rsid w:val="00437019"/>
    <w:rsid w:val="0044353F"/>
    <w:rsid w:val="00445818"/>
    <w:rsid w:val="00446EA1"/>
    <w:rsid w:val="004473A9"/>
    <w:rsid w:val="00447C4F"/>
    <w:rsid w:val="004528B5"/>
    <w:rsid w:val="004572E5"/>
    <w:rsid w:val="00463BDC"/>
    <w:rsid w:val="00464BCF"/>
    <w:rsid w:val="0046536A"/>
    <w:rsid w:val="004761A4"/>
    <w:rsid w:val="00477685"/>
    <w:rsid w:val="004776FE"/>
    <w:rsid w:val="004850C7"/>
    <w:rsid w:val="004915CA"/>
    <w:rsid w:val="00497632"/>
    <w:rsid w:val="00497EAD"/>
    <w:rsid w:val="004A0770"/>
    <w:rsid w:val="004A4C97"/>
    <w:rsid w:val="004A76E8"/>
    <w:rsid w:val="004B77C8"/>
    <w:rsid w:val="004C0ED0"/>
    <w:rsid w:val="004C49FC"/>
    <w:rsid w:val="004C70D7"/>
    <w:rsid w:val="004C7549"/>
    <w:rsid w:val="004C77A5"/>
    <w:rsid w:val="004D2A7A"/>
    <w:rsid w:val="004D4704"/>
    <w:rsid w:val="004D474C"/>
    <w:rsid w:val="004D48CE"/>
    <w:rsid w:val="004D4E88"/>
    <w:rsid w:val="004F3313"/>
    <w:rsid w:val="00500CA4"/>
    <w:rsid w:val="0050219E"/>
    <w:rsid w:val="00502C59"/>
    <w:rsid w:val="00503483"/>
    <w:rsid w:val="005036C4"/>
    <w:rsid w:val="00505BE3"/>
    <w:rsid w:val="00506307"/>
    <w:rsid w:val="0051062A"/>
    <w:rsid w:val="005323E0"/>
    <w:rsid w:val="005341DD"/>
    <w:rsid w:val="00534CC5"/>
    <w:rsid w:val="00536CFB"/>
    <w:rsid w:val="00543E5B"/>
    <w:rsid w:val="00543F5E"/>
    <w:rsid w:val="005463B2"/>
    <w:rsid w:val="005532B8"/>
    <w:rsid w:val="00555BB5"/>
    <w:rsid w:val="00557D9F"/>
    <w:rsid w:val="00576840"/>
    <w:rsid w:val="005801E0"/>
    <w:rsid w:val="0058131D"/>
    <w:rsid w:val="00584970"/>
    <w:rsid w:val="00587040"/>
    <w:rsid w:val="00590B55"/>
    <w:rsid w:val="00592092"/>
    <w:rsid w:val="00592828"/>
    <w:rsid w:val="00597C47"/>
    <w:rsid w:val="005A0519"/>
    <w:rsid w:val="005A3D43"/>
    <w:rsid w:val="005A4F3B"/>
    <w:rsid w:val="005A6F84"/>
    <w:rsid w:val="005A7498"/>
    <w:rsid w:val="005A793F"/>
    <w:rsid w:val="005B783A"/>
    <w:rsid w:val="005C087B"/>
    <w:rsid w:val="005C2ABF"/>
    <w:rsid w:val="005D0396"/>
    <w:rsid w:val="005D1D23"/>
    <w:rsid w:val="005D3E69"/>
    <w:rsid w:val="005D4D60"/>
    <w:rsid w:val="005E52B0"/>
    <w:rsid w:val="005E6790"/>
    <w:rsid w:val="005F0D4A"/>
    <w:rsid w:val="005F3195"/>
    <w:rsid w:val="005F42D0"/>
    <w:rsid w:val="005F7C42"/>
    <w:rsid w:val="006036D1"/>
    <w:rsid w:val="0061065E"/>
    <w:rsid w:val="00610BBC"/>
    <w:rsid w:val="00611D9D"/>
    <w:rsid w:val="0062310A"/>
    <w:rsid w:val="0063302C"/>
    <w:rsid w:val="00634373"/>
    <w:rsid w:val="00635803"/>
    <w:rsid w:val="00635856"/>
    <w:rsid w:val="00636A1B"/>
    <w:rsid w:val="006411F8"/>
    <w:rsid w:val="00641AF6"/>
    <w:rsid w:val="00642F4F"/>
    <w:rsid w:val="006505F1"/>
    <w:rsid w:val="006579FC"/>
    <w:rsid w:val="00662E12"/>
    <w:rsid w:val="006644F4"/>
    <w:rsid w:val="00664B16"/>
    <w:rsid w:val="00665061"/>
    <w:rsid w:val="006670BB"/>
    <w:rsid w:val="0067586B"/>
    <w:rsid w:val="00675A0D"/>
    <w:rsid w:val="00680C14"/>
    <w:rsid w:val="006810C6"/>
    <w:rsid w:val="00681845"/>
    <w:rsid w:val="00682AF0"/>
    <w:rsid w:val="00682C2D"/>
    <w:rsid w:val="00684862"/>
    <w:rsid w:val="00686898"/>
    <w:rsid w:val="00686FA7"/>
    <w:rsid w:val="00692923"/>
    <w:rsid w:val="006A67BE"/>
    <w:rsid w:val="006B1493"/>
    <w:rsid w:val="006B3B46"/>
    <w:rsid w:val="006B436B"/>
    <w:rsid w:val="006B52C3"/>
    <w:rsid w:val="006C21D6"/>
    <w:rsid w:val="006C319B"/>
    <w:rsid w:val="006C7DBA"/>
    <w:rsid w:val="006E00BE"/>
    <w:rsid w:val="006E3A29"/>
    <w:rsid w:val="006E4AB7"/>
    <w:rsid w:val="006E75A3"/>
    <w:rsid w:val="006E7E7E"/>
    <w:rsid w:val="006F1676"/>
    <w:rsid w:val="006F1EBC"/>
    <w:rsid w:val="006F3813"/>
    <w:rsid w:val="006F70B5"/>
    <w:rsid w:val="006F736D"/>
    <w:rsid w:val="00706067"/>
    <w:rsid w:val="00706997"/>
    <w:rsid w:val="00710295"/>
    <w:rsid w:val="007109D4"/>
    <w:rsid w:val="007130D6"/>
    <w:rsid w:val="007203C3"/>
    <w:rsid w:val="00722BB5"/>
    <w:rsid w:val="00724560"/>
    <w:rsid w:val="007267D7"/>
    <w:rsid w:val="00726A0C"/>
    <w:rsid w:val="00734359"/>
    <w:rsid w:val="00734FA6"/>
    <w:rsid w:val="007352C0"/>
    <w:rsid w:val="007415A6"/>
    <w:rsid w:val="007420F2"/>
    <w:rsid w:val="00743752"/>
    <w:rsid w:val="00743785"/>
    <w:rsid w:val="00745566"/>
    <w:rsid w:val="007460F1"/>
    <w:rsid w:val="0074792B"/>
    <w:rsid w:val="0075055B"/>
    <w:rsid w:val="00752781"/>
    <w:rsid w:val="00756450"/>
    <w:rsid w:val="00765260"/>
    <w:rsid w:val="00765BBB"/>
    <w:rsid w:val="00776070"/>
    <w:rsid w:val="00782C49"/>
    <w:rsid w:val="007846C7"/>
    <w:rsid w:val="00786EB4"/>
    <w:rsid w:val="0079026F"/>
    <w:rsid w:val="00790357"/>
    <w:rsid w:val="00796F75"/>
    <w:rsid w:val="007A021A"/>
    <w:rsid w:val="007A2193"/>
    <w:rsid w:val="007A5B39"/>
    <w:rsid w:val="007B3F09"/>
    <w:rsid w:val="007B402B"/>
    <w:rsid w:val="007B52C2"/>
    <w:rsid w:val="007B7759"/>
    <w:rsid w:val="007B7987"/>
    <w:rsid w:val="007C09E0"/>
    <w:rsid w:val="007C3CE8"/>
    <w:rsid w:val="007C3E88"/>
    <w:rsid w:val="007C5069"/>
    <w:rsid w:val="007D317D"/>
    <w:rsid w:val="007D3AE1"/>
    <w:rsid w:val="007D6DDF"/>
    <w:rsid w:val="007E01E0"/>
    <w:rsid w:val="007E293A"/>
    <w:rsid w:val="007E37B3"/>
    <w:rsid w:val="007E426D"/>
    <w:rsid w:val="007E42BE"/>
    <w:rsid w:val="007F0320"/>
    <w:rsid w:val="007F04FD"/>
    <w:rsid w:val="007F5436"/>
    <w:rsid w:val="007F618F"/>
    <w:rsid w:val="007F74C1"/>
    <w:rsid w:val="00803155"/>
    <w:rsid w:val="00806A55"/>
    <w:rsid w:val="00806E33"/>
    <w:rsid w:val="00812200"/>
    <w:rsid w:val="00815067"/>
    <w:rsid w:val="008155B9"/>
    <w:rsid w:val="00817F46"/>
    <w:rsid w:val="00820644"/>
    <w:rsid w:val="0082300B"/>
    <w:rsid w:val="0083127F"/>
    <w:rsid w:val="00837086"/>
    <w:rsid w:val="00840BEE"/>
    <w:rsid w:val="008427B0"/>
    <w:rsid w:val="00851EDB"/>
    <w:rsid w:val="00856082"/>
    <w:rsid w:val="00861FBD"/>
    <w:rsid w:val="008625EA"/>
    <w:rsid w:val="00862A54"/>
    <w:rsid w:val="0087370E"/>
    <w:rsid w:val="00876119"/>
    <w:rsid w:val="008772C0"/>
    <w:rsid w:val="00881C82"/>
    <w:rsid w:val="00887F5E"/>
    <w:rsid w:val="008911F5"/>
    <w:rsid w:val="008A0154"/>
    <w:rsid w:val="008A384E"/>
    <w:rsid w:val="008A521B"/>
    <w:rsid w:val="008A6849"/>
    <w:rsid w:val="008A6BD1"/>
    <w:rsid w:val="008A6E85"/>
    <w:rsid w:val="008A72D0"/>
    <w:rsid w:val="008B6C47"/>
    <w:rsid w:val="008C2576"/>
    <w:rsid w:val="008C695F"/>
    <w:rsid w:val="008E0912"/>
    <w:rsid w:val="008E30B9"/>
    <w:rsid w:val="008E5D9E"/>
    <w:rsid w:val="008F1086"/>
    <w:rsid w:val="008F11B9"/>
    <w:rsid w:val="008F32C3"/>
    <w:rsid w:val="008F7E23"/>
    <w:rsid w:val="009060A0"/>
    <w:rsid w:val="00907802"/>
    <w:rsid w:val="00913283"/>
    <w:rsid w:val="0091355A"/>
    <w:rsid w:val="00914817"/>
    <w:rsid w:val="009158B6"/>
    <w:rsid w:val="0091693C"/>
    <w:rsid w:val="00917008"/>
    <w:rsid w:val="00920598"/>
    <w:rsid w:val="00920EFA"/>
    <w:rsid w:val="00921561"/>
    <w:rsid w:val="009324ED"/>
    <w:rsid w:val="009343AB"/>
    <w:rsid w:val="00935B8D"/>
    <w:rsid w:val="009409CD"/>
    <w:rsid w:val="009450E3"/>
    <w:rsid w:val="009451E5"/>
    <w:rsid w:val="00946706"/>
    <w:rsid w:val="00950D88"/>
    <w:rsid w:val="00952BD5"/>
    <w:rsid w:val="00953632"/>
    <w:rsid w:val="0095533B"/>
    <w:rsid w:val="00957038"/>
    <w:rsid w:val="00960D29"/>
    <w:rsid w:val="009615DC"/>
    <w:rsid w:val="009625E5"/>
    <w:rsid w:val="009650B7"/>
    <w:rsid w:val="00966299"/>
    <w:rsid w:val="009718CB"/>
    <w:rsid w:val="00974A1B"/>
    <w:rsid w:val="0098160B"/>
    <w:rsid w:val="00983683"/>
    <w:rsid w:val="00985F40"/>
    <w:rsid w:val="00994994"/>
    <w:rsid w:val="0099508D"/>
    <w:rsid w:val="00996429"/>
    <w:rsid w:val="009A5CAA"/>
    <w:rsid w:val="009A6537"/>
    <w:rsid w:val="009B0A54"/>
    <w:rsid w:val="009B0D76"/>
    <w:rsid w:val="009B0E51"/>
    <w:rsid w:val="009B164A"/>
    <w:rsid w:val="009B4F8F"/>
    <w:rsid w:val="009C338C"/>
    <w:rsid w:val="009C7615"/>
    <w:rsid w:val="009D59C7"/>
    <w:rsid w:val="009D5D98"/>
    <w:rsid w:val="009E6912"/>
    <w:rsid w:val="009E6D53"/>
    <w:rsid w:val="009F22F1"/>
    <w:rsid w:val="009F5FAC"/>
    <w:rsid w:val="009F67BC"/>
    <w:rsid w:val="00A00C89"/>
    <w:rsid w:val="00A04B57"/>
    <w:rsid w:val="00A04C8A"/>
    <w:rsid w:val="00A059C4"/>
    <w:rsid w:val="00A10860"/>
    <w:rsid w:val="00A17618"/>
    <w:rsid w:val="00A23D6E"/>
    <w:rsid w:val="00A268DD"/>
    <w:rsid w:val="00A275B9"/>
    <w:rsid w:val="00A27B2E"/>
    <w:rsid w:val="00A362EC"/>
    <w:rsid w:val="00A42EBA"/>
    <w:rsid w:val="00A474D4"/>
    <w:rsid w:val="00A5295D"/>
    <w:rsid w:val="00A65311"/>
    <w:rsid w:val="00A66DC4"/>
    <w:rsid w:val="00A7021D"/>
    <w:rsid w:val="00A716D2"/>
    <w:rsid w:val="00A71CCD"/>
    <w:rsid w:val="00A779CB"/>
    <w:rsid w:val="00A8047F"/>
    <w:rsid w:val="00A84B2D"/>
    <w:rsid w:val="00A869AB"/>
    <w:rsid w:val="00A86D5B"/>
    <w:rsid w:val="00A9263D"/>
    <w:rsid w:val="00A93926"/>
    <w:rsid w:val="00A96E20"/>
    <w:rsid w:val="00AA09B9"/>
    <w:rsid w:val="00AB0786"/>
    <w:rsid w:val="00AB4018"/>
    <w:rsid w:val="00AB46DF"/>
    <w:rsid w:val="00AB6951"/>
    <w:rsid w:val="00AC0B88"/>
    <w:rsid w:val="00AC796D"/>
    <w:rsid w:val="00AD46E8"/>
    <w:rsid w:val="00AD7313"/>
    <w:rsid w:val="00AE2331"/>
    <w:rsid w:val="00AE24E1"/>
    <w:rsid w:val="00AE2AA9"/>
    <w:rsid w:val="00AE3307"/>
    <w:rsid w:val="00AF3280"/>
    <w:rsid w:val="00B01033"/>
    <w:rsid w:val="00B01684"/>
    <w:rsid w:val="00B028A8"/>
    <w:rsid w:val="00B045D7"/>
    <w:rsid w:val="00B055DF"/>
    <w:rsid w:val="00B103B9"/>
    <w:rsid w:val="00B12480"/>
    <w:rsid w:val="00B149F4"/>
    <w:rsid w:val="00B14AB3"/>
    <w:rsid w:val="00B1605C"/>
    <w:rsid w:val="00B16697"/>
    <w:rsid w:val="00B21E45"/>
    <w:rsid w:val="00B22BAE"/>
    <w:rsid w:val="00B23160"/>
    <w:rsid w:val="00B24DED"/>
    <w:rsid w:val="00B30CF9"/>
    <w:rsid w:val="00B353CD"/>
    <w:rsid w:val="00B41CAE"/>
    <w:rsid w:val="00B4406D"/>
    <w:rsid w:val="00B460BB"/>
    <w:rsid w:val="00B505D7"/>
    <w:rsid w:val="00B51B61"/>
    <w:rsid w:val="00B51D97"/>
    <w:rsid w:val="00B53ACF"/>
    <w:rsid w:val="00B55057"/>
    <w:rsid w:val="00B5571D"/>
    <w:rsid w:val="00B61A70"/>
    <w:rsid w:val="00B64C8D"/>
    <w:rsid w:val="00B65833"/>
    <w:rsid w:val="00B70A90"/>
    <w:rsid w:val="00B724BB"/>
    <w:rsid w:val="00B74B69"/>
    <w:rsid w:val="00B7649B"/>
    <w:rsid w:val="00B8441C"/>
    <w:rsid w:val="00B84BCD"/>
    <w:rsid w:val="00B8609C"/>
    <w:rsid w:val="00B93918"/>
    <w:rsid w:val="00B9438F"/>
    <w:rsid w:val="00BA26BA"/>
    <w:rsid w:val="00BB32D7"/>
    <w:rsid w:val="00BB3D82"/>
    <w:rsid w:val="00BB635A"/>
    <w:rsid w:val="00BB7CEB"/>
    <w:rsid w:val="00BC03AD"/>
    <w:rsid w:val="00BC3A45"/>
    <w:rsid w:val="00BD339E"/>
    <w:rsid w:val="00BD37A9"/>
    <w:rsid w:val="00BD438C"/>
    <w:rsid w:val="00BD50C3"/>
    <w:rsid w:val="00BD66BE"/>
    <w:rsid w:val="00BE06D6"/>
    <w:rsid w:val="00BE2A35"/>
    <w:rsid w:val="00BE3554"/>
    <w:rsid w:val="00BE3908"/>
    <w:rsid w:val="00BE3C50"/>
    <w:rsid w:val="00BE52AC"/>
    <w:rsid w:val="00BE572E"/>
    <w:rsid w:val="00BF22B9"/>
    <w:rsid w:val="00C00AAF"/>
    <w:rsid w:val="00C01608"/>
    <w:rsid w:val="00C01748"/>
    <w:rsid w:val="00C02E1F"/>
    <w:rsid w:val="00C02EB4"/>
    <w:rsid w:val="00C0645E"/>
    <w:rsid w:val="00C105D2"/>
    <w:rsid w:val="00C129B8"/>
    <w:rsid w:val="00C13A26"/>
    <w:rsid w:val="00C2224D"/>
    <w:rsid w:val="00C23F7C"/>
    <w:rsid w:val="00C24461"/>
    <w:rsid w:val="00C24706"/>
    <w:rsid w:val="00C2550A"/>
    <w:rsid w:val="00C25862"/>
    <w:rsid w:val="00C3053A"/>
    <w:rsid w:val="00C308B8"/>
    <w:rsid w:val="00C419D6"/>
    <w:rsid w:val="00C43DA9"/>
    <w:rsid w:val="00C4410D"/>
    <w:rsid w:val="00C4699D"/>
    <w:rsid w:val="00C519C2"/>
    <w:rsid w:val="00C520F6"/>
    <w:rsid w:val="00C52491"/>
    <w:rsid w:val="00C5345B"/>
    <w:rsid w:val="00C534A2"/>
    <w:rsid w:val="00C5713F"/>
    <w:rsid w:val="00C634CC"/>
    <w:rsid w:val="00C67A8A"/>
    <w:rsid w:val="00C710EB"/>
    <w:rsid w:val="00C717F4"/>
    <w:rsid w:val="00C71F3E"/>
    <w:rsid w:val="00C736A4"/>
    <w:rsid w:val="00C74AFA"/>
    <w:rsid w:val="00C74C5E"/>
    <w:rsid w:val="00C81FB9"/>
    <w:rsid w:val="00C855A3"/>
    <w:rsid w:val="00C85B13"/>
    <w:rsid w:val="00C85D68"/>
    <w:rsid w:val="00C86D9A"/>
    <w:rsid w:val="00C86F78"/>
    <w:rsid w:val="00C87704"/>
    <w:rsid w:val="00C87FAE"/>
    <w:rsid w:val="00C91F54"/>
    <w:rsid w:val="00C94DFA"/>
    <w:rsid w:val="00C977F6"/>
    <w:rsid w:val="00CA22E2"/>
    <w:rsid w:val="00CB0876"/>
    <w:rsid w:val="00CB0E96"/>
    <w:rsid w:val="00CB21F7"/>
    <w:rsid w:val="00CB2AB7"/>
    <w:rsid w:val="00CB637B"/>
    <w:rsid w:val="00CB69C2"/>
    <w:rsid w:val="00CC178C"/>
    <w:rsid w:val="00CC44E3"/>
    <w:rsid w:val="00CD17D7"/>
    <w:rsid w:val="00CD40AF"/>
    <w:rsid w:val="00CD49C0"/>
    <w:rsid w:val="00CD60F3"/>
    <w:rsid w:val="00CE07F2"/>
    <w:rsid w:val="00CE70E8"/>
    <w:rsid w:val="00CE7EEB"/>
    <w:rsid w:val="00CF32AC"/>
    <w:rsid w:val="00CF5563"/>
    <w:rsid w:val="00CF5926"/>
    <w:rsid w:val="00CF5F35"/>
    <w:rsid w:val="00D01DC4"/>
    <w:rsid w:val="00D02C6E"/>
    <w:rsid w:val="00D040B0"/>
    <w:rsid w:val="00D05482"/>
    <w:rsid w:val="00D07B3F"/>
    <w:rsid w:val="00D103A0"/>
    <w:rsid w:val="00D1181A"/>
    <w:rsid w:val="00D22D67"/>
    <w:rsid w:val="00D22EF4"/>
    <w:rsid w:val="00D24ADF"/>
    <w:rsid w:val="00D2557C"/>
    <w:rsid w:val="00D25ADA"/>
    <w:rsid w:val="00D25BE6"/>
    <w:rsid w:val="00D26443"/>
    <w:rsid w:val="00D26517"/>
    <w:rsid w:val="00D30D03"/>
    <w:rsid w:val="00D3337B"/>
    <w:rsid w:val="00D41DF9"/>
    <w:rsid w:val="00D4499C"/>
    <w:rsid w:val="00D515E0"/>
    <w:rsid w:val="00D528B8"/>
    <w:rsid w:val="00D6536C"/>
    <w:rsid w:val="00D71C8E"/>
    <w:rsid w:val="00D72333"/>
    <w:rsid w:val="00D730F4"/>
    <w:rsid w:val="00D8082A"/>
    <w:rsid w:val="00D91A5B"/>
    <w:rsid w:val="00D94C9A"/>
    <w:rsid w:val="00D95160"/>
    <w:rsid w:val="00D97B9F"/>
    <w:rsid w:val="00DA1184"/>
    <w:rsid w:val="00DA206E"/>
    <w:rsid w:val="00DA4260"/>
    <w:rsid w:val="00DB14F2"/>
    <w:rsid w:val="00DB3E9B"/>
    <w:rsid w:val="00DB4810"/>
    <w:rsid w:val="00DB4816"/>
    <w:rsid w:val="00DB5206"/>
    <w:rsid w:val="00DC2044"/>
    <w:rsid w:val="00DC55F3"/>
    <w:rsid w:val="00DD3812"/>
    <w:rsid w:val="00DD4280"/>
    <w:rsid w:val="00DD4A3B"/>
    <w:rsid w:val="00DD5969"/>
    <w:rsid w:val="00DE44BF"/>
    <w:rsid w:val="00DE56C9"/>
    <w:rsid w:val="00DE5C21"/>
    <w:rsid w:val="00DF4D45"/>
    <w:rsid w:val="00E04112"/>
    <w:rsid w:val="00E05CB3"/>
    <w:rsid w:val="00E10797"/>
    <w:rsid w:val="00E11A6B"/>
    <w:rsid w:val="00E13AB2"/>
    <w:rsid w:val="00E1521B"/>
    <w:rsid w:val="00E17C71"/>
    <w:rsid w:val="00E232F1"/>
    <w:rsid w:val="00E243A8"/>
    <w:rsid w:val="00E25A21"/>
    <w:rsid w:val="00E25C2A"/>
    <w:rsid w:val="00E319BF"/>
    <w:rsid w:val="00E377B5"/>
    <w:rsid w:val="00E4726E"/>
    <w:rsid w:val="00E53FCE"/>
    <w:rsid w:val="00E6090D"/>
    <w:rsid w:val="00E61610"/>
    <w:rsid w:val="00E63D97"/>
    <w:rsid w:val="00E6475F"/>
    <w:rsid w:val="00E66711"/>
    <w:rsid w:val="00E6747C"/>
    <w:rsid w:val="00E71CF0"/>
    <w:rsid w:val="00E73243"/>
    <w:rsid w:val="00E73C95"/>
    <w:rsid w:val="00E7469E"/>
    <w:rsid w:val="00E80A28"/>
    <w:rsid w:val="00E80D40"/>
    <w:rsid w:val="00E82218"/>
    <w:rsid w:val="00E92DC2"/>
    <w:rsid w:val="00EA0B9A"/>
    <w:rsid w:val="00EA15D1"/>
    <w:rsid w:val="00EA371B"/>
    <w:rsid w:val="00EA4B5E"/>
    <w:rsid w:val="00EA6220"/>
    <w:rsid w:val="00EA68AD"/>
    <w:rsid w:val="00EA7380"/>
    <w:rsid w:val="00EB41CB"/>
    <w:rsid w:val="00EB5622"/>
    <w:rsid w:val="00EB6351"/>
    <w:rsid w:val="00EB7910"/>
    <w:rsid w:val="00EC1771"/>
    <w:rsid w:val="00ED263E"/>
    <w:rsid w:val="00ED278A"/>
    <w:rsid w:val="00ED3BBC"/>
    <w:rsid w:val="00ED409A"/>
    <w:rsid w:val="00ED5C95"/>
    <w:rsid w:val="00ED7184"/>
    <w:rsid w:val="00EE5DDF"/>
    <w:rsid w:val="00EF1992"/>
    <w:rsid w:val="00EF1C46"/>
    <w:rsid w:val="00EF30A7"/>
    <w:rsid w:val="00F01D0A"/>
    <w:rsid w:val="00F03586"/>
    <w:rsid w:val="00F041E9"/>
    <w:rsid w:val="00F07A07"/>
    <w:rsid w:val="00F1063C"/>
    <w:rsid w:val="00F12258"/>
    <w:rsid w:val="00F13610"/>
    <w:rsid w:val="00F13AE2"/>
    <w:rsid w:val="00F14ECB"/>
    <w:rsid w:val="00F20958"/>
    <w:rsid w:val="00F23DB0"/>
    <w:rsid w:val="00F249B9"/>
    <w:rsid w:val="00F2642E"/>
    <w:rsid w:val="00F267FD"/>
    <w:rsid w:val="00F27351"/>
    <w:rsid w:val="00F27424"/>
    <w:rsid w:val="00F275C1"/>
    <w:rsid w:val="00F30E84"/>
    <w:rsid w:val="00F362C3"/>
    <w:rsid w:val="00F419CC"/>
    <w:rsid w:val="00F434B4"/>
    <w:rsid w:val="00F46649"/>
    <w:rsid w:val="00F46FA4"/>
    <w:rsid w:val="00F56FC7"/>
    <w:rsid w:val="00F7015E"/>
    <w:rsid w:val="00F7676C"/>
    <w:rsid w:val="00F8089C"/>
    <w:rsid w:val="00F82D35"/>
    <w:rsid w:val="00F83CE3"/>
    <w:rsid w:val="00F8682C"/>
    <w:rsid w:val="00F922A7"/>
    <w:rsid w:val="00F934CF"/>
    <w:rsid w:val="00F94B27"/>
    <w:rsid w:val="00FA1E8E"/>
    <w:rsid w:val="00FA628C"/>
    <w:rsid w:val="00FA77EE"/>
    <w:rsid w:val="00FB557E"/>
    <w:rsid w:val="00FB6EA1"/>
    <w:rsid w:val="00FC6521"/>
    <w:rsid w:val="00FD05EE"/>
    <w:rsid w:val="00FD5C42"/>
    <w:rsid w:val="00FE095B"/>
    <w:rsid w:val="00FE1324"/>
    <w:rsid w:val="00FE1558"/>
    <w:rsid w:val="00FE33C5"/>
    <w:rsid w:val="00FE3ACC"/>
    <w:rsid w:val="00FE7ED6"/>
    <w:rsid w:val="00FF01EC"/>
    <w:rsid w:val="00FF37B6"/>
    <w:rsid w:val="00FF55E2"/>
    <w:rsid w:val="00FF6C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1561"/>
    <w:rPr>
      <w:color w:val="467886" w:themeColor="hyperlink"/>
      <w:u w:val="single"/>
    </w:rPr>
  </w:style>
  <w:style w:type="character" w:styleId="UnresolvedMention">
    <w:name w:val="Unresolved Mention"/>
    <w:basedOn w:val="DefaultParagraphFont"/>
    <w:uiPriority w:val="99"/>
    <w:semiHidden/>
    <w:unhideWhenUsed/>
    <w:rsid w:val="0092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0994">
      <w:bodyDiv w:val="1"/>
      <w:marLeft w:val="0"/>
      <w:marRight w:val="0"/>
      <w:marTop w:val="0"/>
      <w:marBottom w:val="0"/>
      <w:divBdr>
        <w:top w:val="none" w:sz="0" w:space="0" w:color="auto"/>
        <w:left w:val="none" w:sz="0" w:space="0" w:color="auto"/>
        <w:bottom w:val="none" w:sz="0" w:space="0" w:color="auto"/>
        <w:right w:val="none" w:sz="0" w:space="0" w:color="auto"/>
      </w:divBdr>
    </w:div>
    <w:div w:id="50273343">
      <w:bodyDiv w:val="1"/>
      <w:marLeft w:val="0"/>
      <w:marRight w:val="0"/>
      <w:marTop w:val="0"/>
      <w:marBottom w:val="0"/>
      <w:divBdr>
        <w:top w:val="none" w:sz="0" w:space="0" w:color="auto"/>
        <w:left w:val="none" w:sz="0" w:space="0" w:color="auto"/>
        <w:bottom w:val="none" w:sz="0" w:space="0" w:color="auto"/>
        <w:right w:val="none" w:sz="0" w:space="0" w:color="auto"/>
      </w:divBdr>
    </w:div>
    <w:div w:id="72167797">
      <w:bodyDiv w:val="1"/>
      <w:marLeft w:val="0"/>
      <w:marRight w:val="0"/>
      <w:marTop w:val="0"/>
      <w:marBottom w:val="0"/>
      <w:divBdr>
        <w:top w:val="none" w:sz="0" w:space="0" w:color="auto"/>
        <w:left w:val="none" w:sz="0" w:space="0" w:color="auto"/>
        <w:bottom w:val="none" w:sz="0" w:space="0" w:color="auto"/>
        <w:right w:val="none" w:sz="0" w:space="0" w:color="auto"/>
      </w:divBdr>
    </w:div>
    <w:div w:id="88619776">
      <w:bodyDiv w:val="1"/>
      <w:marLeft w:val="0"/>
      <w:marRight w:val="0"/>
      <w:marTop w:val="0"/>
      <w:marBottom w:val="0"/>
      <w:divBdr>
        <w:top w:val="none" w:sz="0" w:space="0" w:color="auto"/>
        <w:left w:val="none" w:sz="0" w:space="0" w:color="auto"/>
        <w:bottom w:val="none" w:sz="0" w:space="0" w:color="auto"/>
        <w:right w:val="none" w:sz="0" w:space="0" w:color="auto"/>
      </w:divBdr>
    </w:div>
    <w:div w:id="106432741">
      <w:bodyDiv w:val="1"/>
      <w:marLeft w:val="0"/>
      <w:marRight w:val="0"/>
      <w:marTop w:val="0"/>
      <w:marBottom w:val="0"/>
      <w:divBdr>
        <w:top w:val="none" w:sz="0" w:space="0" w:color="auto"/>
        <w:left w:val="none" w:sz="0" w:space="0" w:color="auto"/>
        <w:bottom w:val="none" w:sz="0" w:space="0" w:color="auto"/>
        <w:right w:val="none" w:sz="0" w:space="0" w:color="auto"/>
      </w:divBdr>
    </w:div>
    <w:div w:id="119497457">
      <w:bodyDiv w:val="1"/>
      <w:marLeft w:val="0"/>
      <w:marRight w:val="0"/>
      <w:marTop w:val="0"/>
      <w:marBottom w:val="0"/>
      <w:divBdr>
        <w:top w:val="none" w:sz="0" w:space="0" w:color="auto"/>
        <w:left w:val="none" w:sz="0" w:space="0" w:color="auto"/>
        <w:bottom w:val="none" w:sz="0" w:space="0" w:color="auto"/>
        <w:right w:val="none" w:sz="0" w:space="0" w:color="auto"/>
      </w:divBdr>
    </w:div>
    <w:div w:id="132137469">
      <w:bodyDiv w:val="1"/>
      <w:marLeft w:val="0"/>
      <w:marRight w:val="0"/>
      <w:marTop w:val="0"/>
      <w:marBottom w:val="0"/>
      <w:divBdr>
        <w:top w:val="none" w:sz="0" w:space="0" w:color="auto"/>
        <w:left w:val="none" w:sz="0" w:space="0" w:color="auto"/>
        <w:bottom w:val="none" w:sz="0" w:space="0" w:color="auto"/>
        <w:right w:val="none" w:sz="0" w:space="0" w:color="auto"/>
      </w:divBdr>
    </w:div>
    <w:div w:id="142697695">
      <w:bodyDiv w:val="1"/>
      <w:marLeft w:val="0"/>
      <w:marRight w:val="0"/>
      <w:marTop w:val="0"/>
      <w:marBottom w:val="0"/>
      <w:divBdr>
        <w:top w:val="none" w:sz="0" w:space="0" w:color="auto"/>
        <w:left w:val="none" w:sz="0" w:space="0" w:color="auto"/>
        <w:bottom w:val="none" w:sz="0" w:space="0" w:color="auto"/>
        <w:right w:val="none" w:sz="0" w:space="0" w:color="auto"/>
      </w:divBdr>
    </w:div>
    <w:div w:id="175929588">
      <w:bodyDiv w:val="1"/>
      <w:marLeft w:val="0"/>
      <w:marRight w:val="0"/>
      <w:marTop w:val="0"/>
      <w:marBottom w:val="0"/>
      <w:divBdr>
        <w:top w:val="none" w:sz="0" w:space="0" w:color="auto"/>
        <w:left w:val="none" w:sz="0" w:space="0" w:color="auto"/>
        <w:bottom w:val="none" w:sz="0" w:space="0" w:color="auto"/>
        <w:right w:val="none" w:sz="0" w:space="0" w:color="auto"/>
      </w:divBdr>
    </w:div>
    <w:div w:id="180901578">
      <w:bodyDiv w:val="1"/>
      <w:marLeft w:val="0"/>
      <w:marRight w:val="0"/>
      <w:marTop w:val="0"/>
      <w:marBottom w:val="0"/>
      <w:divBdr>
        <w:top w:val="none" w:sz="0" w:space="0" w:color="auto"/>
        <w:left w:val="none" w:sz="0" w:space="0" w:color="auto"/>
        <w:bottom w:val="none" w:sz="0" w:space="0" w:color="auto"/>
        <w:right w:val="none" w:sz="0" w:space="0" w:color="auto"/>
      </w:divBdr>
    </w:div>
    <w:div w:id="219631923">
      <w:bodyDiv w:val="1"/>
      <w:marLeft w:val="0"/>
      <w:marRight w:val="0"/>
      <w:marTop w:val="0"/>
      <w:marBottom w:val="0"/>
      <w:divBdr>
        <w:top w:val="none" w:sz="0" w:space="0" w:color="auto"/>
        <w:left w:val="none" w:sz="0" w:space="0" w:color="auto"/>
        <w:bottom w:val="none" w:sz="0" w:space="0" w:color="auto"/>
        <w:right w:val="none" w:sz="0" w:space="0" w:color="auto"/>
      </w:divBdr>
    </w:div>
    <w:div w:id="223107608">
      <w:bodyDiv w:val="1"/>
      <w:marLeft w:val="0"/>
      <w:marRight w:val="0"/>
      <w:marTop w:val="0"/>
      <w:marBottom w:val="0"/>
      <w:divBdr>
        <w:top w:val="none" w:sz="0" w:space="0" w:color="auto"/>
        <w:left w:val="none" w:sz="0" w:space="0" w:color="auto"/>
        <w:bottom w:val="none" w:sz="0" w:space="0" w:color="auto"/>
        <w:right w:val="none" w:sz="0" w:space="0" w:color="auto"/>
      </w:divBdr>
    </w:div>
    <w:div w:id="236213351">
      <w:bodyDiv w:val="1"/>
      <w:marLeft w:val="0"/>
      <w:marRight w:val="0"/>
      <w:marTop w:val="0"/>
      <w:marBottom w:val="0"/>
      <w:divBdr>
        <w:top w:val="none" w:sz="0" w:space="0" w:color="auto"/>
        <w:left w:val="none" w:sz="0" w:space="0" w:color="auto"/>
        <w:bottom w:val="none" w:sz="0" w:space="0" w:color="auto"/>
        <w:right w:val="none" w:sz="0" w:space="0" w:color="auto"/>
      </w:divBdr>
    </w:div>
    <w:div w:id="248580243">
      <w:bodyDiv w:val="1"/>
      <w:marLeft w:val="0"/>
      <w:marRight w:val="0"/>
      <w:marTop w:val="0"/>
      <w:marBottom w:val="0"/>
      <w:divBdr>
        <w:top w:val="none" w:sz="0" w:space="0" w:color="auto"/>
        <w:left w:val="none" w:sz="0" w:space="0" w:color="auto"/>
        <w:bottom w:val="none" w:sz="0" w:space="0" w:color="auto"/>
        <w:right w:val="none" w:sz="0" w:space="0" w:color="auto"/>
      </w:divBdr>
    </w:div>
    <w:div w:id="265426224">
      <w:bodyDiv w:val="1"/>
      <w:marLeft w:val="0"/>
      <w:marRight w:val="0"/>
      <w:marTop w:val="0"/>
      <w:marBottom w:val="0"/>
      <w:divBdr>
        <w:top w:val="none" w:sz="0" w:space="0" w:color="auto"/>
        <w:left w:val="none" w:sz="0" w:space="0" w:color="auto"/>
        <w:bottom w:val="none" w:sz="0" w:space="0" w:color="auto"/>
        <w:right w:val="none" w:sz="0" w:space="0" w:color="auto"/>
      </w:divBdr>
    </w:div>
    <w:div w:id="271016874">
      <w:bodyDiv w:val="1"/>
      <w:marLeft w:val="0"/>
      <w:marRight w:val="0"/>
      <w:marTop w:val="0"/>
      <w:marBottom w:val="0"/>
      <w:divBdr>
        <w:top w:val="none" w:sz="0" w:space="0" w:color="auto"/>
        <w:left w:val="none" w:sz="0" w:space="0" w:color="auto"/>
        <w:bottom w:val="none" w:sz="0" w:space="0" w:color="auto"/>
        <w:right w:val="none" w:sz="0" w:space="0" w:color="auto"/>
      </w:divBdr>
    </w:div>
    <w:div w:id="280695039">
      <w:bodyDiv w:val="1"/>
      <w:marLeft w:val="0"/>
      <w:marRight w:val="0"/>
      <w:marTop w:val="0"/>
      <w:marBottom w:val="0"/>
      <w:divBdr>
        <w:top w:val="none" w:sz="0" w:space="0" w:color="auto"/>
        <w:left w:val="none" w:sz="0" w:space="0" w:color="auto"/>
        <w:bottom w:val="none" w:sz="0" w:space="0" w:color="auto"/>
        <w:right w:val="none" w:sz="0" w:space="0" w:color="auto"/>
      </w:divBdr>
    </w:div>
    <w:div w:id="313880006">
      <w:bodyDiv w:val="1"/>
      <w:marLeft w:val="0"/>
      <w:marRight w:val="0"/>
      <w:marTop w:val="0"/>
      <w:marBottom w:val="0"/>
      <w:divBdr>
        <w:top w:val="none" w:sz="0" w:space="0" w:color="auto"/>
        <w:left w:val="none" w:sz="0" w:space="0" w:color="auto"/>
        <w:bottom w:val="none" w:sz="0" w:space="0" w:color="auto"/>
        <w:right w:val="none" w:sz="0" w:space="0" w:color="auto"/>
      </w:divBdr>
    </w:div>
    <w:div w:id="332682737">
      <w:bodyDiv w:val="1"/>
      <w:marLeft w:val="0"/>
      <w:marRight w:val="0"/>
      <w:marTop w:val="0"/>
      <w:marBottom w:val="0"/>
      <w:divBdr>
        <w:top w:val="none" w:sz="0" w:space="0" w:color="auto"/>
        <w:left w:val="none" w:sz="0" w:space="0" w:color="auto"/>
        <w:bottom w:val="none" w:sz="0" w:space="0" w:color="auto"/>
        <w:right w:val="none" w:sz="0" w:space="0" w:color="auto"/>
      </w:divBdr>
    </w:div>
    <w:div w:id="340201153">
      <w:bodyDiv w:val="1"/>
      <w:marLeft w:val="0"/>
      <w:marRight w:val="0"/>
      <w:marTop w:val="0"/>
      <w:marBottom w:val="0"/>
      <w:divBdr>
        <w:top w:val="none" w:sz="0" w:space="0" w:color="auto"/>
        <w:left w:val="none" w:sz="0" w:space="0" w:color="auto"/>
        <w:bottom w:val="none" w:sz="0" w:space="0" w:color="auto"/>
        <w:right w:val="none" w:sz="0" w:space="0" w:color="auto"/>
      </w:divBdr>
    </w:div>
    <w:div w:id="351339820">
      <w:bodyDiv w:val="1"/>
      <w:marLeft w:val="0"/>
      <w:marRight w:val="0"/>
      <w:marTop w:val="0"/>
      <w:marBottom w:val="0"/>
      <w:divBdr>
        <w:top w:val="none" w:sz="0" w:space="0" w:color="auto"/>
        <w:left w:val="none" w:sz="0" w:space="0" w:color="auto"/>
        <w:bottom w:val="none" w:sz="0" w:space="0" w:color="auto"/>
        <w:right w:val="none" w:sz="0" w:space="0" w:color="auto"/>
      </w:divBdr>
    </w:div>
    <w:div w:id="376469136">
      <w:bodyDiv w:val="1"/>
      <w:marLeft w:val="0"/>
      <w:marRight w:val="0"/>
      <w:marTop w:val="0"/>
      <w:marBottom w:val="0"/>
      <w:divBdr>
        <w:top w:val="none" w:sz="0" w:space="0" w:color="auto"/>
        <w:left w:val="none" w:sz="0" w:space="0" w:color="auto"/>
        <w:bottom w:val="none" w:sz="0" w:space="0" w:color="auto"/>
        <w:right w:val="none" w:sz="0" w:space="0" w:color="auto"/>
      </w:divBdr>
    </w:div>
    <w:div w:id="391851673">
      <w:bodyDiv w:val="1"/>
      <w:marLeft w:val="0"/>
      <w:marRight w:val="0"/>
      <w:marTop w:val="0"/>
      <w:marBottom w:val="0"/>
      <w:divBdr>
        <w:top w:val="none" w:sz="0" w:space="0" w:color="auto"/>
        <w:left w:val="none" w:sz="0" w:space="0" w:color="auto"/>
        <w:bottom w:val="none" w:sz="0" w:space="0" w:color="auto"/>
        <w:right w:val="none" w:sz="0" w:space="0" w:color="auto"/>
      </w:divBdr>
    </w:div>
    <w:div w:id="395475286">
      <w:bodyDiv w:val="1"/>
      <w:marLeft w:val="0"/>
      <w:marRight w:val="0"/>
      <w:marTop w:val="0"/>
      <w:marBottom w:val="0"/>
      <w:divBdr>
        <w:top w:val="none" w:sz="0" w:space="0" w:color="auto"/>
        <w:left w:val="none" w:sz="0" w:space="0" w:color="auto"/>
        <w:bottom w:val="none" w:sz="0" w:space="0" w:color="auto"/>
        <w:right w:val="none" w:sz="0" w:space="0" w:color="auto"/>
      </w:divBdr>
    </w:div>
    <w:div w:id="408577147">
      <w:bodyDiv w:val="1"/>
      <w:marLeft w:val="0"/>
      <w:marRight w:val="0"/>
      <w:marTop w:val="0"/>
      <w:marBottom w:val="0"/>
      <w:divBdr>
        <w:top w:val="none" w:sz="0" w:space="0" w:color="auto"/>
        <w:left w:val="none" w:sz="0" w:space="0" w:color="auto"/>
        <w:bottom w:val="none" w:sz="0" w:space="0" w:color="auto"/>
        <w:right w:val="none" w:sz="0" w:space="0" w:color="auto"/>
      </w:divBdr>
    </w:div>
    <w:div w:id="446316894">
      <w:bodyDiv w:val="1"/>
      <w:marLeft w:val="0"/>
      <w:marRight w:val="0"/>
      <w:marTop w:val="0"/>
      <w:marBottom w:val="0"/>
      <w:divBdr>
        <w:top w:val="none" w:sz="0" w:space="0" w:color="auto"/>
        <w:left w:val="none" w:sz="0" w:space="0" w:color="auto"/>
        <w:bottom w:val="none" w:sz="0" w:space="0" w:color="auto"/>
        <w:right w:val="none" w:sz="0" w:space="0" w:color="auto"/>
      </w:divBdr>
    </w:div>
    <w:div w:id="453598230">
      <w:bodyDiv w:val="1"/>
      <w:marLeft w:val="0"/>
      <w:marRight w:val="0"/>
      <w:marTop w:val="0"/>
      <w:marBottom w:val="0"/>
      <w:divBdr>
        <w:top w:val="none" w:sz="0" w:space="0" w:color="auto"/>
        <w:left w:val="none" w:sz="0" w:space="0" w:color="auto"/>
        <w:bottom w:val="none" w:sz="0" w:space="0" w:color="auto"/>
        <w:right w:val="none" w:sz="0" w:space="0" w:color="auto"/>
      </w:divBdr>
      <w:divsChild>
        <w:div w:id="1338728182">
          <w:marLeft w:val="0"/>
          <w:marRight w:val="0"/>
          <w:marTop w:val="0"/>
          <w:marBottom w:val="0"/>
          <w:divBdr>
            <w:top w:val="none" w:sz="0" w:space="0" w:color="auto"/>
            <w:left w:val="none" w:sz="0" w:space="0" w:color="auto"/>
            <w:bottom w:val="none" w:sz="0" w:space="0" w:color="auto"/>
            <w:right w:val="none" w:sz="0" w:space="0" w:color="auto"/>
          </w:divBdr>
        </w:div>
      </w:divsChild>
    </w:div>
    <w:div w:id="456610309">
      <w:bodyDiv w:val="1"/>
      <w:marLeft w:val="0"/>
      <w:marRight w:val="0"/>
      <w:marTop w:val="0"/>
      <w:marBottom w:val="0"/>
      <w:divBdr>
        <w:top w:val="none" w:sz="0" w:space="0" w:color="auto"/>
        <w:left w:val="none" w:sz="0" w:space="0" w:color="auto"/>
        <w:bottom w:val="none" w:sz="0" w:space="0" w:color="auto"/>
        <w:right w:val="none" w:sz="0" w:space="0" w:color="auto"/>
      </w:divBdr>
    </w:div>
    <w:div w:id="461845410">
      <w:bodyDiv w:val="1"/>
      <w:marLeft w:val="0"/>
      <w:marRight w:val="0"/>
      <w:marTop w:val="0"/>
      <w:marBottom w:val="0"/>
      <w:divBdr>
        <w:top w:val="none" w:sz="0" w:space="0" w:color="auto"/>
        <w:left w:val="none" w:sz="0" w:space="0" w:color="auto"/>
        <w:bottom w:val="none" w:sz="0" w:space="0" w:color="auto"/>
        <w:right w:val="none" w:sz="0" w:space="0" w:color="auto"/>
      </w:divBdr>
    </w:div>
    <w:div w:id="482115481">
      <w:bodyDiv w:val="1"/>
      <w:marLeft w:val="0"/>
      <w:marRight w:val="0"/>
      <w:marTop w:val="0"/>
      <w:marBottom w:val="0"/>
      <w:divBdr>
        <w:top w:val="none" w:sz="0" w:space="0" w:color="auto"/>
        <w:left w:val="none" w:sz="0" w:space="0" w:color="auto"/>
        <w:bottom w:val="none" w:sz="0" w:space="0" w:color="auto"/>
        <w:right w:val="none" w:sz="0" w:space="0" w:color="auto"/>
      </w:divBdr>
    </w:div>
    <w:div w:id="501509048">
      <w:bodyDiv w:val="1"/>
      <w:marLeft w:val="0"/>
      <w:marRight w:val="0"/>
      <w:marTop w:val="0"/>
      <w:marBottom w:val="0"/>
      <w:divBdr>
        <w:top w:val="none" w:sz="0" w:space="0" w:color="auto"/>
        <w:left w:val="none" w:sz="0" w:space="0" w:color="auto"/>
        <w:bottom w:val="none" w:sz="0" w:space="0" w:color="auto"/>
        <w:right w:val="none" w:sz="0" w:space="0" w:color="auto"/>
      </w:divBdr>
    </w:div>
    <w:div w:id="503975850">
      <w:bodyDiv w:val="1"/>
      <w:marLeft w:val="0"/>
      <w:marRight w:val="0"/>
      <w:marTop w:val="0"/>
      <w:marBottom w:val="0"/>
      <w:divBdr>
        <w:top w:val="none" w:sz="0" w:space="0" w:color="auto"/>
        <w:left w:val="none" w:sz="0" w:space="0" w:color="auto"/>
        <w:bottom w:val="none" w:sz="0" w:space="0" w:color="auto"/>
        <w:right w:val="none" w:sz="0" w:space="0" w:color="auto"/>
      </w:divBdr>
    </w:div>
    <w:div w:id="508908004">
      <w:bodyDiv w:val="1"/>
      <w:marLeft w:val="0"/>
      <w:marRight w:val="0"/>
      <w:marTop w:val="0"/>
      <w:marBottom w:val="0"/>
      <w:divBdr>
        <w:top w:val="none" w:sz="0" w:space="0" w:color="auto"/>
        <w:left w:val="none" w:sz="0" w:space="0" w:color="auto"/>
        <w:bottom w:val="none" w:sz="0" w:space="0" w:color="auto"/>
        <w:right w:val="none" w:sz="0" w:space="0" w:color="auto"/>
      </w:divBdr>
    </w:div>
    <w:div w:id="527375984">
      <w:bodyDiv w:val="1"/>
      <w:marLeft w:val="0"/>
      <w:marRight w:val="0"/>
      <w:marTop w:val="0"/>
      <w:marBottom w:val="0"/>
      <w:divBdr>
        <w:top w:val="none" w:sz="0" w:space="0" w:color="auto"/>
        <w:left w:val="none" w:sz="0" w:space="0" w:color="auto"/>
        <w:bottom w:val="none" w:sz="0" w:space="0" w:color="auto"/>
        <w:right w:val="none" w:sz="0" w:space="0" w:color="auto"/>
      </w:divBdr>
    </w:div>
    <w:div w:id="587158918">
      <w:bodyDiv w:val="1"/>
      <w:marLeft w:val="0"/>
      <w:marRight w:val="0"/>
      <w:marTop w:val="0"/>
      <w:marBottom w:val="0"/>
      <w:divBdr>
        <w:top w:val="none" w:sz="0" w:space="0" w:color="auto"/>
        <w:left w:val="none" w:sz="0" w:space="0" w:color="auto"/>
        <w:bottom w:val="none" w:sz="0" w:space="0" w:color="auto"/>
        <w:right w:val="none" w:sz="0" w:space="0" w:color="auto"/>
      </w:divBdr>
    </w:div>
    <w:div w:id="609901786">
      <w:bodyDiv w:val="1"/>
      <w:marLeft w:val="0"/>
      <w:marRight w:val="0"/>
      <w:marTop w:val="0"/>
      <w:marBottom w:val="0"/>
      <w:divBdr>
        <w:top w:val="none" w:sz="0" w:space="0" w:color="auto"/>
        <w:left w:val="none" w:sz="0" w:space="0" w:color="auto"/>
        <w:bottom w:val="none" w:sz="0" w:space="0" w:color="auto"/>
        <w:right w:val="none" w:sz="0" w:space="0" w:color="auto"/>
      </w:divBdr>
    </w:div>
    <w:div w:id="635961751">
      <w:bodyDiv w:val="1"/>
      <w:marLeft w:val="0"/>
      <w:marRight w:val="0"/>
      <w:marTop w:val="0"/>
      <w:marBottom w:val="0"/>
      <w:divBdr>
        <w:top w:val="none" w:sz="0" w:space="0" w:color="auto"/>
        <w:left w:val="none" w:sz="0" w:space="0" w:color="auto"/>
        <w:bottom w:val="none" w:sz="0" w:space="0" w:color="auto"/>
        <w:right w:val="none" w:sz="0" w:space="0" w:color="auto"/>
      </w:divBdr>
    </w:div>
    <w:div w:id="661083463">
      <w:bodyDiv w:val="1"/>
      <w:marLeft w:val="0"/>
      <w:marRight w:val="0"/>
      <w:marTop w:val="0"/>
      <w:marBottom w:val="0"/>
      <w:divBdr>
        <w:top w:val="none" w:sz="0" w:space="0" w:color="auto"/>
        <w:left w:val="none" w:sz="0" w:space="0" w:color="auto"/>
        <w:bottom w:val="none" w:sz="0" w:space="0" w:color="auto"/>
        <w:right w:val="none" w:sz="0" w:space="0" w:color="auto"/>
      </w:divBdr>
    </w:div>
    <w:div w:id="672027014">
      <w:bodyDiv w:val="1"/>
      <w:marLeft w:val="0"/>
      <w:marRight w:val="0"/>
      <w:marTop w:val="0"/>
      <w:marBottom w:val="0"/>
      <w:divBdr>
        <w:top w:val="none" w:sz="0" w:space="0" w:color="auto"/>
        <w:left w:val="none" w:sz="0" w:space="0" w:color="auto"/>
        <w:bottom w:val="none" w:sz="0" w:space="0" w:color="auto"/>
        <w:right w:val="none" w:sz="0" w:space="0" w:color="auto"/>
      </w:divBdr>
    </w:div>
    <w:div w:id="675965981">
      <w:bodyDiv w:val="1"/>
      <w:marLeft w:val="0"/>
      <w:marRight w:val="0"/>
      <w:marTop w:val="0"/>
      <w:marBottom w:val="0"/>
      <w:divBdr>
        <w:top w:val="none" w:sz="0" w:space="0" w:color="auto"/>
        <w:left w:val="none" w:sz="0" w:space="0" w:color="auto"/>
        <w:bottom w:val="none" w:sz="0" w:space="0" w:color="auto"/>
        <w:right w:val="none" w:sz="0" w:space="0" w:color="auto"/>
      </w:divBdr>
    </w:div>
    <w:div w:id="696467778">
      <w:bodyDiv w:val="1"/>
      <w:marLeft w:val="0"/>
      <w:marRight w:val="0"/>
      <w:marTop w:val="0"/>
      <w:marBottom w:val="0"/>
      <w:divBdr>
        <w:top w:val="none" w:sz="0" w:space="0" w:color="auto"/>
        <w:left w:val="none" w:sz="0" w:space="0" w:color="auto"/>
        <w:bottom w:val="none" w:sz="0" w:space="0" w:color="auto"/>
        <w:right w:val="none" w:sz="0" w:space="0" w:color="auto"/>
      </w:divBdr>
    </w:div>
    <w:div w:id="740982177">
      <w:bodyDiv w:val="1"/>
      <w:marLeft w:val="0"/>
      <w:marRight w:val="0"/>
      <w:marTop w:val="0"/>
      <w:marBottom w:val="0"/>
      <w:divBdr>
        <w:top w:val="none" w:sz="0" w:space="0" w:color="auto"/>
        <w:left w:val="none" w:sz="0" w:space="0" w:color="auto"/>
        <w:bottom w:val="none" w:sz="0" w:space="0" w:color="auto"/>
        <w:right w:val="none" w:sz="0" w:space="0" w:color="auto"/>
      </w:divBdr>
    </w:div>
    <w:div w:id="787822334">
      <w:bodyDiv w:val="1"/>
      <w:marLeft w:val="0"/>
      <w:marRight w:val="0"/>
      <w:marTop w:val="0"/>
      <w:marBottom w:val="0"/>
      <w:divBdr>
        <w:top w:val="none" w:sz="0" w:space="0" w:color="auto"/>
        <w:left w:val="none" w:sz="0" w:space="0" w:color="auto"/>
        <w:bottom w:val="none" w:sz="0" w:space="0" w:color="auto"/>
        <w:right w:val="none" w:sz="0" w:space="0" w:color="auto"/>
      </w:divBdr>
    </w:div>
    <w:div w:id="789395744">
      <w:bodyDiv w:val="1"/>
      <w:marLeft w:val="0"/>
      <w:marRight w:val="0"/>
      <w:marTop w:val="0"/>
      <w:marBottom w:val="0"/>
      <w:divBdr>
        <w:top w:val="none" w:sz="0" w:space="0" w:color="auto"/>
        <w:left w:val="none" w:sz="0" w:space="0" w:color="auto"/>
        <w:bottom w:val="none" w:sz="0" w:space="0" w:color="auto"/>
        <w:right w:val="none" w:sz="0" w:space="0" w:color="auto"/>
      </w:divBdr>
    </w:div>
    <w:div w:id="797645221">
      <w:bodyDiv w:val="1"/>
      <w:marLeft w:val="0"/>
      <w:marRight w:val="0"/>
      <w:marTop w:val="0"/>
      <w:marBottom w:val="0"/>
      <w:divBdr>
        <w:top w:val="none" w:sz="0" w:space="0" w:color="auto"/>
        <w:left w:val="none" w:sz="0" w:space="0" w:color="auto"/>
        <w:bottom w:val="none" w:sz="0" w:space="0" w:color="auto"/>
        <w:right w:val="none" w:sz="0" w:space="0" w:color="auto"/>
      </w:divBdr>
    </w:div>
    <w:div w:id="814875024">
      <w:bodyDiv w:val="1"/>
      <w:marLeft w:val="0"/>
      <w:marRight w:val="0"/>
      <w:marTop w:val="0"/>
      <w:marBottom w:val="0"/>
      <w:divBdr>
        <w:top w:val="none" w:sz="0" w:space="0" w:color="auto"/>
        <w:left w:val="none" w:sz="0" w:space="0" w:color="auto"/>
        <w:bottom w:val="none" w:sz="0" w:space="0" w:color="auto"/>
        <w:right w:val="none" w:sz="0" w:space="0" w:color="auto"/>
      </w:divBdr>
    </w:div>
    <w:div w:id="837187274">
      <w:bodyDiv w:val="1"/>
      <w:marLeft w:val="0"/>
      <w:marRight w:val="0"/>
      <w:marTop w:val="0"/>
      <w:marBottom w:val="0"/>
      <w:divBdr>
        <w:top w:val="none" w:sz="0" w:space="0" w:color="auto"/>
        <w:left w:val="none" w:sz="0" w:space="0" w:color="auto"/>
        <w:bottom w:val="none" w:sz="0" w:space="0" w:color="auto"/>
        <w:right w:val="none" w:sz="0" w:space="0" w:color="auto"/>
      </w:divBdr>
    </w:div>
    <w:div w:id="839735368">
      <w:bodyDiv w:val="1"/>
      <w:marLeft w:val="0"/>
      <w:marRight w:val="0"/>
      <w:marTop w:val="0"/>
      <w:marBottom w:val="0"/>
      <w:divBdr>
        <w:top w:val="none" w:sz="0" w:space="0" w:color="auto"/>
        <w:left w:val="none" w:sz="0" w:space="0" w:color="auto"/>
        <w:bottom w:val="none" w:sz="0" w:space="0" w:color="auto"/>
        <w:right w:val="none" w:sz="0" w:space="0" w:color="auto"/>
      </w:divBdr>
    </w:div>
    <w:div w:id="866066316">
      <w:bodyDiv w:val="1"/>
      <w:marLeft w:val="0"/>
      <w:marRight w:val="0"/>
      <w:marTop w:val="0"/>
      <w:marBottom w:val="0"/>
      <w:divBdr>
        <w:top w:val="none" w:sz="0" w:space="0" w:color="auto"/>
        <w:left w:val="none" w:sz="0" w:space="0" w:color="auto"/>
        <w:bottom w:val="none" w:sz="0" w:space="0" w:color="auto"/>
        <w:right w:val="none" w:sz="0" w:space="0" w:color="auto"/>
      </w:divBdr>
    </w:div>
    <w:div w:id="877283129">
      <w:bodyDiv w:val="1"/>
      <w:marLeft w:val="0"/>
      <w:marRight w:val="0"/>
      <w:marTop w:val="0"/>
      <w:marBottom w:val="0"/>
      <w:divBdr>
        <w:top w:val="none" w:sz="0" w:space="0" w:color="auto"/>
        <w:left w:val="none" w:sz="0" w:space="0" w:color="auto"/>
        <w:bottom w:val="none" w:sz="0" w:space="0" w:color="auto"/>
        <w:right w:val="none" w:sz="0" w:space="0" w:color="auto"/>
      </w:divBdr>
    </w:div>
    <w:div w:id="878661318">
      <w:bodyDiv w:val="1"/>
      <w:marLeft w:val="0"/>
      <w:marRight w:val="0"/>
      <w:marTop w:val="0"/>
      <w:marBottom w:val="0"/>
      <w:divBdr>
        <w:top w:val="none" w:sz="0" w:space="0" w:color="auto"/>
        <w:left w:val="none" w:sz="0" w:space="0" w:color="auto"/>
        <w:bottom w:val="none" w:sz="0" w:space="0" w:color="auto"/>
        <w:right w:val="none" w:sz="0" w:space="0" w:color="auto"/>
      </w:divBdr>
    </w:div>
    <w:div w:id="907962341">
      <w:bodyDiv w:val="1"/>
      <w:marLeft w:val="0"/>
      <w:marRight w:val="0"/>
      <w:marTop w:val="0"/>
      <w:marBottom w:val="0"/>
      <w:divBdr>
        <w:top w:val="none" w:sz="0" w:space="0" w:color="auto"/>
        <w:left w:val="none" w:sz="0" w:space="0" w:color="auto"/>
        <w:bottom w:val="none" w:sz="0" w:space="0" w:color="auto"/>
        <w:right w:val="none" w:sz="0" w:space="0" w:color="auto"/>
      </w:divBdr>
    </w:div>
    <w:div w:id="910970413">
      <w:bodyDiv w:val="1"/>
      <w:marLeft w:val="0"/>
      <w:marRight w:val="0"/>
      <w:marTop w:val="0"/>
      <w:marBottom w:val="0"/>
      <w:divBdr>
        <w:top w:val="none" w:sz="0" w:space="0" w:color="auto"/>
        <w:left w:val="none" w:sz="0" w:space="0" w:color="auto"/>
        <w:bottom w:val="none" w:sz="0" w:space="0" w:color="auto"/>
        <w:right w:val="none" w:sz="0" w:space="0" w:color="auto"/>
      </w:divBdr>
    </w:div>
    <w:div w:id="940794677">
      <w:bodyDiv w:val="1"/>
      <w:marLeft w:val="0"/>
      <w:marRight w:val="0"/>
      <w:marTop w:val="0"/>
      <w:marBottom w:val="0"/>
      <w:divBdr>
        <w:top w:val="none" w:sz="0" w:space="0" w:color="auto"/>
        <w:left w:val="none" w:sz="0" w:space="0" w:color="auto"/>
        <w:bottom w:val="none" w:sz="0" w:space="0" w:color="auto"/>
        <w:right w:val="none" w:sz="0" w:space="0" w:color="auto"/>
      </w:divBdr>
    </w:div>
    <w:div w:id="953093840">
      <w:bodyDiv w:val="1"/>
      <w:marLeft w:val="0"/>
      <w:marRight w:val="0"/>
      <w:marTop w:val="0"/>
      <w:marBottom w:val="0"/>
      <w:divBdr>
        <w:top w:val="none" w:sz="0" w:space="0" w:color="auto"/>
        <w:left w:val="none" w:sz="0" w:space="0" w:color="auto"/>
        <w:bottom w:val="none" w:sz="0" w:space="0" w:color="auto"/>
        <w:right w:val="none" w:sz="0" w:space="0" w:color="auto"/>
      </w:divBdr>
    </w:div>
    <w:div w:id="959845332">
      <w:bodyDiv w:val="1"/>
      <w:marLeft w:val="0"/>
      <w:marRight w:val="0"/>
      <w:marTop w:val="0"/>
      <w:marBottom w:val="0"/>
      <w:divBdr>
        <w:top w:val="none" w:sz="0" w:space="0" w:color="auto"/>
        <w:left w:val="none" w:sz="0" w:space="0" w:color="auto"/>
        <w:bottom w:val="none" w:sz="0" w:space="0" w:color="auto"/>
        <w:right w:val="none" w:sz="0" w:space="0" w:color="auto"/>
      </w:divBdr>
    </w:div>
    <w:div w:id="993877043">
      <w:bodyDiv w:val="1"/>
      <w:marLeft w:val="0"/>
      <w:marRight w:val="0"/>
      <w:marTop w:val="0"/>
      <w:marBottom w:val="0"/>
      <w:divBdr>
        <w:top w:val="none" w:sz="0" w:space="0" w:color="auto"/>
        <w:left w:val="none" w:sz="0" w:space="0" w:color="auto"/>
        <w:bottom w:val="none" w:sz="0" w:space="0" w:color="auto"/>
        <w:right w:val="none" w:sz="0" w:space="0" w:color="auto"/>
      </w:divBdr>
    </w:div>
    <w:div w:id="1018122686">
      <w:bodyDiv w:val="1"/>
      <w:marLeft w:val="0"/>
      <w:marRight w:val="0"/>
      <w:marTop w:val="0"/>
      <w:marBottom w:val="0"/>
      <w:divBdr>
        <w:top w:val="none" w:sz="0" w:space="0" w:color="auto"/>
        <w:left w:val="none" w:sz="0" w:space="0" w:color="auto"/>
        <w:bottom w:val="none" w:sz="0" w:space="0" w:color="auto"/>
        <w:right w:val="none" w:sz="0" w:space="0" w:color="auto"/>
      </w:divBdr>
    </w:div>
    <w:div w:id="1024596550">
      <w:bodyDiv w:val="1"/>
      <w:marLeft w:val="0"/>
      <w:marRight w:val="0"/>
      <w:marTop w:val="0"/>
      <w:marBottom w:val="0"/>
      <w:divBdr>
        <w:top w:val="none" w:sz="0" w:space="0" w:color="auto"/>
        <w:left w:val="none" w:sz="0" w:space="0" w:color="auto"/>
        <w:bottom w:val="none" w:sz="0" w:space="0" w:color="auto"/>
        <w:right w:val="none" w:sz="0" w:space="0" w:color="auto"/>
      </w:divBdr>
    </w:div>
    <w:div w:id="1095904616">
      <w:bodyDiv w:val="1"/>
      <w:marLeft w:val="0"/>
      <w:marRight w:val="0"/>
      <w:marTop w:val="0"/>
      <w:marBottom w:val="0"/>
      <w:divBdr>
        <w:top w:val="none" w:sz="0" w:space="0" w:color="auto"/>
        <w:left w:val="none" w:sz="0" w:space="0" w:color="auto"/>
        <w:bottom w:val="none" w:sz="0" w:space="0" w:color="auto"/>
        <w:right w:val="none" w:sz="0" w:space="0" w:color="auto"/>
      </w:divBdr>
    </w:div>
    <w:div w:id="1098793655">
      <w:bodyDiv w:val="1"/>
      <w:marLeft w:val="0"/>
      <w:marRight w:val="0"/>
      <w:marTop w:val="0"/>
      <w:marBottom w:val="0"/>
      <w:divBdr>
        <w:top w:val="none" w:sz="0" w:space="0" w:color="auto"/>
        <w:left w:val="none" w:sz="0" w:space="0" w:color="auto"/>
        <w:bottom w:val="none" w:sz="0" w:space="0" w:color="auto"/>
        <w:right w:val="none" w:sz="0" w:space="0" w:color="auto"/>
      </w:divBdr>
    </w:div>
    <w:div w:id="1100416133">
      <w:bodyDiv w:val="1"/>
      <w:marLeft w:val="0"/>
      <w:marRight w:val="0"/>
      <w:marTop w:val="0"/>
      <w:marBottom w:val="0"/>
      <w:divBdr>
        <w:top w:val="none" w:sz="0" w:space="0" w:color="auto"/>
        <w:left w:val="none" w:sz="0" w:space="0" w:color="auto"/>
        <w:bottom w:val="none" w:sz="0" w:space="0" w:color="auto"/>
        <w:right w:val="none" w:sz="0" w:space="0" w:color="auto"/>
      </w:divBdr>
    </w:div>
    <w:div w:id="1110318790">
      <w:bodyDiv w:val="1"/>
      <w:marLeft w:val="0"/>
      <w:marRight w:val="0"/>
      <w:marTop w:val="0"/>
      <w:marBottom w:val="0"/>
      <w:divBdr>
        <w:top w:val="none" w:sz="0" w:space="0" w:color="auto"/>
        <w:left w:val="none" w:sz="0" w:space="0" w:color="auto"/>
        <w:bottom w:val="none" w:sz="0" w:space="0" w:color="auto"/>
        <w:right w:val="none" w:sz="0" w:space="0" w:color="auto"/>
      </w:divBdr>
    </w:div>
    <w:div w:id="1115711717">
      <w:bodyDiv w:val="1"/>
      <w:marLeft w:val="0"/>
      <w:marRight w:val="0"/>
      <w:marTop w:val="0"/>
      <w:marBottom w:val="0"/>
      <w:divBdr>
        <w:top w:val="none" w:sz="0" w:space="0" w:color="auto"/>
        <w:left w:val="none" w:sz="0" w:space="0" w:color="auto"/>
        <w:bottom w:val="none" w:sz="0" w:space="0" w:color="auto"/>
        <w:right w:val="none" w:sz="0" w:space="0" w:color="auto"/>
      </w:divBdr>
    </w:div>
    <w:div w:id="1120756461">
      <w:bodyDiv w:val="1"/>
      <w:marLeft w:val="0"/>
      <w:marRight w:val="0"/>
      <w:marTop w:val="0"/>
      <w:marBottom w:val="0"/>
      <w:divBdr>
        <w:top w:val="none" w:sz="0" w:space="0" w:color="auto"/>
        <w:left w:val="none" w:sz="0" w:space="0" w:color="auto"/>
        <w:bottom w:val="none" w:sz="0" w:space="0" w:color="auto"/>
        <w:right w:val="none" w:sz="0" w:space="0" w:color="auto"/>
      </w:divBdr>
    </w:div>
    <w:div w:id="1125000562">
      <w:bodyDiv w:val="1"/>
      <w:marLeft w:val="0"/>
      <w:marRight w:val="0"/>
      <w:marTop w:val="0"/>
      <w:marBottom w:val="0"/>
      <w:divBdr>
        <w:top w:val="none" w:sz="0" w:space="0" w:color="auto"/>
        <w:left w:val="none" w:sz="0" w:space="0" w:color="auto"/>
        <w:bottom w:val="none" w:sz="0" w:space="0" w:color="auto"/>
        <w:right w:val="none" w:sz="0" w:space="0" w:color="auto"/>
      </w:divBdr>
    </w:div>
    <w:div w:id="1148743662">
      <w:bodyDiv w:val="1"/>
      <w:marLeft w:val="0"/>
      <w:marRight w:val="0"/>
      <w:marTop w:val="0"/>
      <w:marBottom w:val="0"/>
      <w:divBdr>
        <w:top w:val="none" w:sz="0" w:space="0" w:color="auto"/>
        <w:left w:val="none" w:sz="0" w:space="0" w:color="auto"/>
        <w:bottom w:val="none" w:sz="0" w:space="0" w:color="auto"/>
        <w:right w:val="none" w:sz="0" w:space="0" w:color="auto"/>
      </w:divBdr>
    </w:div>
    <w:div w:id="1149518781">
      <w:bodyDiv w:val="1"/>
      <w:marLeft w:val="0"/>
      <w:marRight w:val="0"/>
      <w:marTop w:val="0"/>
      <w:marBottom w:val="0"/>
      <w:divBdr>
        <w:top w:val="none" w:sz="0" w:space="0" w:color="auto"/>
        <w:left w:val="none" w:sz="0" w:space="0" w:color="auto"/>
        <w:bottom w:val="none" w:sz="0" w:space="0" w:color="auto"/>
        <w:right w:val="none" w:sz="0" w:space="0" w:color="auto"/>
      </w:divBdr>
    </w:div>
    <w:div w:id="1164976067">
      <w:bodyDiv w:val="1"/>
      <w:marLeft w:val="0"/>
      <w:marRight w:val="0"/>
      <w:marTop w:val="0"/>
      <w:marBottom w:val="0"/>
      <w:divBdr>
        <w:top w:val="none" w:sz="0" w:space="0" w:color="auto"/>
        <w:left w:val="none" w:sz="0" w:space="0" w:color="auto"/>
        <w:bottom w:val="none" w:sz="0" w:space="0" w:color="auto"/>
        <w:right w:val="none" w:sz="0" w:space="0" w:color="auto"/>
      </w:divBdr>
    </w:div>
    <w:div w:id="1176730015">
      <w:bodyDiv w:val="1"/>
      <w:marLeft w:val="0"/>
      <w:marRight w:val="0"/>
      <w:marTop w:val="0"/>
      <w:marBottom w:val="0"/>
      <w:divBdr>
        <w:top w:val="none" w:sz="0" w:space="0" w:color="auto"/>
        <w:left w:val="none" w:sz="0" w:space="0" w:color="auto"/>
        <w:bottom w:val="none" w:sz="0" w:space="0" w:color="auto"/>
        <w:right w:val="none" w:sz="0" w:space="0" w:color="auto"/>
      </w:divBdr>
    </w:div>
    <w:div w:id="1198540742">
      <w:bodyDiv w:val="1"/>
      <w:marLeft w:val="0"/>
      <w:marRight w:val="0"/>
      <w:marTop w:val="0"/>
      <w:marBottom w:val="0"/>
      <w:divBdr>
        <w:top w:val="none" w:sz="0" w:space="0" w:color="auto"/>
        <w:left w:val="none" w:sz="0" w:space="0" w:color="auto"/>
        <w:bottom w:val="none" w:sz="0" w:space="0" w:color="auto"/>
        <w:right w:val="none" w:sz="0" w:space="0" w:color="auto"/>
      </w:divBdr>
    </w:div>
    <w:div w:id="1261110203">
      <w:bodyDiv w:val="1"/>
      <w:marLeft w:val="0"/>
      <w:marRight w:val="0"/>
      <w:marTop w:val="0"/>
      <w:marBottom w:val="0"/>
      <w:divBdr>
        <w:top w:val="none" w:sz="0" w:space="0" w:color="auto"/>
        <w:left w:val="none" w:sz="0" w:space="0" w:color="auto"/>
        <w:bottom w:val="none" w:sz="0" w:space="0" w:color="auto"/>
        <w:right w:val="none" w:sz="0" w:space="0" w:color="auto"/>
      </w:divBdr>
    </w:div>
    <w:div w:id="1294361369">
      <w:bodyDiv w:val="1"/>
      <w:marLeft w:val="0"/>
      <w:marRight w:val="0"/>
      <w:marTop w:val="0"/>
      <w:marBottom w:val="0"/>
      <w:divBdr>
        <w:top w:val="none" w:sz="0" w:space="0" w:color="auto"/>
        <w:left w:val="none" w:sz="0" w:space="0" w:color="auto"/>
        <w:bottom w:val="none" w:sz="0" w:space="0" w:color="auto"/>
        <w:right w:val="none" w:sz="0" w:space="0" w:color="auto"/>
      </w:divBdr>
    </w:div>
    <w:div w:id="1303583281">
      <w:bodyDiv w:val="1"/>
      <w:marLeft w:val="0"/>
      <w:marRight w:val="0"/>
      <w:marTop w:val="0"/>
      <w:marBottom w:val="0"/>
      <w:divBdr>
        <w:top w:val="none" w:sz="0" w:space="0" w:color="auto"/>
        <w:left w:val="none" w:sz="0" w:space="0" w:color="auto"/>
        <w:bottom w:val="none" w:sz="0" w:space="0" w:color="auto"/>
        <w:right w:val="none" w:sz="0" w:space="0" w:color="auto"/>
      </w:divBdr>
    </w:div>
    <w:div w:id="1328241879">
      <w:bodyDiv w:val="1"/>
      <w:marLeft w:val="0"/>
      <w:marRight w:val="0"/>
      <w:marTop w:val="0"/>
      <w:marBottom w:val="0"/>
      <w:divBdr>
        <w:top w:val="none" w:sz="0" w:space="0" w:color="auto"/>
        <w:left w:val="none" w:sz="0" w:space="0" w:color="auto"/>
        <w:bottom w:val="none" w:sz="0" w:space="0" w:color="auto"/>
        <w:right w:val="none" w:sz="0" w:space="0" w:color="auto"/>
      </w:divBdr>
    </w:div>
    <w:div w:id="1342702240">
      <w:bodyDiv w:val="1"/>
      <w:marLeft w:val="0"/>
      <w:marRight w:val="0"/>
      <w:marTop w:val="0"/>
      <w:marBottom w:val="0"/>
      <w:divBdr>
        <w:top w:val="none" w:sz="0" w:space="0" w:color="auto"/>
        <w:left w:val="none" w:sz="0" w:space="0" w:color="auto"/>
        <w:bottom w:val="none" w:sz="0" w:space="0" w:color="auto"/>
        <w:right w:val="none" w:sz="0" w:space="0" w:color="auto"/>
      </w:divBdr>
    </w:div>
    <w:div w:id="1349480056">
      <w:bodyDiv w:val="1"/>
      <w:marLeft w:val="0"/>
      <w:marRight w:val="0"/>
      <w:marTop w:val="0"/>
      <w:marBottom w:val="0"/>
      <w:divBdr>
        <w:top w:val="none" w:sz="0" w:space="0" w:color="auto"/>
        <w:left w:val="none" w:sz="0" w:space="0" w:color="auto"/>
        <w:bottom w:val="none" w:sz="0" w:space="0" w:color="auto"/>
        <w:right w:val="none" w:sz="0" w:space="0" w:color="auto"/>
      </w:divBdr>
    </w:div>
    <w:div w:id="1384913451">
      <w:bodyDiv w:val="1"/>
      <w:marLeft w:val="0"/>
      <w:marRight w:val="0"/>
      <w:marTop w:val="0"/>
      <w:marBottom w:val="0"/>
      <w:divBdr>
        <w:top w:val="none" w:sz="0" w:space="0" w:color="auto"/>
        <w:left w:val="none" w:sz="0" w:space="0" w:color="auto"/>
        <w:bottom w:val="none" w:sz="0" w:space="0" w:color="auto"/>
        <w:right w:val="none" w:sz="0" w:space="0" w:color="auto"/>
      </w:divBdr>
    </w:div>
    <w:div w:id="1409843165">
      <w:bodyDiv w:val="1"/>
      <w:marLeft w:val="0"/>
      <w:marRight w:val="0"/>
      <w:marTop w:val="0"/>
      <w:marBottom w:val="0"/>
      <w:divBdr>
        <w:top w:val="none" w:sz="0" w:space="0" w:color="auto"/>
        <w:left w:val="none" w:sz="0" w:space="0" w:color="auto"/>
        <w:bottom w:val="none" w:sz="0" w:space="0" w:color="auto"/>
        <w:right w:val="none" w:sz="0" w:space="0" w:color="auto"/>
      </w:divBdr>
    </w:div>
    <w:div w:id="1449229662">
      <w:bodyDiv w:val="1"/>
      <w:marLeft w:val="0"/>
      <w:marRight w:val="0"/>
      <w:marTop w:val="0"/>
      <w:marBottom w:val="0"/>
      <w:divBdr>
        <w:top w:val="none" w:sz="0" w:space="0" w:color="auto"/>
        <w:left w:val="none" w:sz="0" w:space="0" w:color="auto"/>
        <w:bottom w:val="none" w:sz="0" w:space="0" w:color="auto"/>
        <w:right w:val="none" w:sz="0" w:space="0" w:color="auto"/>
      </w:divBdr>
    </w:div>
    <w:div w:id="1523470013">
      <w:bodyDiv w:val="1"/>
      <w:marLeft w:val="0"/>
      <w:marRight w:val="0"/>
      <w:marTop w:val="0"/>
      <w:marBottom w:val="0"/>
      <w:divBdr>
        <w:top w:val="none" w:sz="0" w:space="0" w:color="auto"/>
        <w:left w:val="none" w:sz="0" w:space="0" w:color="auto"/>
        <w:bottom w:val="none" w:sz="0" w:space="0" w:color="auto"/>
        <w:right w:val="none" w:sz="0" w:space="0" w:color="auto"/>
      </w:divBdr>
    </w:div>
    <w:div w:id="1527254770">
      <w:bodyDiv w:val="1"/>
      <w:marLeft w:val="0"/>
      <w:marRight w:val="0"/>
      <w:marTop w:val="0"/>
      <w:marBottom w:val="0"/>
      <w:divBdr>
        <w:top w:val="none" w:sz="0" w:space="0" w:color="auto"/>
        <w:left w:val="none" w:sz="0" w:space="0" w:color="auto"/>
        <w:bottom w:val="none" w:sz="0" w:space="0" w:color="auto"/>
        <w:right w:val="none" w:sz="0" w:space="0" w:color="auto"/>
      </w:divBdr>
    </w:div>
    <w:div w:id="1539003981">
      <w:bodyDiv w:val="1"/>
      <w:marLeft w:val="0"/>
      <w:marRight w:val="0"/>
      <w:marTop w:val="0"/>
      <w:marBottom w:val="0"/>
      <w:divBdr>
        <w:top w:val="none" w:sz="0" w:space="0" w:color="auto"/>
        <w:left w:val="none" w:sz="0" w:space="0" w:color="auto"/>
        <w:bottom w:val="none" w:sz="0" w:space="0" w:color="auto"/>
        <w:right w:val="none" w:sz="0" w:space="0" w:color="auto"/>
      </w:divBdr>
    </w:div>
    <w:div w:id="1545016598">
      <w:bodyDiv w:val="1"/>
      <w:marLeft w:val="0"/>
      <w:marRight w:val="0"/>
      <w:marTop w:val="0"/>
      <w:marBottom w:val="0"/>
      <w:divBdr>
        <w:top w:val="none" w:sz="0" w:space="0" w:color="auto"/>
        <w:left w:val="none" w:sz="0" w:space="0" w:color="auto"/>
        <w:bottom w:val="none" w:sz="0" w:space="0" w:color="auto"/>
        <w:right w:val="none" w:sz="0" w:space="0" w:color="auto"/>
      </w:divBdr>
    </w:div>
    <w:div w:id="1569920857">
      <w:bodyDiv w:val="1"/>
      <w:marLeft w:val="0"/>
      <w:marRight w:val="0"/>
      <w:marTop w:val="0"/>
      <w:marBottom w:val="0"/>
      <w:divBdr>
        <w:top w:val="none" w:sz="0" w:space="0" w:color="auto"/>
        <w:left w:val="none" w:sz="0" w:space="0" w:color="auto"/>
        <w:bottom w:val="none" w:sz="0" w:space="0" w:color="auto"/>
        <w:right w:val="none" w:sz="0" w:space="0" w:color="auto"/>
      </w:divBdr>
    </w:div>
    <w:div w:id="1596864962">
      <w:bodyDiv w:val="1"/>
      <w:marLeft w:val="0"/>
      <w:marRight w:val="0"/>
      <w:marTop w:val="0"/>
      <w:marBottom w:val="0"/>
      <w:divBdr>
        <w:top w:val="none" w:sz="0" w:space="0" w:color="auto"/>
        <w:left w:val="none" w:sz="0" w:space="0" w:color="auto"/>
        <w:bottom w:val="none" w:sz="0" w:space="0" w:color="auto"/>
        <w:right w:val="none" w:sz="0" w:space="0" w:color="auto"/>
      </w:divBdr>
    </w:div>
    <w:div w:id="1601832383">
      <w:bodyDiv w:val="1"/>
      <w:marLeft w:val="0"/>
      <w:marRight w:val="0"/>
      <w:marTop w:val="0"/>
      <w:marBottom w:val="0"/>
      <w:divBdr>
        <w:top w:val="none" w:sz="0" w:space="0" w:color="auto"/>
        <w:left w:val="none" w:sz="0" w:space="0" w:color="auto"/>
        <w:bottom w:val="none" w:sz="0" w:space="0" w:color="auto"/>
        <w:right w:val="none" w:sz="0" w:space="0" w:color="auto"/>
      </w:divBdr>
    </w:div>
    <w:div w:id="1622416588">
      <w:bodyDiv w:val="1"/>
      <w:marLeft w:val="0"/>
      <w:marRight w:val="0"/>
      <w:marTop w:val="0"/>
      <w:marBottom w:val="0"/>
      <w:divBdr>
        <w:top w:val="none" w:sz="0" w:space="0" w:color="auto"/>
        <w:left w:val="none" w:sz="0" w:space="0" w:color="auto"/>
        <w:bottom w:val="none" w:sz="0" w:space="0" w:color="auto"/>
        <w:right w:val="none" w:sz="0" w:space="0" w:color="auto"/>
      </w:divBdr>
    </w:div>
    <w:div w:id="1638097735">
      <w:bodyDiv w:val="1"/>
      <w:marLeft w:val="0"/>
      <w:marRight w:val="0"/>
      <w:marTop w:val="0"/>
      <w:marBottom w:val="0"/>
      <w:divBdr>
        <w:top w:val="none" w:sz="0" w:space="0" w:color="auto"/>
        <w:left w:val="none" w:sz="0" w:space="0" w:color="auto"/>
        <w:bottom w:val="none" w:sz="0" w:space="0" w:color="auto"/>
        <w:right w:val="none" w:sz="0" w:space="0" w:color="auto"/>
      </w:divBdr>
    </w:div>
    <w:div w:id="1652294554">
      <w:bodyDiv w:val="1"/>
      <w:marLeft w:val="0"/>
      <w:marRight w:val="0"/>
      <w:marTop w:val="0"/>
      <w:marBottom w:val="0"/>
      <w:divBdr>
        <w:top w:val="none" w:sz="0" w:space="0" w:color="auto"/>
        <w:left w:val="none" w:sz="0" w:space="0" w:color="auto"/>
        <w:bottom w:val="none" w:sz="0" w:space="0" w:color="auto"/>
        <w:right w:val="none" w:sz="0" w:space="0" w:color="auto"/>
      </w:divBdr>
    </w:div>
    <w:div w:id="1665426438">
      <w:bodyDiv w:val="1"/>
      <w:marLeft w:val="0"/>
      <w:marRight w:val="0"/>
      <w:marTop w:val="0"/>
      <w:marBottom w:val="0"/>
      <w:divBdr>
        <w:top w:val="none" w:sz="0" w:space="0" w:color="auto"/>
        <w:left w:val="none" w:sz="0" w:space="0" w:color="auto"/>
        <w:bottom w:val="none" w:sz="0" w:space="0" w:color="auto"/>
        <w:right w:val="none" w:sz="0" w:space="0" w:color="auto"/>
      </w:divBdr>
    </w:div>
    <w:div w:id="1667856024">
      <w:bodyDiv w:val="1"/>
      <w:marLeft w:val="0"/>
      <w:marRight w:val="0"/>
      <w:marTop w:val="0"/>
      <w:marBottom w:val="0"/>
      <w:divBdr>
        <w:top w:val="none" w:sz="0" w:space="0" w:color="auto"/>
        <w:left w:val="none" w:sz="0" w:space="0" w:color="auto"/>
        <w:bottom w:val="none" w:sz="0" w:space="0" w:color="auto"/>
        <w:right w:val="none" w:sz="0" w:space="0" w:color="auto"/>
      </w:divBdr>
    </w:div>
    <w:div w:id="1698386255">
      <w:bodyDiv w:val="1"/>
      <w:marLeft w:val="0"/>
      <w:marRight w:val="0"/>
      <w:marTop w:val="0"/>
      <w:marBottom w:val="0"/>
      <w:divBdr>
        <w:top w:val="none" w:sz="0" w:space="0" w:color="auto"/>
        <w:left w:val="none" w:sz="0" w:space="0" w:color="auto"/>
        <w:bottom w:val="none" w:sz="0" w:space="0" w:color="auto"/>
        <w:right w:val="none" w:sz="0" w:space="0" w:color="auto"/>
      </w:divBdr>
    </w:div>
    <w:div w:id="1720058069">
      <w:bodyDiv w:val="1"/>
      <w:marLeft w:val="0"/>
      <w:marRight w:val="0"/>
      <w:marTop w:val="0"/>
      <w:marBottom w:val="0"/>
      <w:divBdr>
        <w:top w:val="none" w:sz="0" w:space="0" w:color="auto"/>
        <w:left w:val="none" w:sz="0" w:space="0" w:color="auto"/>
        <w:bottom w:val="none" w:sz="0" w:space="0" w:color="auto"/>
        <w:right w:val="none" w:sz="0" w:space="0" w:color="auto"/>
      </w:divBdr>
    </w:div>
    <w:div w:id="1771657093">
      <w:bodyDiv w:val="1"/>
      <w:marLeft w:val="0"/>
      <w:marRight w:val="0"/>
      <w:marTop w:val="0"/>
      <w:marBottom w:val="0"/>
      <w:divBdr>
        <w:top w:val="none" w:sz="0" w:space="0" w:color="auto"/>
        <w:left w:val="none" w:sz="0" w:space="0" w:color="auto"/>
        <w:bottom w:val="none" w:sz="0" w:space="0" w:color="auto"/>
        <w:right w:val="none" w:sz="0" w:space="0" w:color="auto"/>
      </w:divBdr>
    </w:div>
    <w:div w:id="1793984846">
      <w:bodyDiv w:val="1"/>
      <w:marLeft w:val="0"/>
      <w:marRight w:val="0"/>
      <w:marTop w:val="0"/>
      <w:marBottom w:val="0"/>
      <w:divBdr>
        <w:top w:val="none" w:sz="0" w:space="0" w:color="auto"/>
        <w:left w:val="none" w:sz="0" w:space="0" w:color="auto"/>
        <w:bottom w:val="none" w:sz="0" w:space="0" w:color="auto"/>
        <w:right w:val="none" w:sz="0" w:space="0" w:color="auto"/>
      </w:divBdr>
    </w:div>
    <w:div w:id="1816297036">
      <w:bodyDiv w:val="1"/>
      <w:marLeft w:val="0"/>
      <w:marRight w:val="0"/>
      <w:marTop w:val="0"/>
      <w:marBottom w:val="0"/>
      <w:divBdr>
        <w:top w:val="none" w:sz="0" w:space="0" w:color="auto"/>
        <w:left w:val="none" w:sz="0" w:space="0" w:color="auto"/>
        <w:bottom w:val="none" w:sz="0" w:space="0" w:color="auto"/>
        <w:right w:val="none" w:sz="0" w:space="0" w:color="auto"/>
      </w:divBdr>
      <w:divsChild>
        <w:div w:id="114907428">
          <w:marLeft w:val="0"/>
          <w:marRight w:val="0"/>
          <w:marTop w:val="0"/>
          <w:marBottom w:val="0"/>
          <w:divBdr>
            <w:top w:val="none" w:sz="0" w:space="0" w:color="auto"/>
            <w:left w:val="none" w:sz="0" w:space="0" w:color="auto"/>
            <w:bottom w:val="none" w:sz="0" w:space="0" w:color="auto"/>
            <w:right w:val="none" w:sz="0" w:space="0" w:color="auto"/>
          </w:divBdr>
        </w:div>
      </w:divsChild>
    </w:div>
    <w:div w:id="1816989213">
      <w:bodyDiv w:val="1"/>
      <w:marLeft w:val="0"/>
      <w:marRight w:val="0"/>
      <w:marTop w:val="0"/>
      <w:marBottom w:val="0"/>
      <w:divBdr>
        <w:top w:val="none" w:sz="0" w:space="0" w:color="auto"/>
        <w:left w:val="none" w:sz="0" w:space="0" w:color="auto"/>
        <w:bottom w:val="none" w:sz="0" w:space="0" w:color="auto"/>
        <w:right w:val="none" w:sz="0" w:space="0" w:color="auto"/>
      </w:divBdr>
    </w:div>
    <w:div w:id="1860241244">
      <w:bodyDiv w:val="1"/>
      <w:marLeft w:val="0"/>
      <w:marRight w:val="0"/>
      <w:marTop w:val="0"/>
      <w:marBottom w:val="0"/>
      <w:divBdr>
        <w:top w:val="none" w:sz="0" w:space="0" w:color="auto"/>
        <w:left w:val="none" w:sz="0" w:space="0" w:color="auto"/>
        <w:bottom w:val="none" w:sz="0" w:space="0" w:color="auto"/>
        <w:right w:val="none" w:sz="0" w:space="0" w:color="auto"/>
      </w:divBdr>
    </w:div>
    <w:div w:id="1861428539">
      <w:bodyDiv w:val="1"/>
      <w:marLeft w:val="0"/>
      <w:marRight w:val="0"/>
      <w:marTop w:val="0"/>
      <w:marBottom w:val="0"/>
      <w:divBdr>
        <w:top w:val="none" w:sz="0" w:space="0" w:color="auto"/>
        <w:left w:val="none" w:sz="0" w:space="0" w:color="auto"/>
        <w:bottom w:val="none" w:sz="0" w:space="0" w:color="auto"/>
        <w:right w:val="none" w:sz="0" w:space="0" w:color="auto"/>
      </w:divBdr>
    </w:div>
    <w:div w:id="1868058508">
      <w:bodyDiv w:val="1"/>
      <w:marLeft w:val="0"/>
      <w:marRight w:val="0"/>
      <w:marTop w:val="0"/>
      <w:marBottom w:val="0"/>
      <w:divBdr>
        <w:top w:val="none" w:sz="0" w:space="0" w:color="auto"/>
        <w:left w:val="none" w:sz="0" w:space="0" w:color="auto"/>
        <w:bottom w:val="none" w:sz="0" w:space="0" w:color="auto"/>
        <w:right w:val="none" w:sz="0" w:space="0" w:color="auto"/>
      </w:divBdr>
    </w:div>
    <w:div w:id="1883443629">
      <w:bodyDiv w:val="1"/>
      <w:marLeft w:val="0"/>
      <w:marRight w:val="0"/>
      <w:marTop w:val="0"/>
      <w:marBottom w:val="0"/>
      <w:divBdr>
        <w:top w:val="none" w:sz="0" w:space="0" w:color="auto"/>
        <w:left w:val="none" w:sz="0" w:space="0" w:color="auto"/>
        <w:bottom w:val="none" w:sz="0" w:space="0" w:color="auto"/>
        <w:right w:val="none" w:sz="0" w:space="0" w:color="auto"/>
      </w:divBdr>
    </w:div>
    <w:div w:id="1895845554">
      <w:bodyDiv w:val="1"/>
      <w:marLeft w:val="0"/>
      <w:marRight w:val="0"/>
      <w:marTop w:val="0"/>
      <w:marBottom w:val="0"/>
      <w:divBdr>
        <w:top w:val="none" w:sz="0" w:space="0" w:color="auto"/>
        <w:left w:val="none" w:sz="0" w:space="0" w:color="auto"/>
        <w:bottom w:val="none" w:sz="0" w:space="0" w:color="auto"/>
        <w:right w:val="none" w:sz="0" w:space="0" w:color="auto"/>
      </w:divBdr>
    </w:div>
    <w:div w:id="1911773695">
      <w:bodyDiv w:val="1"/>
      <w:marLeft w:val="0"/>
      <w:marRight w:val="0"/>
      <w:marTop w:val="0"/>
      <w:marBottom w:val="0"/>
      <w:divBdr>
        <w:top w:val="none" w:sz="0" w:space="0" w:color="auto"/>
        <w:left w:val="none" w:sz="0" w:space="0" w:color="auto"/>
        <w:bottom w:val="none" w:sz="0" w:space="0" w:color="auto"/>
        <w:right w:val="none" w:sz="0" w:space="0" w:color="auto"/>
      </w:divBdr>
    </w:div>
    <w:div w:id="1952736002">
      <w:bodyDiv w:val="1"/>
      <w:marLeft w:val="0"/>
      <w:marRight w:val="0"/>
      <w:marTop w:val="0"/>
      <w:marBottom w:val="0"/>
      <w:divBdr>
        <w:top w:val="none" w:sz="0" w:space="0" w:color="auto"/>
        <w:left w:val="none" w:sz="0" w:space="0" w:color="auto"/>
        <w:bottom w:val="none" w:sz="0" w:space="0" w:color="auto"/>
        <w:right w:val="none" w:sz="0" w:space="0" w:color="auto"/>
      </w:divBdr>
    </w:div>
    <w:div w:id="1961716865">
      <w:bodyDiv w:val="1"/>
      <w:marLeft w:val="0"/>
      <w:marRight w:val="0"/>
      <w:marTop w:val="0"/>
      <w:marBottom w:val="0"/>
      <w:divBdr>
        <w:top w:val="none" w:sz="0" w:space="0" w:color="auto"/>
        <w:left w:val="none" w:sz="0" w:space="0" w:color="auto"/>
        <w:bottom w:val="none" w:sz="0" w:space="0" w:color="auto"/>
        <w:right w:val="none" w:sz="0" w:space="0" w:color="auto"/>
      </w:divBdr>
    </w:div>
    <w:div w:id="1987128774">
      <w:bodyDiv w:val="1"/>
      <w:marLeft w:val="0"/>
      <w:marRight w:val="0"/>
      <w:marTop w:val="0"/>
      <w:marBottom w:val="0"/>
      <w:divBdr>
        <w:top w:val="none" w:sz="0" w:space="0" w:color="auto"/>
        <w:left w:val="none" w:sz="0" w:space="0" w:color="auto"/>
        <w:bottom w:val="none" w:sz="0" w:space="0" w:color="auto"/>
        <w:right w:val="none" w:sz="0" w:space="0" w:color="auto"/>
      </w:divBdr>
    </w:div>
    <w:div w:id="1993561469">
      <w:bodyDiv w:val="1"/>
      <w:marLeft w:val="0"/>
      <w:marRight w:val="0"/>
      <w:marTop w:val="0"/>
      <w:marBottom w:val="0"/>
      <w:divBdr>
        <w:top w:val="none" w:sz="0" w:space="0" w:color="auto"/>
        <w:left w:val="none" w:sz="0" w:space="0" w:color="auto"/>
        <w:bottom w:val="none" w:sz="0" w:space="0" w:color="auto"/>
        <w:right w:val="none" w:sz="0" w:space="0" w:color="auto"/>
      </w:divBdr>
    </w:div>
    <w:div w:id="2021424292">
      <w:bodyDiv w:val="1"/>
      <w:marLeft w:val="0"/>
      <w:marRight w:val="0"/>
      <w:marTop w:val="0"/>
      <w:marBottom w:val="0"/>
      <w:divBdr>
        <w:top w:val="none" w:sz="0" w:space="0" w:color="auto"/>
        <w:left w:val="none" w:sz="0" w:space="0" w:color="auto"/>
        <w:bottom w:val="none" w:sz="0" w:space="0" w:color="auto"/>
        <w:right w:val="none" w:sz="0" w:space="0" w:color="auto"/>
      </w:divBdr>
    </w:div>
    <w:div w:id="2023970954">
      <w:bodyDiv w:val="1"/>
      <w:marLeft w:val="0"/>
      <w:marRight w:val="0"/>
      <w:marTop w:val="0"/>
      <w:marBottom w:val="0"/>
      <w:divBdr>
        <w:top w:val="none" w:sz="0" w:space="0" w:color="auto"/>
        <w:left w:val="none" w:sz="0" w:space="0" w:color="auto"/>
        <w:bottom w:val="none" w:sz="0" w:space="0" w:color="auto"/>
        <w:right w:val="none" w:sz="0" w:space="0" w:color="auto"/>
      </w:divBdr>
    </w:div>
    <w:div w:id="2031763258">
      <w:bodyDiv w:val="1"/>
      <w:marLeft w:val="0"/>
      <w:marRight w:val="0"/>
      <w:marTop w:val="0"/>
      <w:marBottom w:val="0"/>
      <w:divBdr>
        <w:top w:val="none" w:sz="0" w:space="0" w:color="auto"/>
        <w:left w:val="none" w:sz="0" w:space="0" w:color="auto"/>
        <w:bottom w:val="none" w:sz="0" w:space="0" w:color="auto"/>
        <w:right w:val="none" w:sz="0" w:space="0" w:color="auto"/>
      </w:divBdr>
    </w:div>
    <w:div w:id="2033257899">
      <w:bodyDiv w:val="1"/>
      <w:marLeft w:val="0"/>
      <w:marRight w:val="0"/>
      <w:marTop w:val="0"/>
      <w:marBottom w:val="0"/>
      <w:divBdr>
        <w:top w:val="none" w:sz="0" w:space="0" w:color="auto"/>
        <w:left w:val="none" w:sz="0" w:space="0" w:color="auto"/>
        <w:bottom w:val="none" w:sz="0" w:space="0" w:color="auto"/>
        <w:right w:val="none" w:sz="0" w:space="0" w:color="auto"/>
      </w:divBdr>
    </w:div>
    <w:div w:id="2052339147">
      <w:bodyDiv w:val="1"/>
      <w:marLeft w:val="0"/>
      <w:marRight w:val="0"/>
      <w:marTop w:val="0"/>
      <w:marBottom w:val="0"/>
      <w:divBdr>
        <w:top w:val="none" w:sz="0" w:space="0" w:color="auto"/>
        <w:left w:val="none" w:sz="0" w:space="0" w:color="auto"/>
        <w:bottom w:val="none" w:sz="0" w:space="0" w:color="auto"/>
        <w:right w:val="none" w:sz="0" w:space="0" w:color="auto"/>
      </w:divBdr>
    </w:div>
    <w:div w:id="2056540545">
      <w:bodyDiv w:val="1"/>
      <w:marLeft w:val="0"/>
      <w:marRight w:val="0"/>
      <w:marTop w:val="0"/>
      <w:marBottom w:val="0"/>
      <w:divBdr>
        <w:top w:val="none" w:sz="0" w:space="0" w:color="auto"/>
        <w:left w:val="none" w:sz="0" w:space="0" w:color="auto"/>
        <w:bottom w:val="none" w:sz="0" w:space="0" w:color="auto"/>
        <w:right w:val="none" w:sz="0" w:space="0" w:color="auto"/>
      </w:divBdr>
    </w:div>
    <w:div w:id="2090615115">
      <w:bodyDiv w:val="1"/>
      <w:marLeft w:val="0"/>
      <w:marRight w:val="0"/>
      <w:marTop w:val="0"/>
      <w:marBottom w:val="0"/>
      <w:divBdr>
        <w:top w:val="none" w:sz="0" w:space="0" w:color="auto"/>
        <w:left w:val="none" w:sz="0" w:space="0" w:color="auto"/>
        <w:bottom w:val="none" w:sz="0" w:space="0" w:color="auto"/>
        <w:right w:val="none" w:sz="0" w:space="0" w:color="auto"/>
      </w:divBdr>
    </w:div>
    <w:div w:id="2101020205">
      <w:bodyDiv w:val="1"/>
      <w:marLeft w:val="0"/>
      <w:marRight w:val="0"/>
      <w:marTop w:val="0"/>
      <w:marBottom w:val="0"/>
      <w:divBdr>
        <w:top w:val="none" w:sz="0" w:space="0" w:color="auto"/>
        <w:left w:val="none" w:sz="0" w:space="0" w:color="auto"/>
        <w:bottom w:val="none" w:sz="0" w:space="0" w:color="auto"/>
        <w:right w:val="none" w:sz="0" w:space="0" w:color="auto"/>
      </w:divBdr>
    </w:div>
    <w:div w:id="2106147419">
      <w:bodyDiv w:val="1"/>
      <w:marLeft w:val="0"/>
      <w:marRight w:val="0"/>
      <w:marTop w:val="0"/>
      <w:marBottom w:val="0"/>
      <w:divBdr>
        <w:top w:val="none" w:sz="0" w:space="0" w:color="auto"/>
        <w:left w:val="none" w:sz="0" w:space="0" w:color="auto"/>
        <w:bottom w:val="none" w:sz="0" w:space="0" w:color="auto"/>
        <w:right w:val="none" w:sz="0" w:space="0" w:color="auto"/>
      </w:divBdr>
    </w:div>
    <w:div w:id="2107573510">
      <w:bodyDiv w:val="1"/>
      <w:marLeft w:val="0"/>
      <w:marRight w:val="0"/>
      <w:marTop w:val="0"/>
      <w:marBottom w:val="0"/>
      <w:divBdr>
        <w:top w:val="none" w:sz="0" w:space="0" w:color="auto"/>
        <w:left w:val="none" w:sz="0" w:space="0" w:color="auto"/>
        <w:bottom w:val="none" w:sz="0" w:space="0" w:color="auto"/>
        <w:right w:val="none" w:sz="0" w:space="0" w:color="auto"/>
      </w:divBdr>
    </w:div>
    <w:div w:id="2111313009">
      <w:bodyDiv w:val="1"/>
      <w:marLeft w:val="0"/>
      <w:marRight w:val="0"/>
      <w:marTop w:val="0"/>
      <w:marBottom w:val="0"/>
      <w:divBdr>
        <w:top w:val="none" w:sz="0" w:space="0" w:color="auto"/>
        <w:left w:val="none" w:sz="0" w:space="0" w:color="auto"/>
        <w:bottom w:val="none" w:sz="0" w:space="0" w:color="auto"/>
        <w:right w:val="none" w:sz="0" w:space="0" w:color="auto"/>
      </w:divBdr>
    </w:div>
    <w:div w:id="211170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2" ma:contentTypeDescription="Create a new document." ma:contentTypeScope="" ma:versionID="5f171af6e03a3f91d0b1078439520bd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111007cd0bbd5e2670a6f581aa97ce9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3A7F9C01-34D3-454A-B2CB-57EA4DC82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EF9F92-89E3-4A7C-ACF6-5E6FAD59E56E}">
  <ds:schemaRefs>
    <ds:schemaRef ds:uri="http://schemas.microsoft.com/sharepoint/v3/contenttype/forms"/>
  </ds:schemaRefs>
</ds:datastoreItem>
</file>

<file path=customXml/itemProps3.xml><?xml version="1.0" encoding="utf-8"?>
<ds:datastoreItem xmlns:ds="http://schemas.openxmlformats.org/officeDocument/2006/customXml" ds:itemID="{B562DC02-60AE-4F2F-B5C6-273EA5E3AD57}">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33039</TotalTime>
  <Pages>16</Pages>
  <Words>4890</Words>
  <Characters>27434</Characters>
  <Application>Microsoft Office Word</Application>
  <DocSecurity>0</DocSecurity>
  <Lines>481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Maisie Llewelyn-Davies (2304024)</cp:lastModifiedBy>
  <cp:revision>729</cp:revision>
  <dcterms:created xsi:type="dcterms:W3CDTF">2025-04-09T12:36:00Z</dcterms:created>
  <dcterms:modified xsi:type="dcterms:W3CDTF">2025-05-06T09:07:00Z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