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3BC0D" w14:textId="1C8BC073" w:rsidR="00A54D80" w:rsidRPr="00C7068F" w:rsidRDefault="00A54D80" w:rsidP="00D56E21">
      <w:pPr>
        <w:jc w:val="center"/>
        <w:rPr>
          <w:rFonts w:ascii="Arial" w:hAnsi="Arial" w:cs="Arial"/>
          <w:b/>
          <w:bCs/>
          <w:sz w:val="24"/>
          <w:szCs w:val="24"/>
          <w:u w:val="single"/>
        </w:rPr>
      </w:pPr>
      <w:r w:rsidRPr="00C7068F">
        <w:rPr>
          <w:rFonts w:ascii="Arial" w:hAnsi="Arial" w:cs="Arial"/>
          <w:b/>
          <w:bCs/>
          <w:sz w:val="24"/>
          <w:szCs w:val="24"/>
          <w:u w:val="single"/>
        </w:rPr>
        <w:t xml:space="preserve">Separation of </w:t>
      </w:r>
      <w:r w:rsidR="00150067">
        <w:rPr>
          <w:rFonts w:ascii="Arial" w:hAnsi="Arial" w:cs="Arial"/>
          <w:b/>
          <w:bCs/>
          <w:sz w:val="24"/>
          <w:szCs w:val="24"/>
          <w:u w:val="single"/>
        </w:rPr>
        <w:t>P</w:t>
      </w:r>
      <w:r w:rsidRPr="00C7068F">
        <w:rPr>
          <w:rFonts w:ascii="Arial" w:hAnsi="Arial" w:cs="Arial"/>
          <w:b/>
          <w:bCs/>
          <w:sz w:val="24"/>
          <w:szCs w:val="24"/>
          <w:u w:val="single"/>
        </w:rPr>
        <w:t>owers</w:t>
      </w:r>
    </w:p>
    <w:p w14:paraId="75A3ABA9" w14:textId="77777777" w:rsidR="004F6419" w:rsidRPr="00C7068F" w:rsidRDefault="004F6419" w:rsidP="008A5CF0">
      <w:pPr>
        <w:rPr>
          <w:rFonts w:ascii="Arial" w:hAnsi="Arial" w:cs="Arial"/>
          <w:sz w:val="24"/>
          <w:szCs w:val="24"/>
          <w:u w:val="single"/>
        </w:rPr>
      </w:pPr>
    </w:p>
    <w:p w14:paraId="1B9632E7" w14:textId="59CAA564" w:rsidR="002B3F82" w:rsidRPr="00C7068F" w:rsidRDefault="00A54D80" w:rsidP="008A5CF0">
      <w:pPr>
        <w:rPr>
          <w:rFonts w:ascii="Arial" w:hAnsi="Arial" w:cs="Arial"/>
          <w:b/>
          <w:bCs/>
          <w:sz w:val="24"/>
          <w:szCs w:val="24"/>
          <w:u w:val="single"/>
        </w:rPr>
      </w:pPr>
      <w:r w:rsidRPr="00C7068F">
        <w:rPr>
          <w:rFonts w:ascii="Arial" w:hAnsi="Arial" w:cs="Arial"/>
          <w:b/>
          <w:sz w:val="24"/>
          <w:szCs w:val="24"/>
          <w:u w:val="single"/>
        </w:rPr>
        <w:t xml:space="preserve">Part </w:t>
      </w:r>
      <w:r w:rsidR="00CE1144">
        <w:rPr>
          <w:rFonts w:ascii="Arial" w:hAnsi="Arial" w:cs="Arial"/>
          <w:b/>
          <w:sz w:val="24"/>
          <w:szCs w:val="24"/>
          <w:u w:val="single"/>
        </w:rPr>
        <w:t>O</w:t>
      </w:r>
      <w:r w:rsidRPr="00C7068F">
        <w:rPr>
          <w:rFonts w:ascii="Arial" w:hAnsi="Arial" w:cs="Arial"/>
          <w:b/>
          <w:sz w:val="24"/>
          <w:szCs w:val="24"/>
          <w:u w:val="single"/>
        </w:rPr>
        <w:t>ne</w:t>
      </w:r>
    </w:p>
    <w:p w14:paraId="76E1A80D" w14:textId="3AE1C4BE" w:rsidR="00412411" w:rsidRPr="003B62AB" w:rsidRDefault="00412411" w:rsidP="00E03880">
      <w:pPr>
        <w:rPr>
          <w:rFonts w:ascii="Arial" w:hAnsi="Arial" w:cs="Arial"/>
          <w:color w:val="000000" w:themeColor="text1"/>
          <w:sz w:val="24"/>
          <w:szCs w:val="24"/>
        </w:rPr>
      </w:pPr>
      <w:r>
        <w:rPr>
          <w:rFonts w:ascii="Arial" w:hAnsi="Arial" w:cs="Arial"/>
          <w:color w:val="000000" w:themeColor="text1"/>
          <w:sz w:val="24"/>
          <w:szCs w:val="24"/>
        </w:rPr>
        <w:t xml:space="preserve">The </w:t>
      </w:r>
      <w:r w:rsidR="00846BA2">
        <w:rPr>
          <w:rFonts w:ascii="Arial" w:hAnsi="Arial" w:cs="Arial"/>
          <w:color w:val="000000" w:themeColor="text1"/>
          <w:sz w:val="24"/>
          <w:szCs w:val="24"/>
        </w:rPr>
        <w:t>S</w:t>
      </w:r>
      <w:r>
        <w:rPr>
          <w:rFonts w:ascii="Arial" w:hAnsi="Arial" w:cs="Arial"/>
          <w:color w:val="000000" w:themeColor="text1"/>
          <w:sz w:val="24"/>
          <w:szCs w:val="24"/>
        </w:rPr>
        <w:t xml:space="preserve">eparation of </w:t>
      </w:r>
      <w:r w:rsidR="00846BA2">
        <w:rPr>
          <w:rFonts w:ascii="Arial" w:hAnsi="Arial" w:cs="Arial"/>
          <w:color w:val="000000" w:themeColor="text1"/>
          <w:sz w:val="24"/>
          <w:szCs w:val="24"/>
        </w:rPr>
        <w:t>P</w:t>
      </w:r>
      <w:r>
        <w:rPr>
          <w:rFonts w:ascii="Arial" w:hAnsi="Arial" w:cs="Arial"/>
          <w:color w:val="000000" w:themeColor="text1"/>
          <w:sz w:val="24"/>
          <w:szCs w:val="24"/>
        </w:rPr>
        <w:t xml:space="preserve">owers theory can be defined as a principle that includes the responsibilities of the government which are divided into three key branches which includes legislative, executive and judicial (Metelska-Szaniawska, 2020). </w:t>
      </w:r>
      <w:r w:rsidR="00B710E1">
        <w:rPr>
          <w:rFonts w:ascii="Arial" w:hAnsi="Arial" w:cs="Arial"/>
          <w:color w:val="000000" w:themeColor="text1"/>
          <w:sz w:val="24"/>
          <w:szCs w:val="24"/>
        </w:rPr>
        <w:t>It is also important to consider how these institutions fit into constitutional system and how they relate to one another (</w:t>
      </w:r>
      <w:r w:rsidR="003B62AB">
        <w:rPr>
          <w:rFonts w:ascii="Arial" w:hAnsi="Arial" w:cs="Arial"/>
          <w:color w:val="000000" w:themeColor="text1"/>
          <w:sz w:val="24"/>
          <w:szCs w:val="24"/>
        </w:rPr>
        <w:t>Elliot and Thomas, 2017).</w:t>
      </w:r>
    </w:p>
    <w:p w14:paraId="4D18FE5F" w14:textId="0DDF5B1A" w:rsidR="008A4409" w:rsidRDefault="0036129C" w:rsidP="00D41E10">
      <w:pPr>
        <w:rPr>
          <w:rFonts w:ascii="Arial" w:hAnsi="Arial" w:cs="Arial"/>
          <w:color w:val="000000" w:themeColor="text1"/>
          <w:sz w:val="24"/>
          <w:szCs w:val="24"/>
        </w:rPr>
      </w:pPr>
      <w:r w:rsidRPr="008A4409">
        <w:rPr>
          <w:rFonts w:ascii="Arial" w:hAnsi="Arial" w:cs="Arial"/>
          <w:sz w:val="24"/>
          <w:szCs w:val="24"/>
        </w:rPr>
        <w:t>Separation of</w:t>
      </w:r>
      <w:r w:rsidRPr="00B710E1">
        <w:rPr>
          <w:rFonts w:ascii="Arial" w:hAnsi="Arial" w:cs="Arial"/>
          <w:sz w:val="24"/>
          <w:szCs w:val="24"/>
        </w:rPr>
        <w:t xml:space="preserve"> </w:t>
      </w:r>
      <w:r w:rsidR="008A4409">
        <w:rPr>
          <w:rFonts w:ascii="Arial" w:hAnsi="Arial" w:cs="Arial"/>
          <w:sz w:val="24"/>
          <w:szCs w:val="24"/>
        </w:rPr>
        <w:t>P</w:t>
      </w:r>
      <w:r w:rsidRPr="00B710E1">
        <w:rPr>
          <w:rFonts w:ascii="Arial" w:hAnsi="Arial" w:cs="Arial"/>
          <w:sz w:val="24"/>
          <w:szCs w:val="24"/>
        </w:rPr>
        <w:t>ower</w:t>
      </w:r>
      <w:r w:rsidR="008A4409">
        <w:rPr>
          <w:rFonts w:ascii="Arial" w:hAnsi="Arial" w:cs="Arial"/>
          <w:sz w:val="24"/>
          <w:szCs w:val="24"/>
        </w:rPr>
        <w:t>s</w:t>
      </w:r>
      <w:r w:rsidRPr="00B710E1">
        <w:rPr>
          <w:rFonts w:ascii="Arial" w:hAnsi="Arial" w:cs="Arial"/>
          <w:sz w:val="24"/>
          <w:szCs w:val="24"/>
        </w:rPr>
        <w:t xml:space="preserve"> </w:t>
      </w:r>
      <w:r w:rsidR="008A4409">
        <w:rPr>
          <w:rFonts w:ascii="Arial" w:hAnsi="Arial" w:cs="Arial"/>
          <w:sz w:val="24"/>
          <w:szCs w:val="24"/>
        </w:rPr>
        <w:t>demonstrate</w:t>
      </w:r>
      <w:r w:rsidRPr="00B710E1">
        <w:rPr>
          <w:rFonts w:ascii="Arial" w:hAnsi="Arial" w:cs="Arial"/>
          <w:sz w:val="24"/>
          <w:szCs w:val="24"/>
        </w:rPr>
        <w:t xml:space="preserve"> that one branch exercis</w:t>
      </w:r>
      <w:r w:rsidR="008A4409">
        <w:rPr>
          <w:rFonts w:ascii="Arial" w:hAnsi="Arial" w:cs="Arial"/>
          <w:sz w:val="24"/>
          <w:szCs w:val="24"/>
        </w:rPr>
        <w:t>es</w:t>
      </w:r>
      <w:r w:rsidRPr="00B710E1">
        <w:rPr>
          <w:rFonts w:ascii="Arial" w:hAnsi="Arial" w:cs="Arial"/>
          <w:sz w:val="24"/>
          <w:szCs w:val="24"/>
        </w:rPr>
        <w:t xml:space="preserve"> the core functions of another. </w:t>
      </w:r>
      <w:r w:rsidR="008A4409">
        <w:rPr>
          <w:rFonts w:ascii="Arial" w:hAnsi="Arial" w:cs="Arial"/>
          <w:sz w:val="24"/>
          <w:szCs w:val="24"/>
        </w:rPr>
        <w:t>The United Kingdom’s (</w:t>
      </w:r>
      <w:r w:rsidRPr="00B710E1">
        <w:rPr>
          <w:rFonts w:ascii="Arial" w:hAnsi="Arial" w:cs="Arial"/>
          <w:sz w:val="24"/>
          <w:szCs w:val="24"/>
        </w:rPr>
        <w:t>UK</w:t>
      </w:r>
      <w:r w:rsidR="008A4409">
        <w:rPr>
          <w:rFonts w:ascii="Arial" w:hAnsi="Arial" w:cs="Arial"/>
          <w:sz w:val="24"/>
          <w:szCs w:val="24"/>
        </w:rPr>
        <w:t>)</w:t>
      </w:r>
      <w:r w:rsidRPr="00B710E1">
        <w:rPr>
          <w:rFonts w:ascii="Arial" w:hAnsi="Arial" w:cs="Arial"/>
          <w:sz w:val="24"/>
          <w:szCs w:val="24"/>
        </w:rPr>
        <w:t xml:space="preserve"> concept of separation that power</w:t>
      </w:r>
      <w:r w:rsidR="008A4409">
        <w:rPr>
          <w:rFonts w:ascii="Arial" w:hAnsi="Arial" w:cs="Arial"/>
          <w:sz w:val="24"/>
          <w:szCs w:val="24"/>
        </w:rPr>
        <w:t>s</w:t>
      </w:r>
      <w:r w:rsidRPr="00B710E1">
        <w:rPr>
          <w:rFonts w:ascii="Arial" w:hAnsi="Arial" w:cs="Arial"/>
          <w:sz w:val="24"/>
          <w:szCs w:val="24"/>
        </w:rPr>
        <w:t xml:space="preserve"> </w:t>
      </w:r>
      <w:r w:rsidR="008A4409" w:rsidRPr="00B710E1">
        <w:rPr>
          <w:rFonts w:ascii="Arial" w:hAnsi="Arial" w:cs="Arial"/>
          <w:sz w:val="24"/>
          <w:szCs w:val="24"/>
        </w:rPr>
        <w:t>are</w:t>
      </w:r>
      <w:r w:rsidRPr="00B710E1">
        <w:rPr>
          <w:rFonts w:ascii="Arial" w:hAnsi="Arial" w:cs="Arial"/>
          <w:sz w:val="24"/>
          <w:szCs w:val="24"/>
        </w:rPr>
        <w:t xml:space="preserve"> parliament, executive and courts. </w:t>
      </w:r>
      <w:r w:rsidR="008A4409">
        <w:rPr>
          <w:rFonts w:ascii="Arial" w:hAnsi="Arial" w:cs="Arial"/>
          <w:sz w:val="24"/>
          <w:szCs w:val="24"/>
        </w:rPr>
        <w:t xml:space="preserve">Both </w:t>
      </w:r>
      <w:r w:rsidRPr="00B710E1">
        <w:rPr>
          <w:rFonts w:ascii="Arial" w:hAnsi="Arial" w:cs="Arial"/>
          <w:sz w:val="24"/>
          <w:szCs w:val="24"/>
        </w:rPr>
        <w:t xml:space="preserve">separate and independent powers and </w:t>
      </w:r>
      <w:r w:rsidR="008A4409">
        <w:rPr>
          <w:rFonts w:ascii="Arial" w:hAnsi="Arial" w:cs="Arial"/>
          <w:sz w:val="24"/>
          <w:szCs w:val="24"/>
        </w:rPr>
        <w:t xml:space="preserve">the </w:t>
      </w:r>
      <w:r w:rsidRPr="00B710E1">
        <w:rPr>
          <w:rFonts w:ascii="Arial" w:hAnsi="Arial" w:cs="Arial"/>
          <w:sz w:val="24"/>
          <w:szCs w:val="24"/>
        </w:rPr>
        <w:t xml:space="preserve">branches </w:t>
      </w:r>
      <w:r w:rsidR="008A4409">
        <w:rPr>
          <w:rFonts w:ascii="Arial" w:hAnsi="Arial" w:cs="Arial"/>
          <w:sz w:val="24"/>
          <w:szCs w:val="24"/>
        </w:rPr>
        <w:t>are</w:t>
      </w:r>
      <w:r w:rsidRPr="00B710E1">
        <w:rPr>
          <w:rFonts w:ascii="Arial" w:hAnsi="Arial" w:cs="Arial"/>
          <w:sz w:val="24"/>
          <w:szCs w:val="24"/>
        </w:rPr>
        <w:t xml:space="preserve"> more powerful than</w:t>
      </w:r>
      <w:r w:rsidR="008A4409">
        <w:rPr>
          <w:rFonts w:ascii="Arial" w:hAnsi="Arial" w:cs="Arial"/>
          <w:sz w:val="24"/>
          <w:szCs w:val="24"/>
        </w:rPr>
        <w:t xml:space="preserve"> one</w:t>
      </w:r>
      <w:r w:rsidRPr="00B710E1">
        <w:rPr>
          <w:rFonts w:ascii="Arial" w:hAnsi="Arial" w:cs="Arial"/>
          <w:sz w:val="24"/>
          <w:szCs w:val="24"/>
        </w:rPr>
        <w:t xml:space="preserve"> another. </w:t>
      </w:r>
      <w:r w:rsidR="008A4409">
        <w:rPr>
          <w:rFonts w:ascii="Arial" w:hAnsi="Arial" w:cs="Arial"/>
          <w:sz w:val="24"/>
          <w:szCs w:val="24"/>
        </w:rPr>
        <w:t>In comparison to the UK the United States of America (USA)</w:t>
      </w:r>
      <w:r w:rsidRPr="00B710E1">
        <w:rPr>
          <w:rFonts w:ascii="Arial" w:hAnsi="Arial" w:cs="Arial"/>
          <w:sz w:val="24"/>
          <w:szCs w:val="24"/>
        </w:rPr>
        <w:t>, article I of USA</w:t>
      </w:r>
      <w:r w:rsidR="008A4409">
        <w:rPr>
          <w:rFonts w:ascii="Arial" w:hAnsi="Arial" w:cs="Arial"/>
          <w:sz w:val="24"/>
          <w:szCs w:val="24"/>
        </w:rPr>
        <w:t xml:space="preserve"> within the federal government,</w:t>
      </w:r>
      <w:r w:rsidRPr="00B710E1">
        <w:rPr>
          <w:rFonts w:ascii="Arial" w:hAnsi="Arial" w:cs="Arial"/>
          <w:sz w:val="24"/>
          <w:szCs w:val="24"/>
        </w:rPr>
        <w:t xml:space="preserve"> the legislative branch consists of congress and also is responsible of creating law. Congress can however provide agencies with regular guideline</w:t>
      </w:r>
      <w:r w:rsidR="008A4409">
        <w:rPr>
          <w:rFonts w:ascii="Arial" w:hAnsi="Arial" w:cs="Arial"/>
          <w:sz w:val="24"/>
          <w:szCs w:val="24"/>
        </w:rPr>
        <w:t>s</w:t>
      </w:r>
      <w:r w:rsidRPr="00B710E1">
        <w:rPr>
          <w:rFonts w:ascii="Arial" w:hAnsi="Arial" w:cs="Arial"/>
          <w:sz w:val="24"/>
          <w:szCs w:val="24"/>
        </w:rPr>
        <w:t xml:space="preserve"> to base their regulation</w:t>
      </w:r>
      <w:r w:rsidR="008A4409">
        <w:rPr>
          <w:rFonts w:ascii="Arial" w:hAnsi="Arial" w:cs="Arial"/>
          <w:sz w:val="24"/>
          <w:szCs w:val="24"/>
        </w:rPr>
        <w:t>s</w:t>
      </w:r>
      <w:r w:rsidRPr="00B710E1">
        <w:rPr>
          <w:rFonts w:ascii="Arial" w:hAnsi="Arial" w:cs="Arial"/>
          <w:sz w:val="24"/>
          <w:szCs w:val="24"/>
        </w:rPr>
        <w:t xml:space="preserve"> for more information and </w:t>
      </w:r>
      <w:r w:rsidR="008A4409">
        <w:rPr>
          <w:rFonts w:ascii="Arial" w:hAnsi="Arial" w:cs="Arial"/>
          <w:sz w:val="24"/>
          <w:szCs w:val="24"/>
        </w:rPr>
        <w:t xml:space="preserve">the </w:t>
      </w:r>
      <w:r w:rsidRPr="00B710E1">
        <w:rPr>
          <w:rFonts w:ascii="Arial" w:hAnsi="Arial" w:cs="Arial"/>
          <w:sz w:val="24"/>
          <w:szCs w:val="24"/>
        </w:rPr>
        <w:t>legislation branch refers to congress</w:t>
      </w:r>
      <w:r w:rsidR="00A77ACC" w:rsidRPr="00B710E1">
        <w:rPr>
          <w:rFonts w:ascii="Arial" w:hAnsi="Arial" w:cs="Arial"/>
          <w:sz w:val="24"/>
          <w:szCs w:val="24"/>
        </w:rPr>
        <w:t xml:space="preserve"> (Gay, 2011).</w:t>
      </w:r>
      <w:r w:rsidR="008A4409">
        <w:rPr>
          <w:rFonts w:ascii="Arial" w:hAnsi="Arial" w:cs="Arial"/>
          <w:sz w:val="24"/>
          <w:szCs w:val="24"/>
        </w:rPr>
        <w:t xml:space="preserve"> The role of the legislative branch is to represent the view of the people and to review policies and procedures as an aspect of legislation. The legislative body also demonstrates the UK Parliament. These parliaments also seek to hold the executive to account (</w:t>
      </w:r>
      <w:r w:rsidR="003B62AB">
        <w:rPr>
          <w:rFonts w:ascii="Arial" w:hAnsi="Arial" w:cs="Arial"/>
          <w:color w:val="000000" w:themeColor="text1"/>
          <w:sz w:val="24"/>
          <w:szCs w:val="24"/>
        </w:rPr>
        <w:t xml:space="preserve">Elliot and Thomas, 2017). </w:t>
      </w:r>
    </w:p>
    <w:p w14:paraId="4CB6A406" w14:textId="7848F350" w:rsidR="008C12B9" w:rsidRPr="003B62AB" w:rsidRDefault="008C12B9" w:rsidP="00D41E10">
      <w:pPr>
        <w:rPr>
          <w:rFonts w:ascii="Arial" w:hAnsi="Arial" w:cs="Arial"/>
          <w:color w:val="000000" w:themeColor="text1"/>
          <w:sz w:val="24"/>
          <w:szCs w:val="24"/>
        </w:rPr>
      </w:pPr>
      <w:r>
        <w:rPr>
          <w:rFonts w:ascii="Arial" w:hAnsi="Arial" w:cs="Arial"/>
          <w:color w:val="000000" w:themeColor="text1"/>
          <w:sz w:val="24"/>
          <w:szCs w:val="24"/>
        </w:rPr>
        <w:t>In the USA and other presidential system, a strict separation is a fundamental principle. However, within the UK and other common law jurisdiction the theory of separation has much less prominence. In the UK the major offices have been developed to achieve the balance between both the crown courts and parliamen</w:t>
      </w:r>
      <w:r w:rsidR="007B0508">
        <w:rPr>
          <w:rFonts w:ascii="Arial" w:hAnsi="Arial" w:cs="Arial"/>
          <w:color w:val="000000" w:themeColor="text1"/>
          <w:sz w:val="24"/>
          <w:szCs w:val="24"/>
        </w:rPr>
        <w:t xml:space="preserve">t. </w:t>
      </w:r>
      <w:r w:rsidR="00723155">
        <w:rPr>
          <w:rFonts w:ascii="Arial" w:hAnsi="Arial" w:cs="Arial"/>
          <w:color w:val="000000" w:themeColor="text1"/>
          <w:sz w:val="24"/>
          <w:szCs w:val="24"/>
        </w:rPr>
        <w:t>These systems</w:t>
      </w:r>
      <w:r w:rsidR="007B0508">
        <w:rPr>
          <w:rFonts w:ascii="Arial" w:hAnsi="Arial" w:cs="Arial"/>
          <w:color w:val="000000" w:themeColor="text1"/>
          <w:sz w:val="24"/>
          <w:szCs w:val="24"/>
        </w:rPr>
        <w:t xml:space="preserve"> resemble a balance of power which is more than a formal separation of the three branches (Elliot and Thomas, 2017).</w:t>
      </w:r>
    </w:p>
    <w:p w14:paraId="1ABB4D34" w14:textId="630D7D50" w:rsidR="003820F5" w:rsidRDefault="003820F5" w:rsidP="003820F5">
      <w:pPr>
        <w:rPr>
          <w:rFonts w:ascii="Arial" w:hAnsi="Arial" w:cs="Arial"/>
          <w:sz w:val="24"/>
          <w:szCs w:val="24"/>
        </w:rPr>
      </w:pPr>
      <w:r>
        <w:rPr>
          <w:rFonts w:ascii="Arial" w:hAnsi="Arial" w:cs="Arial"/>
          <w:sz w:val="24"/>
          <w:szCs w:val="24"/>
        </w:rPr>
        <w:t xml:space="preserve">England and Wales have a Separation of Powers, in which represent clearly overlaps within terms of personnel and function. The UK’s concept includes that parliament, executive and courts each have their own functions and should therefore utilise their powers accordingly. It is known that the Monarchy is used to influence over the government and the doctrine figure which is symbolic is recognised as the Montesquieu vision (UK Law, 2021). </w:t>
      </w:r>
      <w:r w:rsidR="008434EC">
        <w:rPr>
          <w:rFonts w:ascii="Arial" w:hAnsi="Arial" w:cs="Arial"/>
          <w:sz w:val="24"/>
          <w:szCs w:val="24"/>
        </w:rPr>
        <w:t xml:space="preserve">The French writer wrote in 1748 that there was always going to be an end to everything if all three branches were dictated by the same body </w:t>
      </w:r>
      <w:r w:rsidR="00950B09">
        <w:rPr>
          <w:rFonts w:ascii="Arial" w:hAnsi="Arial" w:cs="Arial"/>
          <w:color w:val="000000" w:themeColor="text1"/>
          <w:sz w:val="24"/>
          <w:szCs w:val="24"/>
        </w:rPr>
        <w:t>(Bok, 20</w:t>
      </w:r>
      <w:r w:rsidR="004E6AA1">
        <w:rPr>
          <w:rFonts w:ascii="Arial" w:hAnsi="Arial" w:cs="Arial"/>
          <w:color w:val="000000" w:themeColor="text1"/>
          <w:sz w:val="24"/>
          <w:szCs w:val="24"/>
        </w:rPr>
        <w:t>18</w:t>
      </w:r>
      <w:r w:rsidR="00950B09">
        <w:rPr>
          <w:rFonts w:ascii="Arial" w:hAnsi="Arial" w:cs="Arial"/>
          <w:color w:val="000000" w:themeColor="text1"/>
          <w:sz w:val="24"/>
          <w:szCs w:val="24"/>
        </w:rPr>
        <w:t>).</w:t>
      </w:r>
      <w:r w:rsidR="008434EC">
        <w:rPr>
          <w:rFonts w:ascii="Arial" w:hAnsi="Arial" w:cs="Arial"/>
          <w:sz w:val="24"/>
          <w:szCs w:val="24"/>
        </w:rPr>
        <w:t xml:space="preserve"> </w:t>
      </w:r>
      <w:r w:rsidR="003B62AB">
        <w:rPr>
          <w:rFonts w:ascii="Arial" w:hAnsi="Arial" w:cs="Arial"/>
          <w:sz w:val="24"/>
          <w:szCs w:val="24"/>
        </w:rPr>
        <w:t>The executive is responsible for making and implementing public policy often referred to colloquia</w:t>
      </w:r>
      <w:r w:rsidR="008C12B9">
        <w:rPr>
          <w:rFonts w:ascii="Arial" w:hAnsi="Arial" w:cs="Arial"/>
          <w:sz w:val="24"/>
          <w:szCs w:val="24"/>
        </w:rPr>
        <w:t>l</w:t>
      </w:r>
      <w:r w:rsidR="003B62AB">
        <w:rPr>
          <w:rFonts w:ascii="Arial" w:hAnsi="Arial" w:cs="Arial"/>
          <w:sz w:val="24"/>
          <w:szCs w:val="24"/>
        </w:rPr>
        <w:t>ly simple as the government, which is what is known as the multi-layers of constitution (Elliot and Thomas, 2017).</w:t>
      </w:r>
    </w:p>
    <w:p w14:paraId="31D485FC" w14:textId="7264535F" w:rsidR="00D41E10" w:rsidRPr="00C7068F" w:rsidRDefault="00D41E10" w:rsidP="00D41E10">
      <w:pPr>
        <w:rPr>
          <w:rFonts w:ascii="Arial" w:hAnsi="Arial" w:cs="Arial"/>
          <w:sz w:val="24"/>
          <w:szCs w:val="24"/>
        </w:rPr>
      </w:pPr>
      <w:r w:rsidRPr="00C7068F">
        <w:rPr>
          <w:rFonts w:ascii="Arial" w:hAnsi="Arial" w:cs="Arial"/>
          <w:sz w:val="24"/>
          <w:szCs w:val="24"/>
        </w:rPr>
        <w:t xml:space="preserve">The article of Benwell and Gay 2011, explains that democrats must be sure that public and official bodies must perform potential, providing money in public. </w:t>
      </w:r>
      <w:r w:rsidR="003B62AB">
        <w:rPr>
          <w:rFonts w:ascii="Arial" w:hAnsi="Arial" w:cs="Arial"/>
          <w:sz w:val="24"/>
          <w:szCs w:val="24"/>
        </w:rPr>
        <w:t xml:space="preserve">The authors of this article identified the separation of power is intended to guard against tyranny </w:t>
      </w:r>
      <w:r w:rsidR="008C12B9">
        <w:rPr>
          <w:rFonts w:ascii="Arial" w:hAnsi="Arial" w:cs="Arial"/>
          <w:sz w:val="24"/>
          <w:szCs w:val="24"/>
        </w:rPr>
        <w:t xml:space="preserve">and preserve the liberty (Elliot and Thomas, 2017). </w:t>
      </w:r>
      <w:r w:rsidR="003B62AB">
        <w:rPr>
          <w:rFonts w:ascii="Arial" w:hAnsi="Arial" w:cs="Arial"/>
          <w:sz w:val="24"/>
          <w:szCs w:val="24"/>
        </w:rPr>
        <w:t xml:space="preserve"> </w:t>
      </w:r>
      <w:r w:rsidRPr="00C7068F">
        <w:rPr>
          <w:rFonts w:ascii="Arial" w:hAnsi="Arial" w:cs="Arial"/>
          <w:sz w:val="24"/>
          <w:szCs w:val="24"/>
        </w:rPr>
        <w:t>The object of article is to explain and compare functioning of parliament and democracy. UK is the biggest and oldest parliament democracy. This article shows law in practice situation and control in different way without jeopardi</w:t>
      </w:r>
      <w:r w:rsidR="00447416">
        <w:rPr>
          <w:rFonts w:ascii="Arial" w:hAnsi="Arial" w:cs="Arial"/>
          <w:sz w:val="24"/>
          <w:szCs w:val="24"/>
        </w:rPr>
        <w:t>s</w:t>
      </w:r>
      <w:r w:rsidRPr="00C7068F">
        <w:rPr>
          <w:rFonts w:ascii="Arial" w:hAnsi="Arial" w:cs="Arial"/>
          <w:sz w:val="24"/>
          <w:szCs w:val="24"/>
        </w:rPr>
        <w:t xml:space="preserve">ing of concept of separation of power. </w:t>
      </w:r>
      <w:r w:rsidRPr="00C7068F">
        <w:rPr>
          <w:rFonts w:ascii="Arial" w:hAnsi="Arial" w:cs="Arial"/>
          <w:sz w:val="24"/>
          <w:szCs w:val="24"/>
        </w:rPr>
        <w:lastRenderedPageBreak/>
        <w:t>Constitution says it was established in the US in three separate but equal branches of government. These three branches are legislative branches, executive branch and judicial branch. It is very important these features protect human rights and allow to process the action of executive and the legislation challenged in court and very important in rule of law (Benwell and Gay, 2011).</w:t>
      </w:r>
    </w:p>
    <w:p w14:paraId="0E144CC8" w14:textId="16CBB321" w:rsidR="00C0710F" w:rsidRPr="00C7068F" w:rsidRDefault="008D1025" w:rsidP="00C0710F">
      <w:pPr>
        <w:rPr>
          <w:rFonts w:ascii="Arial" w:hAnsi="Arial" w:cs="Arial"/>
          <w:sz w:val="24"/>
          <w:szCs w:val="24"/>
        </w:rPr>
      </w:pPr>
      <w:r w:rsidRPr="00C7068F">
        <w:rPr>
          <w:rFonts w:ascii="Arial" w:hAnsi="Arial" w:cs="Arial"/>
          <w:sz w:val="24"/>
          <w:szCs w:val="24"/>
        </w:rPr>
        <w:t>Each group should work in specific areas to keep check on the action of others.</w:t>
      </w:r>
      <w:r w:rsidR="00525961" w:rsidRPr="00C7068F">
        <w:rPr>
          <w:rFonts w:ascii="Arial" w:hAnsi="Arial" w:cs="Arial"/>
          <w:sz w:val="24"/>
          <w:szCs w:val="24"/>
        </w:rPr>
        <w:t xml:space="preserve"> However, the jurisdiction of</w:t>
      </w:r>
      <w:r w:rsidRPr="00C7068F">
        <w:rPr>
          <w:rFonts w:ascii="Arial" w:hAnsi="Arial" w:cs="Arial"/>
          <w:sz w:val="24"/>
          <w:szCs w:val="24"/>
        </w:rPr>
        <w:t xml:space="preserve"> Australia does not have separation of power because </w:t>
      </w:r>
      <w:r w:rsidR="00525961" w:rsidRPr="00C7068F">
        <w:rPr>
          <w:rFonts w:ascii="Arial" w:hAnsi="Arial" w:cs="Arial"/>
          <w:sz w:val="24"/>
          <w:szCs w:val="24"/>
        </w:rPr>
        <w:t>some roles within</w:t>
      </w:r>
      <w:r w:rsidRPr="00C7068F">
        <w:rPr>
          <w:rFonts w:ascii="Arial" w:hAnsi="Arial" w:cs="Arial"/>
          <w:sz w:val="24"/>
          <w:szCs w:val="24"/>
        </w:rPr>
        <w:t xml:space="preserve"> parliament</w:t>
      </w:r>
      <w:r w:rsidR="00525961" w:rsidRPr="00C7068F">
        <w:rPr>
          <w:rFonts w:ascii="Arial" w:hAnsi="Arial" w:cs="Arial"/>
          <w:sz w:val="24"/>
          <w:szCs w:val="24"/>
        </w:rPr>
        <w:t>,</w:t>
      </w:r>
      <w:r w:rsidRPr="00C7068F">
        <w:rPr>
          <w:rFonts w:ascii="Arial" w:hAnsi="Arial" w:cs="Arial"/>
          <w:sz w:val="24"/>
          <w:szCs w:val="24"/>
        </w:rPr>
        <w:t xml:space="preserve"> the executive and the judiciary overlap</w:t>
      </w:r>
      <w:r w:rsidR="00742A6B" w:rsidRPr="00C7068F">
        <w:rPr>
          <w:rFonts w:ascii="Arial" w:hAnsi="Arial" w:cs="Arial"/>
          <w:sz w:val="24"/>
          <w:szCs w:val="24"/>
        </w:rPr>
        <w:t xml:space="preserve"> (PEO, 2020). </w:t>
      </w:r>
      <w:r w:rsidR="00C0710F" w:rsidRPr="00C7068F">
        <w:rPr>
          <w:rFonts w:ascii="Arial" w:hAnsi="Arial" w:cs="Arial"/>
          <w:sz w:val="24"/>
          <w:szCs w:val="24"/>
        </w:rPr>
        <w:t>A citizen of the US or Iran should have no difficulty understanding what “the constitution” is. He can point to a physical document, which, in the case of the United States, is on display in the National Archives. British citizen on the other hand, has no single handy document to refer to. This does not mean that there is no UK constitution, instead it is described as being “unwritten” (Iran Online, 2021).</w:t>
      </w:r>
    </w:p>
    <w:p w14:paraId="4ED7C449" w14:textId="29C3E53A" w:rsidR="00525961" w:rsidRDefault="00CC1F7A" w:rsidP="00CD7341">
      <w:pPr>
        <w:rPr>
          <w:rFonts w:ascii="Arial" w:hAnsi="Arial" w:cs="Arial"/>
          <w:bCs/>
          <w:color w:val="0E101A"/>
          <w:sz w:val="24"/>
          <w:szCs w:val="24"/>
        </w:rPr>
      </w:pPr>
      <w:r w:rsidRPr="00C7068F">
        <w:rPr>
          <w:rFonts w:ascii="Arial" w:hAnsi="Arial" w:cs="Arial"/>
          <w:color w:val="0E101A"/>
          <w:sz w:val="24"/>
          <w:szCs w:val="24"/>
        </w:rPr>
        <w:t xml:space="preserve">John Locke (1690), defined separation of power within his book, “Two Treatises”, arguing that there must be a separation of power between different governments. Locke argues that the government should simply concentrate </w:t>
      </w:r>
      <w:r w:rsidR="009C144A" w:rsidRPr="00C7068F">
        <w:rPr>
          <w:rFonts w:ascii="Arial" w:hAnsi="Arial" w:cs="Arial"/>
          <w:color w:val="0E101A"/>
          <w:sz w:val="24"/>
          <w:szCs w:val="24"/>
        </w:rPr>
        <w:t>upon the hands of one person or one body as</w:t>
      </w:r>
      <w:r w:rsidRPr="00C7068F">
        <w:rPr>
          <w:rFonts w:ascii="Arial" w:hAnsi="Arial" w:cs="Arial"/>
          <w:color w:val="0E101A"/>
          <w:sz w:val="24"/>
          <w:szCs w:val="24"/>
        </w:rPr>
        <w:t xml:space="preserve"> </w:t>
      </w:r>
      <w:r w:rsidR="009C144A" w:rsidRPr="00C7068F">
        <w:rPr>
          <w:rFonts w:ascii="Arial" w:hAnsi="Arial" w:cs="Arial"/>
          <w:color w:val="0E101A"/>
          <w:sz w:val="24"/>
          <w:szCs w:val="24"/>
        </w:rPr>
        <w:t xml:space="preserve">there is </w:t>
      </w:r>
      <w:r w:rsidR="003855BF" w:rsidRPr="00C7068F">
        <w:rPr>
          <w:rFonts w:ascii="Arial" w:hAnsi="Arial" w:cs="Arial"/>
          <w:bCs/>
          <w:color w:val="0E101A"/>
          <w:sz w:val="24"/>
          <w:szCs w:val="24"/>
        </w:rPr>
        <w:t xml:space="preserve">fear that </w:t>
      </w:r>
      <w:r w:rsidR="009C144A" w:rsidRPr="00C7068F">
        <w:rPr>
          <w:rFonts w:ascii="Arial" w:hAnsi="Arial" w:cs="Arial"/>
          <w:bCs/>
          <w:color w:val="0E101A"/>
          <w:sz w:val="24"/>
          <w:szCs w:val="24"/>
        </w:rPr>
        <w:t>the domination</w:t>
      </w:r>
      <w:r w:rsidR="003855BF" w:rsidRPr="00C7068F">
        <w:rPr>
          <w:rFonts w:ascii="Arial" w:hAnsi="Arial" w:cs="Arial"/>
          <w:bCs/>
          <w:color w:val="0E101A"/>
          <w:sz w:val="24"/>
          <w:szCs w:val="24"/>
        </w:rPr>
        <w:t xml:space="preserve"> would be the result</w:t>
      </w:r>
      <w:r w:rsidR="009C144A" w:rsidRPr="00C7068F">
        <w:rPr>
          <w:rFonts w:ascii="Arial" w:hAnsi="Arial" w:cs="Arial"/>
          <w:bCs/>
          <w:color w:val="0E101A"/>
          <w:sz w:val="24"/>
          <w:szCs w:val="24"/>
        </w:rPr>
        <w:t xml:space="preserve"> (Poole, 2017).</w:t>
      </w:r>
      <w:r w:rsidR="001E2EC6" w:rsidRPr="00C7068F">
        <w:rPr>
          <w:rFonts w:ascii="Arial" w:hAnsi="Arial" w:cs="Arial"/>
          <w:bCs/>
          <w:color w:val="0E101A"/>
          <w:sz w:val="24"/>
          <w:szCs w:val="24"/>
        </w:rPr>
        <w:t xml:space="preserve"> </w:t>
      </w:r>
    </w:p>
    <w:p w14:paraId="5B3DBB29" w14:textId="4DC93D73" w:rsidR="006C0CFA" w:rsidRPr="005E18F9" w:rsidRDefault="006C0CFA" w:rsidP="00CD7341">
      <w:pPr>
        <w:rPr>
          <w:rFonts w:ascii="Arial" w:hAnsi="Arial" w:cs="Arial"/>
          <w:color w:val="000000" w:themeColor="text1"/>
          <w:sz w:val="24"/>
          <w:szCs w:val="24"/>
        </w:rPr>
      </w:pPr>
      <w:r>
        <w:rPr>
          <w:rFonts w:ascii="Arial" w:hAnsi="Arial" w:cs="Arial"/>
          <w:sz w:val="24"/>
          <w:szCs w:val="24"/>
        </w:rPr>
        <w:t>Below demonstrates the theory of the separation of powers, this identifies the fact that government mini</w:t>
      </w:r>
      <w:r w:rsidR="005E18F9">
        <w:rPr>
          <w:rFonts w:ascii="Arial" w:hAnsi="Arial" w:cs="Arial"/>
          <w:sz w:val="24"/>
          <w:szCs w:val="24"/>
        </w:rPr>
        <w:t>sters can also occupy as the MPs which could negatively influence parliaments independence (</w:t>
      </w:r>
      <w:r w:rsidR="00963299">
        <w:rPr>
          <w:rFonts w:ascii="Arial" w:hAnsi="Arial" w:cs="Arial"/>
          <w:color w:val="000000" w:themeColor="text1"/>
          <w:sz w:val="24"/>
          <w:szCs w:val="24"/>
        </w:rPr>
        <w:t xml:space="preserve">Prince, </w:t>
      </w:r>
      <w:r w:rsidR="009554A7">
        <w:rPr>
          <w:rFonts w:ascii="Arial" w:hAnsi="Arial" w:cs="Arial"/>
          <w:color w:val="000000" w:themeColor="text1"/>
          <w:sz w:val="24"/>
          <w:szCs w:val="24"/>
        </w:rPr>
        <w:t>2015).</w:t>
      </w:r>
      <w:r w:rsidR="005E18F9">
        <w:rPr>
          <w:rFonts w:ascii="Arial" w:hAnsi="Arial" w:cs="Arial"/>
          <w:color w:val="FF0000"/>
          <w:sz w:val="24"/>
          <w:szCs w:val="24"/>
        </w:rPr>
        <w:t xml:space="preserve"> </w:t>
      </w:r>
      <w:r w:rsidR="005E18F9">
        <w:rPr>
          <w:rFonts w:ascii="Arial" w:hAnsi="Arial" w:cs="Arial"/>
          <w:color w:val="000000" w:themeColor="text1"/>
          <w:sz w:val="24"/>
          <w:szCs w:val="24"/>
        </w:rPr>
        <w:t>The UK prohibits the categories of those individuals enrolling in parliaments by being a part of the house of commons. They also inhibit any holders to hold any judicial offices which can also be implemented in services of the crown court.</w:t>
      </w:r>
      <w:r w:rsidR="00FD276A">
        <w:rPr>
          <w:rFonts w:ascii="Arial" w:hAnsi="Arial" w:cs="Arial"/>
          <w:color w:val="000000" w:themeColor="text1"/>
          <w:sz w:val="24"/>
          <w:szCs w:val="24"/>
        </w:rPr>
        <w:t xml:space="preserve"> These individuals are representatives of legislature of any country or territory without the commonwealth. The process and </w:t>
      </w:r>
      <w:r w:rsidR="003E1A4D">
        <w:rPr>
          <w:rFonts w:ascii="Arial" w:hAnsi="Arial" w:cs="Arial"/>
          <w:color w:val="000000" w:themeColor="text1"/>
          <w:sz w:val="24"/>
          <w:szCs w:val="24"/>
        </w:rPr>
        <w:t>institution</w:t>
      </w:r>
      <w:r w:rsidR="00FD276A">
        <w:rPr>
          <w:rFonts w:ascii="Arial" w:hAnsi="Arial" w:cs="Arial"/>
          <w:color w:val="000000" w:themeColor="text1"/>
          <w:sz w:val="24"/>
          <w:szCs w:val="24"/>
        </w:rPr>
        <w:t xml:space="preserve"> of judiciary is one out of three </w:t>
      </w:r>
      <w:r w:rsidR="003E1A4D">
        <w:rPr>
          <w:rFonts w:ascii="Arial" w:hAnsi="Arial" w:cs="Arial"/>
          <w:color w:val="000000" w:themeColor="text1"/>
          <w:sz w:val="24"/>
          <w:szCs w:val="24"/>
        </w:rPr>
        <w:t>aspects</w:t>
      </w:r>
      <w:r w:rsidR="00FD276A">
        <w:rPr>
          <w:rFonts w:ascii="Arial" w:hAnsi="Arial" w:cs="Arial"/>
          <w:color w:val="000000" w:themeColor="text1"/>
          <w:sz w:val="24"/>
          <w:szCs w:val="24"/>
        </w:rPr>
        <w:t xml:space="preserve"> of the state (Legislation Government, 2019).</w:t>
      </w:r>
    </w:p>
    <w:p w14:paraId="6AB7328A" w14:textId="77777777" w:rsidR="006C0CFA" w:rsidRPr="006C0CFA" w:rsidRDefault="006C0CFA" w:rsidP="006C0CFA">
      <w:pPr>
        <w:spacing w:after="0" w:line="240" w:lineRule="auto"/>
        <w:rPr>
          <w:rFonts w:ascii="Times New Roman" w:eastAsia="Times New Roman" w:hAnsi="Times New Roman" w:cs="Times New Roman"/>
          <w:sz w:val="24"/>
          <w:szCs w:val="24"/>
        </w:rPr>
      </w:pPr>
    </w:p>
    <w:p w14:paraId="7AEB84A1" w14:textId="1C15115B" w:rsidR="001D7FE4" w:rsidRPr="00C7068F" w:rsidRDefault="003B62AB" w:rsidP="001D7FE4">
      <w:pPr>
        <w:rPr>
          <w:rFonts w:ascii="Arial" w:hAnsi="Arial" w:cs="Arial"/>
          <w:sz w:val="24"/>
          <w:szCs w:val="24"/>
        </w:rPr>
      </w:pPr>
      <w:r>
        <w:rPr>
          <w:rFonts w:ascii="Arial" w:hAnsi="Arial" w:cs="Arial"/>
          <w:sz w:val="24"/>
          <w:szCs w:val="24"/>
        </w:rPr>
        <w:t xml:space="preserve">The judicial branch is the system of court and tribunal that interpret the law and adjudicate upon legal disputes (Elliot and Thomas, 2017). </w:t>
      </w:r>
      <w:r w:rsidR="005F7502" w:rsidRPr="00C7068F">
        <w:rPr>
          <w:rFonts w:ascii="Arial" w:hAnsi="Arial" w:cs="Arial"/>
          <w:sz w:val="24"/>
          <w:szCs w:val="24"/>
        </w:rPr>
        <w:t>The legislature and the judiciary are highlighted within the Constitutional Reform</w:t>
      </w:r>
      <w:r w:rsidR="00134A03" w:rsidRPr="00C7068F">
        <w:rPr>
          <w:rFonts w:ascii="Arial" w:hAnsi="Arial" w:cs="Arial"/>
          <w:sz w:val="24"/>
          <w:szCs w:val="24"/>
        </w:rPr>
        <w:t xml:space="preserve"> Act (2005) as they introduced the Supreme Court which had identified a clear separation of powers between the judiciary and Parliament. Additionally, the </w:t>
      </w:r>
      <w:r w:rsidR="00134A03" w:rsidRPr="00C7068F">
        <w:rPr>
          <w:rFonts w:ascii="Arial" w:hAnsi="Arial" w:cs="Arial"/>
          <w:bCs/>
          <w:sz w:val="24"/>
          <w:szCs w:val="24"/>
        </w:rPr>
        <w:t>European Communities Act (1972</w:t>
      </w:r>
      <w:r w:rsidR="00134A03" w:rsidRPr="00C7068F">
        <w:rPr>
          <w:rFonts w:ascii="Arial" w:hAnsi="Arial" w:cs="Arial"/>
          <w:sz w:val="24"/>
          <w:szCs w:val="24"/>
        </w:rPr>
        <w:t>)</w:t>
      </w:r>
      <w:r w:rsidR="00ED4449" w:rsidRPr="00C7068F">
        <w:rPr>
          <w:rFonts w:ascii="Arial" w:hAnsi="Arial" w:cs="Arial"/>
          <w:sz w:val="24"/>
          <w:szCs w:val="24"/>
        </w:rPr>
        <w:t xml:space="preserve"> indicates that judges must give precedence towards the EU law, whereas the domestic law does comply with EU Law. Contrastingly, HRA (1998) states judges have the power to declare domestic legislation</w:t>
      </w:r>
      <w:r w:rsidR="00372F5E" w:rsidRPr="00C7068F">
        <w:rPr>
          <w:rFonts w:ascii="Arial" w:hAnsi="Arial" w:cs="Arial"/>
          <w:sz w:val="24"/>
          <w:szCs w:val="24"/>
        </w:rPr>
        <w:t xml:space="preserve"> which is different </w:t>
      </w:r>
      <w:r w:rsidR="004F6419" w:rsidRPr="00C7068F">
        <w:rPr>
          <w:rFonts w:ascii="Arial" w:hAnsi="Arial" w:cs="Arial"/>
          <w:sz w:val="24"/>
          <w:szCs w:val="24"/>
        </w:rPr>
        <w:t>to the requirements of the ECHR, but the legislation remains valid until it gets modified by Parliament (Gallagher, 2012).</w:t>
      </w:r>
      <w:r w:rsidR="00385BDD">
        <w:rPr>
          <w:rFonts w:ascii="Arial" w:hAnsi="Arial" w:cs="Arial"/>
          <w:sz w:val="24"/>
          <w:szCs w:val="24"/>
        </w:rPr>
        <w:t xml:space="preserve"> </w:t>
      </w:r>
      <w:r w:rsidR="001D7FE4" w:rsidRPr="00C7068F">
        <w:rPr>
          <w:rFonts w:ascii="Arial" w:hAnsi="Arial" w:cs="Arial"/>
          <w:sz w:val="24"/>
          <w:szCs w:val="24"/>
        </w:rPr>
        <w:t>In the constitution reform act of 2005, fixed parliament is found in either role of prime minister in selection on non-elected prime minister. The prime minister is not part of the UK constitution that explain but are left to convention</w:t>
      </w:r>
      <w:r w:rsidR="000E4917" w:rsidRPr="00C7068F">
        <w:rPr>
          <w:rFonts w:ascii="Arial" w:hAnsi="Arial" w:cs="Arial"/>
          <w:sz w:val="24"/>
          <w:szCs w:val="24"/>
        </w:rPr>
        <w:t xml:space="preserve"> (Supreme Courts, 2012).</w:t>
      </w:r>
    </w:p>
    <w:p w14:paraId="100BF076" w14:textId="6E2E3781" w:rsidR="00A70207" w:rsidRPr="00C7068F" w:rsidRDefault="00A70207" w:rsidP="001D7FE4">
      <w:pPr>
        <w:rPr>
          <w:rFonts w:ascii="Arial" w:hAnsi="Arial" w:cs="Arial"/>
          <w:sz w:val="24"/>
          <w:szCs w:val="24"/>
        </w:rPr>
      </w:pPr>
      <w:r w:rsidRPr="00C7068F">
        <w:rPr>
          <w:rFonts w:ascii="Arial" w:hAnsi="Arial" w:cs="Arial"/>
          <w:sz w:val="24"/>
          <w:szCs w:val="24"/>
        </w:rPr>
        <w:t>No more than nighty five persons of the holders of the offices is entitles to sit for vote in the house of common at any one time. A person who i</w:t>
      </w:r>
      <w:r w:rsidR="00385BDD">
        <w:rPr>
          <w:rFonts w:ascii="Arial" w:hAnsi="Arial" w:cs="Arial"/>
          <w:sz w:val="24"/>
          <w:szCs w:val="24"/>
        </w:rPr>
        <w:t xml:space="preserve">s </w:t>
      </w:r>
      <w:r w:rsidRPr="00C7068F">
        <w:rPr>
          <w:rFonts w:ascii="Arial" w:hAnsi="Arial" w:cs="Arial"/>
          <w:sz w:val="24"/>
          <w:szCs w:val="24"/>
        </w:rPr>
        <w:t xml:space="preserve">retired or belongs to any reserve officer of any force is not disqualified as member of those forces. A copy of </w:t>
      </w:r>
      <w:r w:rsidRPr="00C7068F">
        <w:rPr>
          <w:rFonts w:ascii="Arial" w:hAnsi="Arial" w:cs="Arial"/>
          <w:sz w:val="24"/>
          <w:szCs w:val="24"/>
        </w:rPr>
        <w:lastRenderedPageBreak/>
        <w:t xml:space="preserve">this act as from time to time amended by order in council under this section must be prepaid by a certified clerk of the parliament and all the paper work copies to be printed and should be certified. </w:t>
      </w:r>
      <w:r w:rsidRPr="003E1A4D">
        <w:rPr>
          <w:rFonts w:ascii="Arial" w:hAnsi="Arial" w:cs="Arial"/>
          <w:sz w:val="24"/>
          <w:szCs w:val="24"/>
        </w:rPr>
        <w:t xml:space="preserve">Jurisdiction of </w:t>
      </w:r>
      <w:r w:rsidR="000B677A">
        <w:rPr>
          <w:rFonts w:ascii="Arial" w:hAnsi="Arial" w:cs="Arial"/>
          <w:sz w:val="24"/>
          <w:szCs w:val="24"/>
        </w:rPr>
        <w:t>P</w:t>
      </w:r>
      <w:r w:rsidRPr="003E1A4D">
        <w:rPr>
          <w:rFonts w:ascii="Arial" w:hAnsi="Arial" w:cs="Arial"/>
          <w:sz w:val="24"/>
          <w:szCs w:val="24"/>
        </w:rPr>
        <w:t xml:space="preserve">rivy </w:t>
      </w:r>
      <w:r w:rsidR="000B677A">
        <w:rPr>
          <w:rFonts w:ascii="Arial" w:hAnsi="Arial" w:cs="Arial"/>
          <w:sz w:val="24"/>
          <w:szCs w:val="24"/>
        </w:rPr>
        <w:t>C</w:t>
      </w:r>
      <w:r w:rsidRPr="003E1A4D">
        <w:rPr>
          <w:rFonts w:ascii="Arial" w:hAnsi="Arial" w:cs="Arial"/>
          <w:sz w:val="24"/>
          <w:szCs w:val="24"/>
        </w:rPr>
        <w:t>ouncil as to disqualify any person who claim person proposing to be a member of house of common is disqualified by this act (UK Parliament, 2021).</w:t>
      </w:r>
      <w:r w:rsidR="00385BDD">
        <w:rPr>
          <w:rFonts w:ascii="Arial" w:hAnsi="Arial" w:cs="Arial"/>
          <w:sz w:val="24"/>
          <w:szCs w:val="24"/>
        </w:rPr>
        <w:t xml:space="preserve"> </w:t>
      </w:r>
      <w:r w:rsidR="003E1A4D">
        <w:rPr>
          <w:rFonts w:ascii="Arial" w:hAnsi="Arial" w:cs="Arial"/>
          <w:sz w:val="24"/>
          <w:szCs w:val="24"/>
        </w:rPr>
        <w:t xml:space="preserve">The Lord Chancellor is </w:t>
      </w:r>
      <w:r w:rsidR="000B677A">
        <w:rPr>
          <w:rFonts w:ascii="Arial" w:hAnsi="Arial" w:cs="Arial"/>
          <w:sz w:val="24"/>
          <w:szCs w:val="24"/>
        </w:rPr>
        <w:t>known as a senior member within the Privy Council and House of Lords in both England and Wales. The Constitutional Reform Act 2005 represented the Lord Chancellor identifying the different branches of separation of powers however this act prevents the Lord Chancellor from having any input within the judicial office (Supreme Court, 201</w:t>
      </w:r>
      <w:r w:rsidR="00FF43E3">
        <w:rPr>
          <w:rFonts w:ascii="Arial" w:hAnsi="Arial" w:cs="Arial"/>
          <w:sz w:val="24"/>
          <w:szCs w:val="24"/>
        </w:rPr>
        <w:t>2</w:t>
      </w:r>
      <w:r w:rsidR="000B677A">
        <w:rPr>
          <w:rFonts w:ascii="Arial" w:hAnsi="Arial" w:cs="Arial"/>
          <w:sz w:val="24"/>
          <w:szCs w:val="24"/>
        </w:rPr>
        <w:t xml:space="preserve">). </w:t>
      </w:r>
    </w:p>
    <w:p w14:paraId="35E05A0D" w14:textId="073AB35D" w:rsidR="001D7FE4" w:rsidRPr="00C7068F" w:rsidRDefault="00AA4001" w:rsidP="00A70207">
      <w:pPr>
        <w:rPr>
          <w:rFonts w:ascii="Arial" w:hAnsi="Arial" w:cs="Arial"/>
          <w:sz w:val="24"/>
          <w:szCs w:val="24"/>
        </w:rPr>
      </w:pPr>
      <w:r w:rsidRPr="00C7068F">
        <w:rPr>
          <w:rFonts w:ascii="Arial" w:hAnsi="Arial" w:cs="Arial"/>
          <w:sz w:val="24"/>
          <w:szCs w:val="24"/>
        </w:rPr>
        <w:t>The relevance of the separation of powers today entails the Anti-terrorism legislation. Powers theory has allowed the implantation of anti-terrorism legislation ‘Prevention of Terrorism Act 200’ which has provided many benefits. It has allowed to procedure of criminal’s trails behind doors rather than viewed in the public eye. The UK legislative includes the house of commons, House of Lord &amp; the Queen. In America, the highest court will have wide powers to review the workings of government. They also have a formal statement of law which is against which to judge its actions. However, reflecting this against the UK, the supreme court is required to accept the legality of Acts of Parliament is not able to question the working of the legislation</w:t>
      </w:r>
      <w:r w:rsidR="00A70207" w:rsidRPr="00C7068F">
        <w:rPr>
          <w:rFonts w:ascii="Arial" w:hAnsi="Arial" w:cs="Arial"/>
          <w:sz w:val="24"/>
          <w:szCs w:val="24"/>
        </w:rPr>
        <w:t>.</w:t>
      </w:r>
      <w:r w:rsidRPr="00C7068F">
        <w:rPr>
          <w:rFonts w:ascii="Arial" w:hAnsi="Arial" w:cs="Arial"/>
          <w:sz w:val="24"/>
          <w:szCs w:val="24"/>
        </w:rPr>
        <w:t xml:space="preserve"> </w:t>
      </w:r>
      <w:r w:rsidR="00A70207" w:rsidRPr="00C7068F">
        <w:rPr>
          <w:rFonts w:ascii="Arial" w:hAnsi="Arial" w:cs="Arial"/>
          <w:sz w:val="24"/>
          <w:szCs w:val="24"/>
        </w:rPr>
        <w:t xml:space="preserve">Timing is the act of parliament which brought into force when needed. Technical detail is more specific which they need in technical expertise to be legislation </w:t>
      </w:r>
      <w:r w:rsidRPr="00C7068F">
        <w:rPr>
          <w:rFonts w:ascii="Arial" w:hAnsi="Arial" w:cs="Arial"/>
          <w:sz w:val="24"/>
          <w:szCs w:val="24"/>
        </w:rPr>
        <w:t>(</w:t>
      </w:r>
      <w:r w:rsidR="002433A4" w:rsidRPr="00C7068F">
        <w:rPr>
          <w:rFonts w:ascii="Arial" w:hAnsi="Arial" w:cs="Arial"/>
          <w:sz w:val="24"/>
          <w:szCs w:val="24"/>
        </w:rPr>
        <w:t>Home and Berman, 2011).</w:t>
      </w:r>
    </w:p>
    <w:p w14:paraId="1F817D41" w14:textId="5CAF6609" w:rsidR="00461789" w:rsidRDefault="00A468E2" w:rsidP="00A70207">
      <w:pPr>
        <w:rPr>
          <w:rFonts w:ascii="Arial" w:hAnsi="Arial" w:cs="Arial"/>
          <w:sz w:val="24"/>
          <w:szCs w:val="24"/>
        </w:rPr>
      </w:pPr>
      <w:r w:rsidRPr="00C7068F">
        <w:rPr>
          <w:rFonts w:ascii="Arial" w:hAnsi="Arial" w:cs="Arial"/>
          <w:sz w:val="24"/>
          <w:szCs w:val="24"/>
        </w:rPr>
        <w:t xml:space="preserve">Looking at safeguards as judicial review, individuals can apply to the court to test legality which has been carried out by a public body. If the public body has found to have exceeded its powers laid down in </w:t>
      </w:r>
      <w:r w:rsidR="00D20D42" w:rsidRPr="00C7068F">
        <w:rPr>
          <w:rFonts w:ascii="Arial" w:hAnsi="Arial" w:cs="Arial"/>
          <w:sz w:val="24"/>
          <w:szCs w:val="24"/>
        </w:rPr>
        <w:t>the</w:t>
      </w:r>
      <w:r w:rsidRPr="00C7068F">
        <w:rPr>
          <w:rFonts w:ascii="Arial" w:hAnsi="Arial" w:cs="Arial"/>
          <w:sz w:val="24"/>
          <w:szCs w:val="24"/>
        </w:rPr>
        <w:t xml:space="preserve"> primary legislation the house has the power to squash it</w:t>
      </w:r>
      <w:r w:rsidR="00611A03">
        <w:rPr>
          <w:rFonts w:ascii="Arial" w:hAnsi="Arial" w:cs="Arial"/>
          <w:sz w:val="24"/>
          <w:szCs w:val="24"/>
        </w:rPr>
        <w:t xml:space="preserve"> (Brownejacobson, 2021).</w:t>
      </w:r>
    </w:p>
    <w:p w14:paraId="4FEA6094" w14:textId="0E4C44F9" w:rsidR="000B677A" w:rsidRPr="000B677A" w:rsidRDefault="000B677A" w:rsidP="00A70207">
      <w:pPr>
        <w:rPr>
          <w:rFonts w:ascii="Arial" w:hAnsi="Arial" w:cs="Arial"/>
          <w:sz w:val="24"/>
          <w:szCs w:val="24"/>
        </w:rPr>
      </w:pPr>
      <w:r>
        <w:rPr>
          <w:rFonts w:ascii="Arial" w:hAnsi="Arial" w:cs="Arial"/>
          <w:sz w:val="24"/>
          <w:szCs w:val="24"/>
        </w:rPr>
        <w:t xml:space="preserve">To conclude, </w:t>
      </w:r>
      <w:r w:rsidR="00FF43E3">
        <w:rPr>
          <w:rFonts w:ascii="Arial" w:hAnsi="Arial" w:cs="Arial"/>
          <w:sz w:val="24"/>
          <w:szCs w:val="24"/>
        </w:rPr>
        <w:t>Benwill and Gay (2011) state that the separat</w:t>
      </w:r>
      <w:r w:rsidR="0045253C">
        <w:rPr>
          <w:rFonts w:ascii="Arial" w:hAnsi="Arial" w:cs="Arial"/>
          <w:sz w:val="24"/>
          <w:szCs w:val="24"/>
        </w:rPr>
        <w:t>ion of powers should function individually and act as independent aspects which means that no individual branch should have the power to limit other offices (Benwill and Gay, 2011).</w:t>
      </w:r>
    </w:p>
    <w:p w14:paraId="63A8EB38" w14:textId="6254ADBD" w:rsidR="00461789" w:rsidRDefault="00461789" w:rsidP="00A70207">
      <w:pPr>
        <w:rPr>
          <w:rFonts w:ascii="Arial" w:hAnsi="Arial" w:cs="Arial"/>
          <w:b/>
          <w:sz w:val="24"/>
          <w:szCs w:val="24"/>
          <w:u w:val="single"/>
        </w:rPr>
      </w:pPr>
    </w:p>
    <w:p w14:paraId="773F4254" w14:textId="50E0779E" w:rsidR="00461789" w:rsidRDefault="00461789" w:rsidP="00A70207">
      <w:pPr>
        <w:rPr>
          <w:rFonts w:ascii="Arial" w:hAnsi="Arial" w:cs="Arial"/>
          <w:b/>
          <w:sz w:val="24"/>
          <w:szCs w:val="24"/>
          <w:u w:val="single"/>
        </w:rPr>
      </w:pPr>
    </w:p>
    <w:p w14:paraId="4E59BFD7" w14:textId="1EFEAE92" w:rsidR="00461789" w:rsidRDefault="00461789" w:rsidP="00A70207">
      <w:pPr>
        <w:rPr>
          <w:rFonts w:ascii="Arial" w:hAnsi="Arial" w:cs="Arial"/>
          <w:b/>
          <w:sz w:val="24"/>
          <w:szCs w:val="24"/>
          <w:u w:val="single"/>
        </w:rPr>
      </w:pPr>
    </w:p>
    <w:p w14:paraId="2B7BCDAA" w14:textId="478DB631" w:rsidR="0045253C" w:rsidRDefault="0045253C" w:rsidP="00A70207">
      <w:pPr>
        <w:rPr>
          <w:rFonts w:ascii="Arial" w:hAnsi="Arial" w:cs="Arial"/>
          <w:b/>
          <w:sz w:val="24"/>
          <w:szCs w:val="24"/>
          <w:u w:val="single"/>
        </w:rPr>
      </w:pPr>
    </w:p>
    <w:p w14:paraId="229361ED" w14:textId="0B2078B3" w:rsidR="0045253C" w:rsidRDefault="0045253C" w:rsidP="00A70207">
      <w:pPr>
        <w:rPr>
          <w:rFonts w:ascii="Arial" w:hAnsi="Arial" w:cs="Arial"/>
          <w:b/>
          <w:sz w:val="24"/>
          <w:szCs w:val="24"/>
          <w:u w:val="single"/>
        </w:rPr>
      </w:pPr>
    </w:p>
    <w:p w14:paraId="77C315F5" w14:textId="122E5B48" w:rsidR="0045253C" w:rsidRDefault="0045253C" w:rsidP="00A70207">
      <w:pPr>
        <w:rPr>
          <w:rFonts w:ascii="Arial" w:hAnsi="Arial" w:cs="Arial"/>
          <w:b/>
          <w:sz w:val="24"/>
          <w:szCs w:val="24"/>
          <w:u w:val="single"/>
        </w:rPr>
      </w:pPr>
    </w:p>
    <w:p w14:paraId="177095A0" w14:textId="5528E501" w:rsidR="0045253C" w:rsidRDefault="0045253C" w:rsidP="00A70207">
      <w:pPr>
        <w:rPr>
          <w:rFonts w:ascii="Arial" w:hAnsi="Arial" w:cs="Arial"/>
          <w:b/>
          <w:sz w:val="24"/>
          <w:szCs w:val="24"/>
          <w:u w:val="single"/>
        </w:rPr>
      </w:pPr>
    </w:p>
    <w:p w14:paraId="1CE634F4" w14:textId="468A2319" w:rsidR="0045253C" w:rsidRDefault="0045253C" w:rsidP="00A70207">
      <w:pPr>
        <w:rPr>
          <w:rFonts w:ascii="Arial" w:hAnsi="Arial" w:cs="Arial"/>
          <w:b/>
          <w:sz w:val="24"/>
          <w:szCs w:val="24"/>
          <w:u w:val="single"/>
        </w:rPr>
      </w:pPr>
    </w:p>
    <w:p w14:paraId="3C71413C" w14:textId="77777777" w:rsidR="0045253C" w:rsidRDefault="0045253C" w:rsidP="00A70207">
      <w:pPr>
        <w:rPr>
          <w:rFonts w:ascii="Arial" w:hAnsi="Arial" w:cs="Arial"/>
          <w:b/>
          <w:sz w:val="24"/>
          <w:szCs w:val="24"/>
          <w:u w:val="single"/>
        </w:rPr>
      </w:pPr>
    </w:p>
    <w:p w14:paraId="726ADB44" w14:textId="77777777" w:rsidR="00461789" w:rsidRPr="00C7068F" w:rsidRDefault="00461789" w:rsidP="00A70207">
      <w:pPr>
        <w:rPr>
          <w:rFonts w:ascii="Arial" w:hAnsi="Arial" w:cs="Arial"/>
          <w:b/>
          <w:sz w:val="24"/>
          <w:szCs w:val="24"/>
          <w:u w:val="single"/>
        </w:rPr>
      </w:pPr>
    </w:p>
    <w:p w14:paraId="5D0D4FF6" w14:textId="115345F1" w:rsidR="00A70207" w:rsidRPr="00C7068F" w:rsidRDefault="00A70207" w:rsidP="00A70207">
      <w:pPr>
        <w:rPr>
          <w:rFonts w:ascii="Arial" w:hAnsi="Arial" w:cs="Arial"/>
          <w:b/>
          <w:sz w:val="24"/>
          <w:szCs w:val="24"/>
          <w:u w:val="single"/>
        </w:rPr>
      </w:pPr>
      <w:r w:rsidRPr="00C7068F">
        <w:rPr>
          <w:rFonts w:ascii="Arial" w:hAnsi="Arial" w:cs="Arial"/>
          <w:b/>
          <w:sz w:val="24"/>
          <w:szCs w:val="24"/>
          <w:u w:val="single"/>
        </w:rPr>
        <w:lastRenderedPageBreak/>
        <w:t>References – Part One</w:t>
      </w:r>
    </w:p>
    <w:p w14:paraId="144346AC" w14:textId="3793BE78" w:rsidR="005D6E04" w:rsidRPr="00C7068F" w:rsidRDefault="005D6E04" w:rsidP="00A70207">
      <w:pPr>
        <w:rPr>
          <w:rFonts w:ascii="Arial" w:hAnsi="Arial" w:cs="Arial"/>
          <w:b/>
          <w:sz w:val="24"/>
          <w:szCs w:val="24"/>
          <w:u w:val="single"/>
        </w:rPr>
      </w:pPr>
    </w:p>
    <w:p w14:paraId="2F0DA488" w14:textId="5F09BACC" w:rsidR="004E6AA1" w:rsidRPr="00963299" w:rsidRDefault="004E6AA1" w:rsidP="00963299">
      <w:pPr>
        <w:spacing w:line="240" w:lineRule="auto"/>
        <w:rPr>
          <w:rFonts w:ascii="Arial" w:eastAsia="Times New Roman" w:hAnsi="Arial" w:cs="Arial"/>
          <w:color w:val="000000" w:themeColor="text1"/>
          <w:sz w:val="23"/>
          <w:szCs w:val="23"/>
        </w:rPr>
      </w:pPr>
      <w:r w:rsidRPr="004E6AA1">
        <w:rPr>
          <w:rFonts w:ascii="Arial" w:eastAsia="Times New Roman" w:hAnsi="Arial" w:cs="Arial"/>
          <w:color w:val="000000" w:themeColor="text1"/>
          <w:sz w:val="23"/>
          <w:szCs w:val="23"/>
        </w:rPr>
        <w:t>Bok,</w:t>
      </w:r>
      <w:r w:rsidRPr="00963299">
        <w:rPr>
          <w:rFonts w:ascii="Arial" w:eastAsia="Times New Roman" w:hAnsi="Arial" w:cs="Arial"/>
          <w:color w:val="000000" w:themeColor="text1"/>
          <w:sz w:val="23"/>
          <w:szCs w:val="23"/>
        </w:rPr>
        <w:t xml:space="preserve">H (2018). </w:t>
      </w:r>
      <w:r w:rsidRPr="004E6AA1">
        <w:rPr>
          <w:rFonts w:ascii="Arial" w:eastAsia="Times New Roman" w:hAnsi="Arial" w:cs="Arial"/>
          <w:color w:val="000000" w:themeColor="text1"/>
          <w:sz w:val="23"/>
          <w:szCs w:val="23"/>
        </w:rPr>
        <w:t xml:space="preserve"> "Baron de Montesquieu, Charles-Louis de Secondat",</w:t>
      </w:r>
      <w:r w:rsidRPr="00963299">
        <w:rPr>
          <w:rFonts w:ascii="Arial" w:eastAsia="Times New Roman" w:hAnsi="Arial" w:cs="Arial"/>
          <w:color w:val="000000" w:themeColor="text1"/>
          <w:sz w:val="23"/>
          <w:szCs w:val="23"/>
        </w:rPr>
        <w:t> </w:t>
      </w:r>
      <w:r w:rsidRPr="00963299">
        <w:rPr>
          <w:rFonts w:ascii="Arial" w:eastAsia="Times New Roman" w:hAnsi="Arial" w:cs="Arial"/>
          <w:i/>
          <w:iCs/>
          <w:color w:val="000000" w:themeColor="text1"/>
          <w:sz w:val="23"/>
          <w:szCs w:val="23"/>
        </w:rPr>
        <w:t>The Stanford Encyclopedia of Philosophy</w:t>
      </w:r>
      <w:r w:rsidR="00963299" w:rsidRPr="00963299">
        <w:rPr>
          <w:rFonts w:ascii="Arial" w:eastAsia="Times New Roman" w:hAnsi="Arial" w:cs="Arial"/>
          <w:i/>
          <w:iCs/>
          <w:color w:val="000000" w:themeColor="text1"/>
          <w:sz w:val="23"/>
          <w:szCs w:val="23"/>
        </w:rPr>
        <w:t xml:space="preserve">. </w:t>
      </w:r>
      <w:r w:rsidR="00963299" w:rsidRPr="00963299">
        <w:rPr>
          <w:rFonts w:ascii="Arial" w:eastAsia="Times New Roman" w:hAnsi="Arial" w:cs="Arial"/>
          <w:color w:val="000000" w:themeColor="text1"/>
          <w:sz w:val="23"/>
          <w:szCs w:val="23"/>
        </w:rPr>
        <w:t xml:space="preserve">Available at: </w:t>
      </w:r>
      <w:hyperlink r:id="rId7" w:history="1">
        <w:r w:rsidR="00963299" w:rsidRPr="00913173">
          <w:rPr>
            <w:rStyle w:val="Hyperlink"/>
            <w:rFonts w:ascii="Arial" w:eastAsia="Times New Roman" w:hAnsi="Arial" w:cs="Arial"/>
            <w:sz w:val="23"/>
            <w:szCs w:val="23"/>
          </w:rPr>
          <w:t>https://plato.stanford.edu/archives/win2018/entries/montesquieu/</w:t>
        </w:r>
      </w:hyperlink>
      <w:r w:rsidRPr="004E6AA1">
        <w:rPr>
          <w:rFonts w:ascii="Arial" w:eastAsia="Times New Roman" w:hAnsi="Arial" w:cs="Arial"/>
          <w:color w:val="1A1A1A"/>
          <w:sz w:val="23"/>
          <w:szCs w:val="23"/>
        </w:rPr>
        <w:t>&gt;</w:t>
      </w:r>
      <w:r w:rsidR="00963299">
        <w:rPr>
          <w:rFonts w:ascii="Arial" w:eastAsia="Times New Roman" w:hAnsi="Arial" w:cs="Arial"/>
          <w:color w:val="1A1A1A"/>
          <w:sz w:val="23"/>
          <w:szCs w:val="23"/>
        </w:rPr>
        <w:t xml:space="preserve"> </w:t>
      </w:r>
      <w:r w:rsidR="00963299" w:rsidRPr="00963299">
        <w:rPr>
          <w:rFonts w:ascii="Arial" w:eastAsia="Times New Roman" w:hAnsi="Arial" w:cs="Arial"/>
          <w:color w:val="000000" w:themeColor="text1"/>
          <w:sz w:val="23"/>
          <w:szCs w:val="23"/>
        </w:rPr>
        <w:t>Last accessed 15/10/21</w:t>
      </w:r>
    </w:p>
    <w:p w14:paraId="0C60926A" w14:textId="396DBD1D" w:rsidR="00611A03" w:rsidRPr="00611A03" w:rsidRDefault="00611A03" w:rsidP="00611A03">
      <w:pPr>
        <w:rPr>
          <w:rFonts w:ascii="Times New Roman" w:eastAsia="Times New Roman" w:hAnsi="Times New Roman" w:cs="Times New Roman"/>
          <w:sz w:val="24"/>
          <w:szCs w:val="24"/>
        </w:rPr>
      </w:pPr>
      <w:r>
        <w:rPr>
          <w:rFonts w:ascii="Arial" w:eastAsia="Times New Roman" w:hAnsi="Arial" w:cs="Arial"/>
          <w:color w:val="000000"/>
          <w:sz w:val="24"/>
          <w:szCs w:val="24"/>
        </w:rPr>
        <w:t xml:space="preserve">Brownejacobson. (2021). </w:t>
      </w:r>
      <w:r w:rsidRPr="00611A03">
        <w:rPr>
          <w:rFonts w:ascii="Arial" w:eastAsia="Times New Roman" w:hAnsi="Arial" w:cs="Arial"/>
          <w:i/>
          <w:color w:val="000000" w:themeColor="text1"/>
          <w:sz w:val="24"/>
          <w:szCs w:val="24"/>
          <w:shd w:val="clear" w:color="auto" w:fill="FFFFFF"/>
        </w:rPr>
        <w:t>Ceasing discretionary functions and powers – some key issues for public bodies to consider</w:t>
      </w:r>
      <w:r>
        <w:rPr>
          <w:rFonts w:ascii="Arial" w:eastAsia="Times New Roman" w:hAnsi="Arial" w:cs="Arial"/>
          <w:i/>
          <w:color w:val="000000" w:themeColor="text1"/>
          <w:sz w:val="24"/>
          <w:szCs w:val="24"/>
          <w:shd w:val="clear" w:color="auto" w:fill="FFFFFF"/>
        </w:rPr>
        <w:t xml:space="preserve">. </w:t>
      </w:r>
      <w:r>
        <w:rPr>
          <w:rFonts w:ascii="Arial" w:eastAsia="Times New Roman" w:hAnsi="Arial" w:cs="Arial"/>
          <w:color w:val="000000" w:themeColor="text1"/>
          <w:sz w:val="24"/>
          <w:szCs w:val="24"/>
          <w:shd w:val="clear" w:color="auto" w:fill="FFFFFF"/>
        </w:rPr>
        <w:t xml:space="preserve">Available: </w:t>
      </w:r>
      <w:hyperlink r:id="rId8" w:history="1">
        <w:r w:rsidRPr="00F24E3D">
          <w:rPr>
            <w:rStyle w:val="Hyperlink"/>
            <w:rFonts w:ascii="Arial" w:eastAsia="Times New Roman" w:hAnsi="Arial" w:cs="Arial"/>
            <w:sz w:val="24"/>
            <w:szCs w:val="24"/>
            <w:shd w:val="clear" w:color="auto" w:fill="FFFFFF"/>
          </w:rPr>
          <w:t>https://www.brownejacobson.com/training-and-resources/resources/legal-updates/2021/01/public-sector-ceasing-discretionary-functi</w:t>
        </w:r>
        <w:r w:rsidRPr="00F24E3D">
          <w:rPr>
            <w:rStyle w:val="Hyperlink"/>
            <w:rFonts w:ascii="Arial" w:eastAsia="Times New Roman" w:hAnsi="Arial" w:cs="Arial"/>
            <w:sz w:val="24"/>
            <w:szCs w:val="24"/>
            <w:shd w:val="clear" w:color="auto" w:fill="FFFFFF"/>
          </w:rPr>
          <w:t>o</w:t>
        </w:r>
        <w:r w:rsidRPr="00F24E3D">
          <w:rPr>
            <w:rStyle w:val="Hyperlink"/>
            <w:rFonts w:ascii="Arial" w:eastAsia="Times New Roman" w:hAnsi="Arial" w:cs="Arial"/>
            <w:sz w:val="24"/>
            <w:szCs w:val="24"/>
            <w:shd w:val="clear" w:color="auto" w:fill="FFFFFF"/>
          </w:rPr>
          <w:t>ns-and-powers-some-key-issues-for-public-bodies-to-consider</w:t>
        </w:r>
      </w:hyperlink>
      <w:r>
        <w:rPr>
          <w:rFonts w:ascii="Arial" w:eastAsia="Times New Roman" w:hAnsi="Arial" w:cs="Arial"/>
          <w:color w:val="000000" w:themeColor="text1"/>
          <w:sz w:val="24"/>
          <w:szCs w:val="24"/>
          <w:shd w:val="clear" w:color="auto" w:fill="FFFFFF"/>
        </w:rPr>
        <w:t xml:space="preserve"> . Last accessed: 18/06/2021.</w:t>
      </w:r>
    </w:p>
    <w:p w14:paraId="436CDDB9" w14:textId="77777777" w:rsidR="00963299" w:rsidRPr="00963299" w:rsidRDefault="00963299" w:rsidP="00963299">
      <w:pPr>
        <w:spacing w:after="0" w:line="240" w:lineRule="auto"/>
        <w:rPr>
          <w:rFonts w:ascii="Arial" w:eastAsia="Times New Roman" w:hAnsi="Arial" w:cs="Arial"/>
          <w:sz w:val="24"/>
          <w:szCs w:val="24"/>
        </w:rPr>
      </w:pPr>
      <w:r w:rsidRPr="00963299">
        <w:rPr>
          <w:rFonts w:ascii="Arial" w:eastAsia="Times New Roman" w:hAnsi="Arial" w:cs="Arial"/>
          <w:color w:val="000000"/>
          <w:sz w:val="24"/>
          <w:szCs w:val="20"/>
        </w:rPr>
        <w:t>Elliot, M and Thomas, R (2017). </w:t>
      </w:r>
      <w:r w:rsidRPr="00963299">
        <w:rPr>
          <w:rFonts w:ascii="Arial" w:eastAsia="Times New Roman" w:hAnsi="Arial" w:cs="Arial"/>
          <w:i/>
          <w:iCs/>
          <w:color w:val="000000"/>
          <w:sz w:val="24"/>
          <w:szCs w:val="20"/>
        </w:rPr>
        <w:t>Public Law</w:t>
      </w:r>
      <w:r w:rsidRPr="00963299">
        <w:rPr>
          <w:rFonts w:ascii="Arial" w:eastAsia="Times New Roman" w:hAnsi="Arial" w:cs="Arial"/>
          <w:color w:val="000000"/>
          <w:sz w:val="24"/>
          <w:szCs w:val="20"/>
        </w:rPr>
        <w:t>. 3rd ed. Oxford: OUP Oxford. p54-75.</w:t>
      </w:r>
    </w:p>
    <w:p w14:paraId="0B7E9597" w14:textId="77777777" w:rsidR="00963299" w:rsidRPr="00C7068F" w:rsidRDefault="00963299" w:rsidP="00A70207">
      <w:pPr>
        <w:spacing w:after="0" w:line="240" w:lineRule="auto"/>
        <w:textAlignment w:val="baseline"/>
        <w:rPr>
          <w:rFonts w:ascii="Arial" w:eastAsia="Times New Roman" w:hAnsi="Arial" w:cs="Arial"/>
          <w:color w:val="000000"/>
          <w:sz w:val="24"/>
          <w:szCs w:val="24"/>
        </w:rPr>
      </w:pPr>
    </w:p>
    <w:p w14:paraId="5D49E8AC" w14:textId="77777777" w:rsidR="00A70207" w:rsidRPr="00C7068F" w:rsidRDefault="00A70207" w:rsidP="00A70207">
      <w:pPr>
        <w:spacing w:after="0" w:line="240" w:lineRule="auto"/>
        <w:rPr>
          <w:rFonts w:ascii="Arial" w:eastAsia="Times New Roman" w:hAnsi="Arial" w:cs="Arial"/>
          <w:color w:val="000000"/>
          <w:sz w:val="24"/>
          <w:szCs w:val="24"/>
        </w:rPr>
      </w:pPr>
      <w:r w:rsidRPr="00C7068F">
        <w:rPr>
          <w:rFonts w:ascii="Arial" w:eastAsia="Times New Roman" w:hAnsi="Arial" w:cs="Arial"/>
          <w:color w:val="000000"/>
          <w:sz w:val="24"/>
          <w:szCs w:val="24"/>
        </w:rPr>
        <w:t>Gallagher, J. (2012). </w:t>
      </w:r>
      <w:r w:rsidRPr="00C7068F">
        <w:rPr>
          <w:rFonts w:ascii="Arial" w:eastAsia="Times New Roman" w:hAnsi="Arial" w:cs="Arial"/>
          <w:i/>
          <w:iCs/>
          <w:color w:val="000000"/>
          <w:sz w:val="24"/>
          <w:szCs w:val="24"/>
        </w:rPr>
        <w:t xml:space="preserve">Tony Nicklinson loses High Court right-to-die case. </w:t>
      </w:r>
      <w:r w:rsidRPr="00C7068F">
        <w:rPr>
          <w:rFonts w:ascii="Arial" w:eastAsia="Times New Roman" w:hAnsi="Arial" w:cs="Arial"/>
          <w:color w:val="000000"/>
          <w:sz w:val="24"/>
          <w:szCs w:val="24"/>
        </w:rPr>
        <w:t>Available:</w:t>
      </w:r>
      <w:r w:rsidRPr="00C7068F">
        <w:rPr>
          <w:rFonts w:ascii="Arial" w:hAnsi="Arial" w:cs="Arial"/>
          <w:sz w:val="24"/>
          <w:szCs w:val="24"/>
        </w:rPr>
        <w:t xml:space="preserve"> </w:t>
      </w:r>
      <w:hyperlink r:id="rId9" w:history="1">
        <w:r w:rsidRPr="00C7068F">
          <w:rPr>
            <w:rStyle w:val="Hyperlink"/>
            <w:rFonts w:ascii="Arial" w:eastAsia="Times New Roman" w:hAnsi="Arial" w:cs="Arial"/>
            <w:sz w:val="24"/>
            <w:szCs w:val="24"/>
          </w:rPr>
          <w:t>https://www.bbc.co.uk/news/health-19249680</w:t>
        </w:r>
      </w:hyperlink>
      <w:r w:rsidRPr="00C7068F">
        <w:rPr>
          <w:rFonts w:ascii="Arial" w:eastAsia="Times New Roman" w:hAnsi="Arial" w:cs="Arial"/>
          <w:color w:val="000000"/>
          <w:sz w:val="24"/>
          <w:szCs w:val="24"/>
        </w:rPr>
        <w:t xml:space="preserve"> . Last accessed 20/6/21.</w:t>
      </w:r>
    </w:p>
    <w:p w14:paraId="776FEE9D" w14:textId="77777777" w:rsidR="00A70207" w:rsidRPr="00C7068F" w:rsidRDefault="00A70207" w:rsidP="00A70207">
      <w:pPr>
        <w:spacing w:after="0" w:line="240" w:lineRule="auto"/>
        <w:rPr>
          <w:rFonts w:ascii="Arial" w:eastAsia="Times New Roman" w:hAnsi="Arial" w:cs="Arial"/>
          <w:sz w:val="24"/>
          <w:szCs w:val="24"/>
        </w:rPr>
      </w:pPr>
    </w:p>
    <w:p w14:paraId="1C21FEF7" w14:textId="6AE1E696" w:rsidR="00A70207" w:rsidRPr="00C7068F" w:rsidRDefault="00A70207" w:rsidP="00A70207">
      <w:pPr>
        <w:spacing w:after="0" w:line="240" w:lineRule="auto"/>
        <w:rPr>
          <w:rFonts w:ascii="Arial" w:eastAsia="Times New Roman" w:hAnsi="Arial" w:cs="Arial"/>
          <w:sz w:val="24"/>
          <w:szCs w:val="24"/>
        </w:rPr>
      </w:pPr>
      <w:r w:rsidRPr="00C7068F">
        <w:rPr>
          <w:rFonts w:ascii="Arial" w:eastAsia="Times New Roman" w:hAnsi="Arial" w:cs="Arial"/>
          <w:sz w:val="24"/>
          <w:szCs w:val="24"/>
        </w:rPr>
        <w:t xml:space="preserve">Gay, O. (2011). </w:t>
      </w:r>
      <w:r w:rsidRPr="00C7068F">
        <w:rPr>
          <w:rFonts w:ascii="Arial" w:eastAsia="Times New Roman" w:hAnsi="Arial" w:cs="Arial"/>
          <w:i/>
          <w:sz w:val="24"/>
          <w:szCs w:val="24"/>
        </w:rPr>
        <w:t xml:space="preserve">The </w:t>
      </w:r>
      <w:r w:rsidR="00150067" w:rsidRPr="00C7068F">
        <w:rPr>
          <w:rFonts w:ascii="Arial" w:eastAsia="Times New Roman" w:hAnsi="Arial" w:cs="Arial"/>
          <w:i/>
          <w:sz w:val="24"/>
          <w:szCs w:val="24"/>
        </w:rPr>
        <w:t>Separation</w:t>
      </w:r>
      <w:r w:rsidRPr="00C7068F">
        <w:rPr>
          <w:rFonts w:ascii="Arial" w:eastAsia="Times New Roman" w:hAnsi="Arial" w:cs="Arial"/>
          <w:i/>
          <w:sz w:val="24"/>
          <w:szCs w:val="24"/>
        </w:rPr>
        <w:t xml:space="preserve"> of Powers. </w:t>
      </w:r>
      <w:r w:rsidRPr="00C7068F">
        <w:rPr>
          <w:rFonts w:ascii="Arial" w:eastAsia="Times New Roman" w:hAnsi="Arial" w:cs="Arial"/>
          <w:sz w:val="24"/>
          <w:szCs w:val="24"/>
        </w:rPr>
        <w:t xml:space="preserve">Available at: </w:t>
      </w:r>
      <w:hyperlink r:id="rId10" w:history="1">
        <w:r w:rsidRPr="00C7068F">
          <w:rPr>
            <w:rStyle w:val="Hyperlink"/>
            <w:rFonts w:ascii="Arial" w:eastAsia="Times New Roman" w:hAnsi="Arial" w:cs="Arial"/>
            <w:sz w:val="24"/>
            <w:szCs w:val="24"/>
          </w:rPr>
          <w:t>https://commonslibrary.parliament.uk/research-briefings/sn06053/</w:t>
        </w:r>
      </w:hyperlink>
      <w:r w:rsidRPr="00C7068F">
        <w:rPr>
          <w:rFonts w:ascii="Arial" w:eastAsia="Times New Roman" w:hAnsi="Arial" w:cs="Arial"/>
          <w:sz w:val="24"/>
          <w:szCs w:val="24"/>
        </w:rPr>
        <w:t xml:space="preserve"> Last accessed 15/06/21</w:t>
      </w:r>
    </w:p>
    <w:p w14:paraId="0E56AE00" w14:textId="7B45B571" w:rsidR="00A70207" w:rsidRPr="00C7068F" w:rsidRDefault="00A70207" w:rsidP="00A70207">
      <w:pPr>
        <w:pStyle w:val="NormalWeb"/>
        <w:rPr>
          <w:rFonts w:ascii="Arial" w:hAnsi="Arial" w:cs="Arial"/>
        </w:rPr>
      </w:pPr>
      <w:r w:rsidRPr="00C7068F">
        <w:rPr>
          <w:rFonts w:ascii="Arial" w:hAnsi="Arial" w:cs="Arial"/>
        </w:rPr>
        <w:t xml:space="preserve">Home, A and Berman, G. (2011). </w:t>
      </w:r>
      <w:r w:rsidRPr="00C7068F">
        <w:rPr>
          <w:rFonts w:ascii="Arial" w:hAnsi="Arial" w:cs="Arial"/>
          <w:bCs/>
          <w:i/>
        </w:rPr>
        <w:t xml:space="preserve">Control orders and the </w:t>
      </w:r>
      <w:r w:rsidRPr="00C7068F">
        <w:rPr>
          <w:rFonts w:ascii="Arial" w:hAnsi="Arial" w:cs="Arial"/>
          <w:bCs/>
          <w:i/>
          <w:iCs/>
        </w:rPr>
        <w:t xml:space="preserve">Prevention of Terrorism Act 2005. </w:t>
      </w:r>
      <w:r w:rsidRPr="00C7068F">
        <w:rPr>
          <w:rFonts w:ascii="Arial" w:hAnsi="Arial" w:cs="Arial"/>
          <w:bCs/>
          <w:iCs/>
        </w:rPr>
        <w:t xml:space="preserve">Available at: </w:t>
      </w:r>
      <w:hyperlink r:id="rId11" w:history="1">
        <w:r w:rsidRPr="00C7068F">
          <w:rPr>
            <w:rStyle w:val="Hyperlink"/>
            <w:rFonts w:ascii="Arial" w:hAnsi="Arial" w:cs="Arial"/>
            <w:bCs/>
            <w:iCs/>
          </w:rPr>
          <w:t>https://www.files.ethz.ch/isn/134741/SN03438_19DEC11.pdf</w:t>
        </w:r>
      </w:hyperlink>
      <w:r w:rsidRPr="00C7068F">
        <w:rPr>
          <w:rFonts w:ascii="Arial" w:hAnsi="Arial" w:cs="Arial"/>
          <w:bCs/>
          <w:iCs/>
        </w:rPr>
        <w:t xml:space="preserve"> Last accessed 20/6/</w:t>
      </w:r>
      <w:r w:rsidR="001847E5">
        <w:rPr>
          <w:rFonts w:ascii="Arial" w:hAnsi="Arial" w:cs="Arial"/>
          <w:bCs/>
          <w:iCs/>
        </w:rPr>
        <w:t>20</w:t>
      </w:r>
      <w:r w:rsidRPr="00C7068F">
        <w:rPr>
          <w:rFonts w:ascii="Arial" w:hAnsi="Arial" w:cs="Arial"/>
          <w:bCs/>
          <w:iCs/>
        </w:rPr>
        <w:t>21.</w:t>
      </w:r>
    </w:p>
    <w:p w14:paraId="09B3E411" w14:textId="05E276F8" w:rsidR="00A70207" w:rsidRPr="00C7068F" w:rsidRDefault="00A70207" w:rsidP="00A70207">
      <w:pPr>
        <w:rPr>
          <w:rFonts w:ascii="Arial" w:hAnsi="Arial" w:cs="Arial"/>
          <w:sz w:val="24"/>
          <w:szCs w:val="24"/>
        </w:rPr>
      </w:pPr>
      <w:r w:rsidRPr="00C7068F">
        <w:rPr>
          <w:rFonts w:ascii="Arial" w:hAnsi="Arial" w:cs="Arial"/>
          <w:sz w:val="24"/>
          <w:szCs w:val="24"/>
        </w:rPr>
        <w:t xml:space="preserve">Iran Online. (2021). </w:t>
      </w:r>
      <w:r w:rsidRPr="00C7068F">
        <w:rPr>
          <w:rFonts w:ascii="Arial" w:hAnsi="Arial" w:cs="Arial"/>
          <w:i/>
          <w:sz w:val="24"/>
          <w:szCs w:val="24"/>
        </w:rPr>
        <w:t xml:space="preserve">Government </w:t>
      </w:r>
      <w:r w:rsidR="00150067" w:rsidRPr="00C7068F">
        <w:rPr>
          <w:rFonts w:ascii="Arial" w:hAnsi="Arial" w:cs="Arial"/>
          <w:i/>
          <w:sz w:val="24"/>
          <w:szCs w:val="24"/>
        </w:rPr>
        <w:t>constitution</w:t>
      </w:r>
      <w:r w:rsidRPr="00C7068F">
        <w:rPr>
          <w:rFonts w:ascii="Arial" w:hAnsi="Arial" w:cs="Arial"/>
          <w:i/>
          <w:sz w:val="24"/>
          <w:szCs w:val="24"/>
        </w:rPr>
        <w:t xml:space="preserve">. </w:t>
      </w:r>
      <w:r w:rsidRPr="00C7068F">
        <w:rPr>
          <w:rFonts w:ascii="Arial" w:hAnsi="Arial" w:cs="Arial"/>
          <w:sz w:val="24"/>
          <w:szCs w:val="24"/>
        </w:rPr>
        <w:t xml:space="preserve">Available at: </w:t>
      </w:r>
      <w:hyperlink r:id="rId12" w:history="1">
        <w:r w:rsidRPr="00C7068F">
          <w:rPr>
            <w:rStyle w:val="Hyperlink"/>
            <w:rFonts w:ascii="Arial" w:hAnsi="Arial" w:cs="Arial"/>
            <w:sz w:val="24"/>
            <w:szCs w:val="24"/>
          </w:rPr>
          <w:t>http://www.iranonline.com/iran/iran-info/government/constitution-3.html</w:t>
        </w:r>
      </w:hyperlink>
      <w:r w:rsidRPr="00C7068F">
        <w:rPr>
          <w:rFonts w:ascii="Arial" w:hAnsi="Arial" w:cs="Arial"/>
          <w:sz w:val="24"/>
          <w:szCs w:val="24"/>
        </w:rPr>
        <w:t xml:space="preserve"> . Last accessed 15/06/</w:t>
      </w:r>
      <w:r w:rsidR="001847E5">
        <w:rPr>
          <w:rFonts w:ascii="Arial" w:hAnsi="Arial" w:cs="Arial"/>
          <w:sz w:val="24"/>
          <w:szCs w:val="24"/>
        </w:rPr>
        <w:t>20</w:t>
      </w:r>
      <w:r w:rsidRPr="00C7068F">
        <w:rPr>
          <w:rFonts w:ascii="Arial" w:hAnsi="Arial" w:cs="Arial"/>
          <w:sz w:val="24"/>
          <w:szCs w:val="24"/>
        </w:rPr>
        <w:t>21.</w:t>
      </w:r>
    </w:p>
    <w:p w14:paraId="55411C91" w14:textId="4B6AABAD" w:rsidR="00A70207" w:rsidRDefault="00A70207" w:rsidP="00A70207">
      <w:pPr>
        <w:rPr>
          <w:rFonts w:ascii="Arial" w:eastAsia="Times New Roman" w:hAnsi="Arial" w:cs="Arial"/>
          <w:color w:val="000000"/>
          <w:sz w:val="24"/>
          <w:szCs w:val="24"/>
        </w:rPr>
      </w:pPr>
      <w:r w:rsidRPr="00C7068F">
        <w:rPr>
          <w:rFonts w:ascii="Arial" w:eastAsia="Times New Roman" w:hAnsi="Arial" w:cs="Arial"/>
          <w:color w:val="000000"/>
          <w:sz w:val="24"/>
          <w:szCs w:val="24"/>
        </w:rPr>
        <w:t>Legislation Government (2019). </w:t>
      </w:r>
      <w:r w:rsidRPr="00C7068F">
        <w:rPr>
          <w:rFonts w:ascii="Arial" w:eastAsia="Times New Roman" w:hAnsi="Arial" w:cs="Arial"/>
          <w:i/>
          <w:iCs/>
          <w:color w:val="000000"/>
          <w:sz w:val="24"/>
          <w:szCs w:val="24"/>
        </w:rPr>
        <w:t>House of Commons Disqualification Act 1975. </w:t>
      </w:r>
      <w:r w:rsidRPr="00C7068F">
        <w:rPr>
          <w:rFonts w:ascii="Arial" w:eastAsia="Times New Roman" w:hAnsi="Arial" w:cs="Arial"/>
          <w:color w:val="000000"/>
          <w:sz w:val="24"/>
          <w:szCs w:val="24"/>
        </w:rPr>
        <w:t xml:space="preserve">Available at: </w:t>
      </w:r>
      <w:hyperlink r:id="rId13" w:tgtFrame="_blank" w:history="1">
        <w:r w:rsidRPr="00C7068F">
          <w:rPr>
            <w:rFonts w:ascii="Arial" w:eastAsia="Times New Roman" w:hAnsi="Arial" w:cs="Arial"/>
            <w:color w:val="0000FF"/>
            <w:sz w:val="24"/>
            <w:szCs w:val="24"/>
            <w:u w:val="single"/>
            <w:bdr w:val="none" w:sz="0" w:space="0" w:color="auto" w:frame="1"/>
          </w:rPr>
          <w:t>https://www.legislation.gov.uk/ukpga/1975/24/contents</w:t>
        </w:r>
      </w:hyperlink>
      <w:r w:rsidRPr="00C7068F">
        <w:rPr>
          <w:rFonts w:ascii="Arial" w:eastAsia="Times New Roman" w:hAnsi="Arial" w:cs="Arial"/>
          <w:sz w:val="24"/>
          <w:szCs w:val="24"/>
        </w:rPr>
        <w:t xml:space="preserve"> </w:t>
      </w:r>
      <w:r w:rsidRPr="00C7068F">
        <w:rPr>
          <w:rFonts w:ascii="Arial" w:eastAsia="Times New Roman" w:hAnsi="Arial" w:cs="Arial"/>
          <w:color w:val="000000"/>
          <w:sz w:val="24"/>
          <w:szCs w:val="24"/>
        </w:rPr>
        <w:t>Last accessed: 10/6/2021</w:t>
      </w:r>
    </w:p>
    <w:p w14:paraId="5648F173" w14:textId="08D88A6A" w:rsidR="00C7068F" w:rsidRPr="00C7068F" w:rsidRDefault="00C7068F" w:rsidP="00A70207">
      <w:pPr>
        <w:rPr>
          <w:rFonts w:ascii="Arial" w:eastAsia="Times New Roman" w:hAnsi="Arial" w:cs="Arial"/>
          <w:sz w:val="24"/>
          <w:szCs w:val="24"/>
        </w:rPr>
      </w:pPr>
      <w:r>
        <w:rPr>
          <w:rFonts w:ascii="Arial" w:eastAsia="Times New Roman" w:hAnsi="Arial" w:cs="Arial"/>
          <w:sz w:val="24"/>
          <w:szCs w:val="24"/>
        </w:rPr>
        <w:t xml:space="preserve">Nash, S. (2008). </w:t>
      </w:r>
      <w:r>
        <w:rPr>
          <w:rFonts w:ascii="Arial" w:eastAsia="Times New Roman" w:hAnsi="Arial" w:cs="Arial"/>
          <w:i/>
          <w:sz w:val="24"/>
          <w:szCs w:val="24"/>
        </w:rPr>
        <w:t xml:space="preserve">Judicial Council of California. </w:t>
      </w:r>
      <w:r>
        <w:rPr>
          <w:rFonts w:ascii="Arial" w:eastAsia="Times New Roman" w:hAnsi="Arial" w:cs="Arial"/>
          <w:sz w:val="24"/>
          <w:szCs w:val="24"/>
        </w:rPr>
        <w:t xml:space="preserve">Available at: </w:t>
      </w:r>
      <w:hyperlink r:id="rId14" w:history="1">
        <w:r w:rsidRPr="00F24E3D">
          <w:rPr>
            <w:rStyle w:val="Hyperlink"/>
            <w:rFonts w:ascii="Arial" w:eastAsia="Times New Roman" w:hAnsi="Arial" w:cs="Arial"/>
            <w:sz w:val="24"/>
            <w:szCs w:val="24"/>
          </w:rPr>
          <w:t>https://www.courts.ca.gov/documents/042508item1F.pdf</w:t>
        </w:r>
      </w:hyperlink>
      <w:r>
        <w:rPr>
          <w:rFonts w:ascii="Arial" w:eastAsia="Times New Roman" w:hAnsi="Arial" w:cs="Arial"/>
          <w:sz w:val="24"/>
          <w:szCs w:val="24"/>
        </w:rPr>
        <w:t xml:space="preserve"> Last accessed 20/0</w:t>
      </w:r>
      <w:r w:rsidR="001847E5">
        <w:rPr>
          <w:rFonts w:ascii="Arial" w:eastAsia="Times New Roman" w:hAnsi="Arial" w:cs="Arial"/>
          <w:sz w:val="24"/>
          <w:szCs w:val="24"/>
        </w:rPr>
        <w:t>6/2021</w:t>
      </w:r>
    </w:p>
    <w:p w14:paraId="3DF1CFF3" w14:textId="76EFA35B" w:rsidR="00A70207" w:rsidRPr="00C7068F" w:rsidRDefault="00A70207" w:rsidP="00A70207">
      <w:pPr>
        <w:rPr>
          <w:rFonts w:ascii="Arial" w:eastAsia="Times New Roman" w:hAnsi="Arial" w:cs="Arial"/>
          <w:sz w:val="24"/>
          <w:szCs w:val="24"/>
        </w:rPr>
      </w:pPr>
      <w:r w:rsidRPr="00C7068F">
        <w:rPr>
          <w:rFonts w:ascii="Arial" w:eastAsia="Times New Roman" w:hAnsi="Arial" w:cs="Arial"/>
          <w:color w:val="000000" w:themeColor="text1"/>
          <w:sz w:val="24"/>
          <w:szCs w:val="24"/>
        </w:rPr>
        <w:t xml:space="preserve">Parliament. (2014). </w:t>
      </w:r>
      <w:r w:rsidRPr="00C7068F">
        <w:rPr>
          <w:rFonts w:ascii="Arial" w:eastAsia="Times New Roman" w:hAnsi="Arial" w:cs="Arial"/>
          <w:bCs/>
          <w:i/>
          <w:color w:val="000000" w:themeColor="text1"/>
          <w:sz w:val="24"/>
          <w:szCs w:val="24"/>
        </w:rPr>
        <w:t xml:space="preserve">Mapping the Path towards Codifying - or Not Codifying - the UK Constitution. </w:t>
      </w:r>
      <w:r w:rsidRPr="00C7068F">
        <w:rPr>
          <w:rFonts w:ascii="Arial" w:eastAsia="Times New Roman" w:hAnsi="Arial" w:cs="Arial"/>
          <w:bCs/>
          <w:color w:val="000000" w:themeColor="text1"/>
          <w:sz w:val="24"/>
          <w:szCs w:val="24"/>
        </w:rPr>
        <w:t xml:space="preserve">Available at: </w:t>
      </w:r>
      <w:hyperlink r:id="rId15" w:history="1">
        <w:r w:rsidRPr="00C7068F">
          <w:rPr>
            <w:rStyle w:val="Hyperlink"/>
            <w:rFonts w:ascii="Arial" w:eastAsia="Times New Roman" w:hAnsi="Arial" w:cs="Arial"/>
            <w:bCs/>
            <w:sz w:val="24"/>
            <w:szCs w:val="24"/>
          </w:rPr>
          <w:t>https://publications.parliament.uk/pa/cm201415/cmselect/cmpolcon/463/46307.htm</w:t>
        </w:r>
      </w:hyperlink>
      <w:r w:rsidRPr="00C7068F">
        <w:rPr>
          <w:rFonts w:ascii="Arial" w:eastAsia="Times New Roman" w:hAnsi="Arial" w:cs="Arial"/>
          <w:bCs/>
          <w:color w:val="333333"/>
          <w:sz w:val="24"/>
          <w:szCs w:val="24"/>
        </w:rPr>
        <w:t xml:space="preserve"> </w:t>
      </w:r>
      <w:r w:rsidRPr="001847E5">
        <w:rPr>
          <w:rFonts w:ascii="Arial" w:eastAsia="Times New Roman" w:hAnsi="Arial" w:cs="Arial"/>
          <w:bCs/>
          <w:color w:val="000000" w:themeColor="text1"/>
          <w:sz w:val="24"/>
          <w:szCs w:val="24"/>
        </w:rPr>
        <w:t>Last accessed: 23/6/</w:t>
      </w:r>
      <w:r w:rsidR="001847E5" w:rsidRPr="001847E5">
        <w:rPr>
          <w:rFonts w:ascii="Arial" w:eastAsia="Times New Roman" w:hAnsi="Arial" w:cs="Arial"/>
          <w:bCs/>
          <w:color w:val="000000" w:themeColor="text1"/>
          <w:sz w:val="24"/>
          <w:szCs w:val="24"/>
        </w:rPr>
        <w:t>20</w:t>
      </w:r>
      <w:r w:rsidRPr="001847E5">
        <w:rPr>
          <w:rFonts w:ascii="Arial" w:eastAsia="Times New Roman" w:hAnsi="Arial" w:cs="Arial"/>
          <w:bCs/>
          <w:color w:val="000000" w:themeColor="text1"/>
          <w:sz w:val="24"/>
          <w:szCs w:val="24"/>
        </w:rPr>
        <w:t>21.</w:t>
      </w:r>
      <w:r w:rsidRPr="001847E5">
        <w:rPr>
          <w:rFonts w:ascii="Arial" w:eastAsia="Times New Roman" w:hAnsi="Arial" w:cs="Arial"/>
          <w:b/>
          <w:bCs/>
          <w:color w:val="000000" w:themeColor="text1"/>
          <w:sz w:val="24"/>
          <w:szCs w:val="24"/>
        </w:rPr>
        <w:t> </w:t>
      </w:r>
    </w:p>
    <w:p w14:paraId="00C37EFD" w14:textId="77777777" w:rsidR="00A70207" w:rsidRPr="00C7068F" w:rsidRDefault="00A70207" w:rsidP="00A70207">
      <w:pPr>
        <w:rPr>
          <w:rFonts w:ascii="Arial" w:eastAsia="Times New Roman" w:hAnsi="Arial" w:cs="Arial"/>
          <w:color w:val="000000"/>
          <w:sz w:val="24"/>
          <w:szCs w:val="24"/>
        </w:rPr>
      </w:pPr>
      <w:r w:rsidRPr="00C7068F">
        <w:rPr>
          <w:rFonts w:ascii="Arial" w:eastAsia="Times New Roman" w:hAnsi="Arial" w:cs="Arial"/>
          <w:color w:val="000000"/>
          <w:sz w:val="24"/>
          <w:szCs w:val="24"/>
        </w:rPr>
        <w:t>Parliamentary Education Office (PEO) (2020). </w:t>
      </w:r>
      <w:r w:rsidRPr="00C7068F">
        <w:rPr>
          <w:rFonts w:ascii="Arial" w:eastAsia="Times New Roman" w:hAnsi="Arial" w:cs="Arial"/>
          <w:i/>
          <w:iCs/>
          <w:color w:val="000000"/>
          <w:sz w:val="24"/>
          <w:szCs w:val="24"/>
        </w:rPr>
        <w:t>Separation of powers: Parliament, Executive and Judicary. </w:t>
      </w:r>
      <w:r w:rsidRPr="00C7068F">
        <w:rPr>
          <w:rFonts w:ascii="Arial" w:eastAsia="Times New Roman" w:hAnsi="Arial" w:cs="Arial"/>
          <w:color w:val="000000"/>
          <w:sz w:val="24"/>
          <w:szCs w:val="24"/>
        </w:rPr>
        <w:t xml:space="preserve">Available at: </w:t>
      </w:r>
      <w:hyperlink r:id="rId16" w:tgtFrame="_blank" w:history="1">
        <w:r w:rsidRPr="00C7068F">
          <w:rPr>
            <w:rFonts w:ascii="Arial" w:eastAsia="Times New Roman" w:hAnsi="Arial" w:cs="Arial"/>
            <w:color w:val="0000FF"/>
            <w:sz w:val="24"/>
            <w:szCs w:val="24"/>
            <w:u w:val="single"/>
            <w:bdr w:val="none" w:sz="0" w:space="0" w:color="auto" w:frame="1"/>
          </w:rPr>
          <w:t>https://peo.gov.au/understand-our-parliament/how-parliament-works/system-of-government/separation-of-powers/</w:t>
        </w:r>
      </w:hyperlink>
      <w:r w:rsidRPr="00C7068F">
        <w:rPr>
          <w:rFonts w:ascii="Arial" w:eastAsia="Times New Roman" w:hAnsi="Arial" w:cs="Arial"/>
          <w:sz w:val="24"/>
          <w:szCs w:val="24"/>
        </w:rPr>
        <w:t xml:space="preserve"> </w:t>
      </w:r>
      <w:r w:rsidRPr="00C7068F">
        <w:rPr>
          <w:rFonts w:ascii="Arial" w:eastAsia="Times New Roman" w:hAnsi="Arial" w:cs="Arial"/>
          <w:color w:val="000000"/>
          <w:sz w:val="24"/>
          <w:szCs w:val="24"/>
        </w:rPr>
        <w:t>Last accessed: 12/06/2021</w:t>
      </w:r>
    </w:p>
    <w:p w14:paraId="66EB5DFD" w14:textId="77777777" w:rsidR="00A70207" w:rsidRPr="00C7068F" w:rsidRDefault="00A70207" w:rsidP="00A70207">
      <w:pPr>
        <w:rPr>
          <w:rFonts w:ascii="Arial" w:eastAsia="Times New Roman" w:hAnsi="Arial" w:cs="Arial"/>
          <w:sz w:val="24"/>
          <w:szCs w:val="24"/>
        </w:rPr>
      </w:pPr>
      <w:r w:rsidRPr="00C7068F">
        <w:rPr>
          <w:rFonts w:ascii="Arial" w:eastAsia="Times New Roman" w:hAnsi="Arial" w:cs="Arial"/>
          <w:sz w:val="24"/>
          <w:szCs w:val="24"/>
        </w:rPr>
        <w:t xml:space="preserve">Poole, T. (2017). </w:t>
      </w:r>
      <w:r w:rsidRPr="00C7068F">
        <w:rPr>
          <w:rFonts w:ascii="Arial" w:eastAsia="Times New Roman" w:hAnsi="Arial" w:cs="Arial"/>
          <w:i/>
          <w:sz w:val="24"/>
          <w:szCs w:val="24"/>
        </w:rPr>
        <w:t xml:space="preserve">Locke on the Federative. </w:t>
      </w:r>
      <w:r w:rsidRPr="00C7068F">
        <w:rPr>
          <w:rFonts w:ascii="Arial" w:eastAsia="Times New Roman" w:hAnsi="Arial" w:cs="Arial"/>
          <w:sz w:val="24"/>
          <w:szCs w:val="24"/>
        </w:rPr>
        <w:t xml:space="preserve">Available at: </w:t>
      </w:r>
      <w:hyperlink r:id="rId17" w:history="1">
        <w:r w:rsidRPr="00C7068F">
          <w:rPr>
            <w:rStyle w:val="Hyperlink"/>
            <w:rFonts w:ascii="Arial" w:eastAsia="Times New Roman" w:hAnsi="Arial" w:cs="Arial"/>
            <w:sz w:val="24"/>
            <w:szCs w:val="24"/>
          </w:rPr>
          <w:t>http://eprints.lse.ac.uk/87576/1/Poole_Locke%20Federative_Author.pdf</w:t>
        </w:r>
      </w:hyperlink>
      <w:r w:rsidRPr="00C7068F">
        <w:rPr>
          <w:rFonts w:ascii="Arial" w:eastAsia="Times New Roman" w:hAnsi="Arial" w:cs="Arial"/>
          <w:sz w:val="24"/>
          <w:szCs w:val="24"/>
        </w:rPr>
        <w:t>. Last accessed: 21/06/2021</w:t>
      </w:r>
    </w:p>
    <w:p w14:paraId="550BA749" w14:textId="438602E1" w:rsidR="00B710E1" w:rsidRDefault="009554A7" w:rsidP="00A70207">
      <w:pPr>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Prince, B. (2015). </w:t>
      </w:r>
      <w:r>
        <w:rPr>
          <w:rFonts w:ascii="Arial" w:eastAsia="Times New Roman" w:hAnsi="Arial" w:cs="Arial"/>
          <w:i/>
          <w:color w:val="000000"/>
          <w:sz w:val="24"/>
          <w:szCs w:val="24"/>
        </w:rPr>
        <w:t xml:space="preserve">Why I’m standing from Parliament: Sir John Major. </w:t>
      </w:r>
      <w:r>
        <w:rPr>
          <w:rFonts w:ascii="Arial" w:eastAsia="Times New Roman" w:hAnsi="Arial" w:cs="Arial"/>
          <w:color w:val="000000"/>
          <w:sz w:val="24"/>
          <w:szCs w:val="24"/>
        </w:rPr>
        <w:t xml:space="preserve">Available at: </w:t>
      </w:r>
      <w:r>
        <w:rPr>
          <w:rFonts w:ascii="Arial" w:eastAsia="Times New Roman" w:hAnsi="Arial" w:cs="Arial"/>
          <w:color w:val="000000"/>
          <w:sz w:val="24"/>
          <w:szCs w:val="24"/>
        </w:rPr>
        <w:fldChar w:fldCharType="begin"/>
      </w:r>
      <w:r>
        <w:rPr>
          <w:rFonts w:ascii="Arial" w:eastAsia="Times New Roman" w:hAnsi="Arial" w:cs="Arial"/>
          <w:color w:val="000000"/>
          <w:sz w:val="24"/>
          <w:szCs w:val="24"/>
        </w:rPr>
        <w:instrText xml:space="preserve"> HYPERLINK "</w:instrText>
      </w:r>
      <w:r w:rsidRPr="009554A7">
        <w:rPr>
          <w:rFonts w:ascii="Arial" w:eastAsia="Times New Roman" w:hAnsi="Arial" w:cs="Arial"/>
          <w:color w:val="000000"/>
          <w:sz w:val="24"/>
          <w:szCs w:val="24"/>
        </w:rPr>
        <w:instrText>https://www.telegraph.co.uk/news/politics/11361128/Why-Im-standing-down-from-Parliament-Sir-Tony-Baldry-MP-for-Banbury.html</w:instrText>
      </w:r>
      <w:r>
        <w:rPr>
          <w:rFonts w:ascii="Arial" w:eastAsia="Times New Roman" w:hAnsi="Arial" w:cs="Arial"/>
          <w:color w:val="000000"/>
          <w:sz w:val="24"/>
          <w:szCs w:val="24"/>
        </w:rPr>
        <w:instrText xml:space="preserve">" </w:instrText>
      </w:r>
      <w:r>
        <w:rPr>
          <w:rFonts w:ascii="Arial" w:eastAsia="Times New Roman" w:hAnsi="Arial" w:cs="Arial"/>
          <w:color w:val="000000"/>
          <w:sz w:val="24"/>
          <w:szCs w:val="24"/>
        </w:rPr>
        <w:fldChar w:fldCharType="separate"/>
      </w:r>
      <w:r w:rsidRPr="00913173">
        <w:rPr>
          <w:rStyle w:val="Hyperlink"/>
          <w:rFonts w:ascii="Arial" w:eastAsia="Times New Roman" w:hAnsi="Arial" w:cs="Arial"/>
          <w:sz w:val="24"/>
          <w:szCs w:val="24"/>
        </w:rPr>
        <w:t>https://www.telegraph.co.uk/news/politics/11361128/Why-Im-standing-down-from-Parliament-Sir-Tony-Baldry-MP-for-Banbury.html</w:t>
      </w:r>
      <w:r>
        <w:rPr>
          <w:rFonts w:ascii="Arial" w:eastAsia="Times New Roman" w:hAnsi="Arial" w:cs="Arial"/>
          <w:color w:val="000000"/>
          <w:sz w:val="24"/>
          <w:szCs w:val="24"/>
        </w:rPr>
        <w:fldChar w:fldCharType="end"/>
      </w:r>
      <w:r>
        <w:rPr>
          <w:rFonts w:ascii="Arial" w:eastAsia="Times New Roman" w:hAnsi="Arial" w:cs="Arial"/>
          <w:color w:val="000000"/>
          <w:sz w:val="24"/>
          <w:szCs w:val="24"/>
        </w:rPr>
        <w:t xml:space="preserve"> Last accessed 15/10/21.</w:t>
      </w:r>
      <w:bookmarkStart w:id="0" w:name="_GoBack"/>
      <w:bookmarkEnd w:id="0"/>
    </w:p>
    <w:p w14:paraId="2EC5701A" w14:textId="613038EF" w:rsidR="00FF43E3" w:rsidRPr="00FF43E3" w:rsidRDefault="00B710E1" w:rsidP="00A70207">
      <w:pPr>
        <w:rPr>
          <w:rFonts w:ascii="Arial" w:eastAsia="Times New Roman" w:hAnsi="Arial" w:cs="Arial"/>
          <w:color w:val="000000" w:themeColor="text1"/>
          <w:sz w:val="24"/>
          <w:szCs w:val="24"/>
        </w:rPr>
      </w:pPr>
      <w:r w:rsidRPr="00B710E1">
        <w:rPr>
          <w:rFonts w:ascii="Arial" w:eastAsia="Times New Roman" w:hAnsi="Arial" w:cs="Arial"/>
          <w:color w:val="000000" w:themeColor="text1"/>
          <w:sz w:val="24"/>
          <w:szCs w:val="24"/>
        </w:rPr>
        <w:t xml:space="preserve">Metelska-Szaniawska, K. (2020). </w:t>
      </w:r>
      <w:r w:rsidRPr="00B710E1">
        <w:rPr>
          <w:rFonts w:ascii="Arial" w:eastAsia="Times New Roman" w:hAnsi="Arial" w:cs="Arial"/>
          <w:i/>
          <w:color w:val="000000" w:themeColor="text1"/>
          <w:sz w:val="24"/>
          <w:szCs w:val="24"/>
        </w:rPr>
        <w:t xml:space="preserve">Seperation of Power. </w:t>
      </w:r>
      <w:r w:rsidR="009554A7">
        <w:rPr>
          <w:rFonts w:ascii="Arial" w:eastAsia="Times New Roman" w:hAnsi="Arial" w:cs="Arial"/>
          <w:color w:val="000000" w:themeColor="text1"/>
          <w:sz w:val="24"/>
          <w:szCs w:val="24"/>
        </w:rPr>
        <w:t>Last a</w:t>
      </w:r>
      <w:r w:rsidRPr="00B710E1">
        <w:rPr>
          <w:rFonts w:ascii="Arial" w:eastAsia="Times New Roman" w:hAnsi="Arial" w:cs="Arial"/>
          <w:color w:val="000000" w:themeColor="text1"/>
          <w:sz w:val="24"/>
          <w:szCs w:val="24"/>
        </w:rPr>
        <w:t xml:space="preserve">ccessed 15/10/21. DOI: </w:t>
      </w:r>
      <w:hyperlink r:id="rId18" w:history="1">
        <w:r w:rsidR="00963299" w:rsidRPr="00913173">
          <w:rPr>
            <w:rStyle w:val="Hyperlink"/>
            <w:rFonts w:ascii="Arial" w:eastAsia="Times New Roman" w:hAnsi="Arial" w:cs="Arial"/>
            <w:spacing w:val="4"/>
            <w:sz w:val="24"/>
            <w:szCs w:val="24"/>
          </w:rPr>
          <w:t>https://doi.org/10.1007/978-1-4614-7883-6_656-2</w:t>
        </w:r>
      </w:hyperlink>
      <w:r w:rsidR="00963299">
        <w:rPr>
          <w:rFonts w:ascii="Arial" w:eastAsia="Times New Roman" w:hAnsi="Arial" w:cs="Arial"/>
          <w:color w:val="000000" w:themeColor="text1"/>
          <w:spacing w:val="4"/>
          <w:sz w:val="24"/>
          <w:szCs w:val="24"/>
        </w:rPr>
        <w:t xml:space="preserve"> </w:t>
      </w:r>
    </w:p>
    <w:p w14:paraId="4C3BBE0B" w14:textId="647BDA90" w:rsidR="00A70207" w:rsidRPr="00C7068F" w:rsidRDefault="00A70207" w:rsidP="001847E5">
      <w:pPr>
        <w:rPr>
          <w:rFonts w:ascii="Arial" w:eastAsia="Times New Roman" w:hAnsi="Arial" w:cs="Arial"/>
          <w:color w:val="000000"/>
          <w:sz w:val="24"/>
          <w:szCs w:val="24"/>
        </w:rPr>
      </w:pPr>
      <w:r w:rsidRPr="00C7068F">
        <w:rPr>
          <w:rFonts w:ascii="Arial" w:eastAsia="Times New Roman" w:hAnsi="Arial" w:cs="Arial"/>
          <w:color w:val="000000"/>
          <w:sz w:val="24"/>
          <w:szCs w:val="24"/>
        </w:rPr>
        <w:t xml:space="preserve">Supereme Courts. (2012) </w:t>
      </w:r>
      <w:r w:rsidRPr="00C7068F">
        <w:rPr>
          <w:rFonts w:ascii="Arial" w:eastAsia="Times New Roman" w:hAnsi="Arial" w:cs="Arial"/>
          <w:i/>
          <w:color w:val="000000"/>
          <w:sz w:val="24"/>
          <w:szCs w:val="24"/>
        </w:rPr>
        <w:t>Separation of Powers.</w:t>
      </w:r>
      <w:r w:rsidRPr="00C7068F">
        <w:rPr>
          <w:rFonts w:ascii="Arial" w:eastAsia="Times New Roman" w:hAnsi="Arial" w:cs="Arial"/>
          <w:color w:val="000000"/>
          <w:sz w:val="24"/>
          <w:szCs w:val="24"/>
        </w:rPr>
        <w:t xml:space="preserve"> </w:t>
      </w:r>
      <w:hyperlink r:id="rId19" w:history="1">
        <w:r w:rsidRPr="00C7068F">
          <w:rPr>
            <w:rStyle w:val="Hyperlink"/>
            <w:rFonts w:ascii="Arial" w:eastAsia="Times New Roman" w:hAnsi="Arial" w:cs="Arial"/>
            <w:sz w:val="24"/>
            <w:szCs w:val="24"/>
          </w:rPr>
          <w:t>https://www.supremecourt.uk/docs/separation-of-powers-post-visit-worksheets-for-students.pdf</w:t>
        </w:r>
      </w:hyperlink>
      <w:r w:rsidRPr="00C7068F">
        <w:rPr>
          <w:rFonts w:ascii="Arial" w:eastAsia="Times New Roman" w:hAnsi="Arial" w:cs="Arial"/>
          <w:color w:val="000000"/>
          <w:sz w:val="24"/>
          <w:szCs w:val="24"/>
        </w:rPr>
        <w:t xml:space="preserve"> Last accessed 12/06/21. </w:t>
      </w:r>
    </w:p>
    <w:p w14:paraId="0E686613" w14:textId="2600AAB0" w:rsidR="00C7068F" w:rsidRPr="00C7068F" w:rsidRDefault="00C7068F" w:rsidP="00A70207">
      <w:pPr>
        <w:pStyle w:val="xp1"/>
        <w:spacing w:before="0" w:beforeAutospacing="0" w:after="0" w:afterAutospacing="0"/>
        <w:rPr>
          <w:rFonts w:ascii="Arial" w:hAnsi="Arial" w:cs="Arial"/>
          <w:color w:val="000000"/>
        </w:rPr>
      </w:pPr>
      <w:r w:rsidRPr="00C7068F">
        <w:rPr>
          <w:rFonts w:ascii="Arial" w:hAnsi="Arial" w:cs="Arial"/>
          <w:color w:val="000000"/>
        </w:rPr>
        <w:t xml:space="preserve">UK Parliament (2016). </w:t>
      </w:r>
      <w:r w:rsidRPr="00C7068F">
        <w:rPr>
          <w:rFonts w:ascii="Arial" w:hAnsi="Arial" w:cs="Arial"/>
          <w:i/>
          <w:color w:val="000000"/>
        </w:rPr>
        <w:t xml:space="preserve">New measures needed to safeguard scrutiny of public spending. </w:t>
      </w:r>
      <w:r w:rsidRPr="00C7068F">
        <w:rPr>
          <w:rFonts w:ascii="Arial" w:hAnsi="Arial" w:cs="Arial"/>
          <w:color w:val="000000"/>
        </w:rPr>
        <w:t xml:space="preserve">Available at: </w:t>
      </w:r>
      <w:hyperlink r:id="rId20" w:history="1">
        <w:r w:rsidRPr="00C7068F">
          <w:rPr>
            <w:rStyle w:val="Hyperlink"/>
            <w:rFonts w:ascii="Arial" w:hAnsi="Arial" w:cs="Arial"/>
          </w:rPr>
          <w:t>https://committees.parliament.uk/committee/127/public-accounts-committee/news/98479/new-measures-needed-to-safeguard-scrutiny-of-public-spending/</w:t>
        </w:r>
      </w:hyperlink>
      <w:r w:rsidRPr="00C7068F">
        <w:rPr>
          <w:rFonts w:ascii="Arial" w:hAnsi="Arial" w:cs="Arial"/>
          <w:color w:val="000000"/>
        </w:rPr>
        <w:t xml:space="preserve"> Last accessed: 10/06/2021</w:t>
      </w:r>
    </w:p>
    <w:p w14:paraId="3D677A8C" w14:textId="77777777" w:rsidR="00C7068F" w:rsidRPr="00C7068F" w:rsidRDefault="00C7068F" w:rsidP="00A70207">
      <w:pPr>
        <w:pStyle w:val="xp1"/>
        <w:spacing w:before="0" w:beforeAutospacing="0" w:after="0" w:afterAutospacing="0"/>
        <w:rPr>
          <w:rFonts w:ascii="Arial" w:hAnsi="Arial" w:cs="Arial"/>
          <w:color w:val="000000"/>
        </w:rPr>
      </w:pPr>
    </w:p>
    <w:p w14:paraId="4D28E38B" w14:textId="05227645" w:rsidR="00A70207" w:rsidRPr="00C7068F" w:rsidRDefault="00A70207" w:rsidP="00A70207">
      <w:pPr>
        <w:pStyle w:val="xp1"/>
        <w:spacing w:before="0" w:beforeAutospacing="0" w:after="0" w:afterAutospacing="0"/>
        <w:rPr>
          <w:rFonts w:ascii="Arial" w:hAnsi="Arial" w:cs="Arial"/>
          <w:color w:val="0000FF"/>
          <w:u w:val="single"/>
          <w:bdr w:val="none" w:sz="0" w:space="0" w:color="auto" w:frame="1"/>
        </w:rPr>
      </w:pPr>
      <w:r w:rsidRPr="00C7068F">
        <w:rPr>
          <w:rFonts w:ascii="Arial" w:hAnsi="Arial" w:cs="Arial"/>
          <w:color w:val="000000"/>
        </w:rPr>
        <w:t>UK Parliament (2021). </w:t>
      </w:r>
      <w:r w:rsidRPr="00C7068F">
        <w:rPr>
          <w:rFonts w:ascii="Arial" w:hAnsi="Arial" w:cs="Arial"/>
          <w:i/>
          <w:iCs/>
          <w:color w:val="000000"/>
        </w:rPr>
        <w:t>Constituition. </w:t>
      </w:r>
      <w:r w:rsidRPr="00C7068F">
        <w:rPr>
          <w:rFonts w:ascii="Arial" w:hAnsi="Arial" w:cs="Arial"/>
          <w:color w:val="000000"/>
        </w:rPr>
        <w:t xml:space="preserve">Available at: </w:t>
      </w:r>
      <w:hyperlink r:id="rId21" w:anchor="/constitution-government/intro-to-constitution/three-branches-government/?tab=overview&amp;lang=en" w:tgtFrame="_blank" w:history="1">
        <w:r w:rsidRPr="00C7068F">
          <w:rPr>
            <w:rFonts w:ascii="Arial" w:hAnsi="Arial" w:cs="Arial"/>
            <w:color w:val="0000FF"/>
            <w:u w:val="single"/>
            <w:bdr w:val="none" w:sz="0" w:space="0" w:color="auto" w:frame="1"/>
          </w:rPr>
          <w:t>https://law.gov.wales/constitution-government/intro-to-constitution/three-branches-government/?lang=en#/constitution-government/intro-to-constitution/three-branches-government/?tab=overview&amp;lang=en</w:t>
        </w:r>
      </w:hyperlink>
      <w:r w:rsidR="00C7068F" w:rsidRPr="00C7068F">
        <w:rPr>
          <w:rFonts w:ascii="Arial" w:hAnsi="Arial" w:cs="Arial"/>
          <w:color w:val="0000FF"/>
          <w:u w:val="single"/>
          <w:bdr w:val="none" w:sz="0" w:space="0" w:color="auto" w:frame="1"/>
        </w:rPr>
        <w:t xml:space="preserve"> </w:t>
      </w:r>
    </w:p>
    <w:p w14:paraId="161FD6A3" w14:textId="6005DFAB" w:rsidR="00C7068F" w:rsidRDefault="00C7068F" w:rsidP="00A70207">
      <w:pPr>
        <w:pStyle w:val="xp1"/>
        <w:spacing w:before="0" w:beforeAutospacing="0" w:after="0" w:afterAutospacing="0"/>
        <w:rPr>
          <w:rFonts w:ascii="Arial" w:hAnsi="Arial" w:cs="Arial"/>
          <w:color w:val="000000"/>
        </w:rPr>
      </w:pPr>
      <w:r w:rsidRPr="00C7068F">
        <w:rPr>
          <w:rFonts w:ascii="Arial" w:hAnsi="Arial" w:cs="Arial"/>
          <w:color w:val="000000"/>
        </w:rPr>
        <w:t>Last accessed: 10/06/2021</w:t>
      </w:r>
    </w:p>
    <w:p w14:paraId="2012051C" w14:textId="77777777" w:rsidR="00DB5028" w:rsidRDefault="00DB5028" w:rsidP="00A70207">
      <w:pPr>
        <w:rPr>
          <w:rFonts w:ascii="Arial" w:eastAsia="Times New Roman" w:hAnsi="Arial" w:cs="Arial"/>
          <w:color w:val="000000"/>
          <w:sz w:val="24"/>
          <w:szCs w:val="24"/>
        </w:rPr>
      </w:pPr>
    </w:p>
    <w:p w14:paraId="1B0E610F" w14:textId="48DEA2A2" w:rsidR="00A70207" w:rsidRPr="00C7068F" w:rsidRDefault="00A70207" w:rsidP="00A70207">
      <w:pPr>
        <w:rPr>
          <w:rFonts w:ascii="Arial" w:eastAsia="Times New Roman" w:hAnsi="Arial" w:cs="Arial"/>
          <w:sz w:val="24"/>
          <w:szCs w:val="24"/>
        </w:rPr>
      </w:pPr>
      <w:r w:rsidRPr="00C7068F">
        <w:rPr>
          <w:rFonts w:ascii="Arial" w:eastAsia="Times New Roman" w:hAnsi="Arial" w:cs="Arial"/>
          <w:color w:val="000000"/>
          <w:sz w:val="24"/>
          <w:szCs w:val="24"/>
        </w:rPr>
        <w:t>Welsh Government (2016). </w:t>
      </w:r>
      <w:r w:rsidRPr="00C7068F">
        <w:rPr>
          <w:rFonts w:ascii="Arial" w:eastAsia="Times New Roman" w:hAnsi="Arial" w:cs="Arial"/>
          <w:i/>
          <w:iCs/>
          <w:color w:val="000000"/>
          <w:sz w:val="24"/>
          <w:szCs w:val="24"/>
        </w:rPr>
        <w:t>The three branches of government. </w:t>
      </w:r>
      <w:r w:rsidRPr="00C7068F">
        <w:rPr>
          <w:rFonts w:ascii="Arial" w:eastAsia="Times New Roman" w:hAnsi="Arial" w:cs="Arial"/>
          <w:color w:val="000000"/>
          <w:sz w:val="24"/>
          <w:szCs w:val="24"/>
        </w:rPr>
        <w:t xml:space="preserve">Available at: </w:t>
      </w:r>
      <w:hyperlink r:id="rId22" w:anchor="/constitution-government/intro-to-constitution/three-branches-government/?tab=overview&amp;lang=en" w:tgtFrame="_blank" w:history="1">
        <w:r w:rsidRPr="00C7068F">
          <w:rPr>
            <w:rFonts w:ascii="Arial" w:eastAsia="Times New Roman" w:hAnsi="Arial" w:cs="Arial"/>
            <w:color w:val="0000FF"/>
            <w:sz w:val="24"/>
            <w:szCs w:val="24"/>
            <w:u w:val="single"/>
            <w:bdr w:val="none" w:sz="0" w:space="0" w:color="auto" w:frame="1"/>
          </w:rPr>
          <w:t>https://law.gov.wales/constitution-government/intro-to-constitution/three-branches-government/?lang=en#/constitution-government/intro-to-constitution/three-branches-government/?tab=overview&amp;lang=en</w:t>
        </w:r>
      </w:hyperlink>
      <w:r w:rsidRPr="00C7068F">
        <w:rPr>
          <w:rFonts w:ascii="Arial" w:eastAsia="Times New Roman" w:hAnsi="Arial" w:cs="Arial"/>
          <w:sz w:val="24"/>
          <w:szCs w:val="24"/>
        </w:rPr>
        <w:t xml:space="preserve"> </w:t>
      </w:r>
      <w:r w:rsidRPr="00C7068F">
        <w:rPr>
          <w:rFonts w:ascii="Arial" w:eastAsia="Times New Roman" w:hAnsi="Arial" w:cs="Arial"/>
          <w:color w:val="000000"/>
          <w:sz w:val="24"/>
          <w:szCs w:val="24"/>
        </w:rPr>
        <w:t>Last accessed: 10/06/2021.</w:t>
      </w:r>
    </w:p>
    <w:p w14:paraId="68F48D7E" w14:textId="2099E81F" w:rsidR="00841F99" w:rsidRDefault="00841F99"/>
    <w:p w14:paraId="07476EEC" w14:textId="5A770902" w:rsidR="008A5CF0" w:rsidRDefault="008A5CF0"/>
    <w:p w14:paraId="23A17130" w14:textId="038001A7" w:rsidR="008A5CF0" w:rsidRDefault="008A5CF0"/>
    <w:p w14:paraId="5E648BF3" w14:textId="155F0B2E" w:rsidR="00DE1B68" w:rsidRDefault="00DE1B68"/>
    <w:p w14:paraId="7A3C8EF1" w14:textId="0044AC57" w:rsidR="00A70207" w:rsidRDefault="00A70207"/>
    <w:p w14:paraId="65943196" w14:textId="013F393D" w:rsidR="00A70207" w:rsidRDefault="00A70207"/>
    <w:p w14:paraId="718390AE" w14:textId="5F5253E7" w:rsidR="00A70207" w:rsidRDefault="00A70207"/>
    <w:p w14:paraId="7469B17C" w14:textId="15CAE9D2" w:rsidR="00A70207" w:rsidRDefault="00A70207"/>
    <w:p w14:paraId="2478D5DD" w14:textId="0A20B3C2" w:rsidR="00A70207" w:rsidRDefault="00A70207"/>
    <w:p w14:paraId="239CC16A" w14:textId="4FB4D23A" w:rsidR="007F4161" w:rsidRDefault="007F4161"/>
    <w:p w14:paraId="66F1E94A" w14:textId="698F9D23" w:rsidR="007F4161" w:rsidRDefault="007F4161"/>
    <w:p w14:paraId="458C3F13" w14:textId="305CA34E" w:rsidR="007F4161" w:rsidRDefault="007F4161"/>
    <w:p w14:paraId="6CF1B449" w14:textId="0F9E4344" w:rsidR="007F4161" w:rsidRDefault="007F4161"/>
    <w:p w14:paraId="21E7F528" w14:textId="5AB4CB22" w:rsidR="007F4161" w:rsidRDefault="007F4161"/>
    <w:p w14:paraId="10312BEF" w14:textId="77777777" w:rsidR="007F4161" w:rsidRDefault="007F4161"/>
    <w:p w14:paraId="1BCEDB2C" w14:textId="449260F9" w:rsidR="00BC0018" w:rsidRPr="00FD0C6D" w:rsidRDefault="00B70DAC" w:rsidP="00FD0C6D">
      <w:pPr>
        <w:rPr>
          <w:rFonts w:ascii="Arial" w:hAnsi="Arial" w:cs="Arial"/>
          <w:b/>
          <w:sz w:val="24"/>
          <w:u w:val="single"/>
        </w:rPr>
      </w:pPr>
      <w:r w:rsidRPr="00FD0C6D">
        <w:rPr>
          <w:rFonts w:ascii="Arial" w:hAnsi="Arial" w:cs="Arial"/>
          <w:b/>
          <w:sz w:val="24"/>
          <w:u w:val="single"/>
        </w:rPr>
        <w:t xml:space="preserve">Part </w:t>
      </w:r>
      <w:r w:rsidR="00F75280" w:rsidRPr="00FD0C6D">
        <w:rPr>
          <w:rFonts w:ascii="Arial" w:hAnsi="Arial" w:cs="Arial"/>
          <w:b/>
          <w:sz w:val="24"/>
          <w:u w:val="single"/>
        </w:rPr>
        <w:t>T</w:t>
      </w:r>
      <w:r w:rsidRPr="00FD0C6D">
        <w:rPr>
          <w:rFonts w:ascii="Arial" w:hAnsi="Arial" w:cs="Arial"/>
          <w:b/>
          <w:sz w:val="24"/>
          <w:u w:val="single"/>
        </w:rPr>
        <w:t>wo</w:t>
      </w:r>
      <w:r w:rsidR="00461789">
        <w:rPr>
          <w:rFonts w:ascii="Arial" w:hAnsi="Arial" w:cs="Arial"/>
          <w:b/>
          <w:sz w:val="24"/>
          <w:u w:val="single"/>
        </w:rPr>
        <w:t xml:space="preserve"> </w:t>
      </w:r>
    </w:p>
    <w:p w14:paraId="4F2427A8" w14:textId="147B18EF" w:rsidR="002C6975" w:rsidRPr="002C6975" w:rsidRDefault="002C6975" w:rsidP="00B939BA">
      <w:pPr>
        <w:rPr>
          <w:rFonts w:ascii="Arial" w:hAnsi="Arial" w:cs="Arial"/>
          <w:b/>
          <w:sz w:val="24"/>
        </w:rPr>
      </w:pPr>
      <w:r w:rsidRPr="002C6975">
        <w:rPr>
          <w:rFonts w:ascii="Arial" w:hAnsi="Arial" w:cs="Arial"/>
          <w:b/>
          <w:sz w:val="24"/>
        </w:rPr>
        <w:t>A</w:t>
      </w:r>
      <w:r w:rsidR="00FD0C6D">
        <w:rPr>
          <w:rFonts w:ascii="Arial" w:hAnsi="Arial" w:cs="Arial"/>
          <w:b/>
          <w:sz w:val="24"/>
        </w:rPr>
        <w:t>)</w:t>
      </w:r>
    </w:p>
    <w:p w14:paraId="7E836783" w14:textId="32D91CFB" w:rsidR="00CE1144" w:rsidRPr="00CE1144" w:rsidRDefault="00150067" w:rsidP="00CE1144">
      <w:pPr>
        <w:rPr>
          <w:rFonts w:ascii="Arial" w:hAnsi="Arial" w:cs="Arial"/>
          <w:sz w:val="24"/>
        </w:rPr>
      </w:pPr>
      <w:r>
        <w:rPr>
          <w:rFonts w:ascii="Arial" w:hAnsi="Arial" w:cs="Arial"/>
          <w:sz w:val="24"/>
        </w:rPr>
        <w:t xml:space="preserve">Chief Constable may utilise certain authorities or police powers in order to control or prohibit the intended march. </w:t>
      </w:r>
      <w:r w:rsidR="00933BC3">
        <w:rPr>
          <w:rFonts w:ascii="Arial" w:hAnsi="Arial" w:cs="Arial"/>
          <w:sz w:val="24"/>
        </w:rPr>
        <w:t xml:space="preserve">He may use certain powers if deemed important to do so, examples include violence, harassment and serious damage to surrounding buildings and properties. Due to the march taking place during busy hours in the town centre, it can also cause major disruption. </w:t>
      </w:r>
      <w:r w:rsidR="00B70DAC" w:rsidRPr="007E2446">
        <w:rPr>
          <w:rFonts w:ascii="Arial" w:hAnsi="Arial" w:cs="Arial"/>
          <w:sz w:val="24"/>
        </w:rPr>
        <w:t xml:space="preserve">Police power is grouped into three categories which includes the power of investigating crime. This involves variety of powers to collect evidence which is used to identify the suspect to support their trial. The second category is power which prevents crime. This includes range of power to maintain public order and also social behaviour. The third category entails power of disposing of criminal cases. These powers allow police officers to dispute all criminal </w:t>
      </w:r>
      <w:r w:rsidR="00933BC3">
        <w:rPr>
          <w:rFonts w:ascii="Arial" w:hAnsi="Arial" w:cs="Arial"/>
          <w:sz w:val="24"/>
        </w:rPr>
        <w:t>activities and, in this scenario, to disperse large crowds.</w:t>
      </w:r>
      <w:r w:rsidR="00B70DAC" w:rsidRPr="007E2446">
        <w:rPr>
          <w:rFonts w:ascii="Arial" w:hAnsi="Arial" w:cs="Arial"/>
          <w:sz w:val="24"/>
        </w:rPr>
        <w:t xml:space="preserve"> </w:t>
      </w:r>
    </w:p>
    <w:p w14:paraId="4F740170" w14:textId="642C0C1E" w:rsidR="00933BC3" w:rsidRDefault="00933BC3">
      <w:pPr>
        <w:rPr>
          <w:rFonts w:ascii="Arial" w:hAnsi="Arial" w:cs="Arial"/>
          <w:sz w:val="24"/>
        </w:rPr>
      </w:pPr>
      <w:r>
        <w:rPr>
          <w:rFonts w:ascii="Arial" w:hAnsi="Arial" w:cs="Arial"/>
          <w:sz w:val="24"/>
        </w:rPr>
        <w:t xml:space="preserve">On the other hand, if Menna conducts a peaceful protest and remains within intended routes this could assist in being able to effectively manage the intended march without causing inconvenience to other citizens. The freedom to peacefully protest has been incorporated into society and therefore police officers must </w:t>
      </w:r>
      <w:r w:rsidR="00BB4369">
        <w:rPr>
          <w:rFonts w:ascii="Arial" w:hAnsi="Arial" w:cs="Arial"/>
          <w:sz w:val="24"/>
        </w:rPr>
        <w:t>incorporate</w:t>
      </w:r>
      <w:r>
        <w:rPr>
          <w:rFonts w:ascii="Arial" w:hAnsi="Arial" w:cs="Arial"/>
          <w:sz w:val="24"/>
        </w:rPr>
        <w:t xml:space="preserve"> a </w:t>
      </w:r>
      <w:r w:rsidR="00BB4369">
        <w:rPr>
          <w:rFonts w:ascii="Arial" w:hAnsi="Arial" w:cs="Arial"/>
          <w:sz w:val="24"/>
        </w:rPr>
        <w:t>tough</w:t>
      </w:r>
      <w:r>
        <w:rPr>
          <w:rFonts w:ascii="Arial" w:hAnsi="Arial" w:cs="Arial"/>
          <w:sz w:val="24"/>
        </w:rPr>
        <w:t xml:space="preserve"> balancing act. </w:t>
      </w:r>
      <w:r w:rsidR="00BB4369">
        <w:rPr>
          <w:rFonts w:ascii="Arial" w:hAnsi="Arial" w:cs="Arial"/>
          <w:sz w:val="24"/>
        </w:rPr>
        <w:t>Therefore, the Chief Constable has the responsibility to ensure there is minimal harm to those who are not participating but also to protect the rights of those who are protesting peacefully (Brown, 2019).</w:t>
      </w:r>
    </w:p>
    <w:p w14:paraId="238D24CF" w14:textId="4313B3F9" w:rsidR="007A240D" w:rsidRDefault="007A240D" w:rsidP="001F3B95">
      <w:pPr>
        <w:rPr>
          <w:rFonts w:ascii="Arial" w:hAnsi="Arial" w:cs="Arial"/>
          <w:sz w:val="24"/>
        </w:rPr>
      </w:pPr>
      <w:r w:rsidRPr="007E2446">
        <w:rPr>
          <w:rFonts w:ascii="Arial" w:hAnsi="Arial" w:cs="Arial"/>
          <w:sz w:val="24"/>
        </w:rPr>
        <w:t xml:space="preserve">A constable may execute an arrest and </w:t>
      </w:r>
      <w:r w:rsidR="004F54A6" w:rsidRPr="007E2446">
        <w:rPr>
          <w:rFonts w:ascii="Arial" w:hAnsi="Arial" w:cs="Arial"/>
          <w:sz w:val="24"/>
        </w:rPr>
        <w:t xml:space="preserve">the </w:t>
      </w:r>
      <w:r w:rsidRPr="007E2446">
        <w:rPr>
          <w:rFonts w:ascii="Arial" w:hAnsi="Arial" w:cs="Arial"/>
          <w:sz w:val="24"/>
        </w:rPr>
        <w:t>general nature of charge must be professional in the warrants</w:t>
      </w:r>
      <w:r w:rsidR="004F54A6" w:rsidRPr="007E2446">
        <w:rPr>
          <w:rFonts w:ascii="Arial" w:hAnsi="Arial" w:cs="Arial"/>
          <w:sz w:val="24"/>
        </w:rPr>
        <w:t xml:space="preserve">. The </w:t>
      </w:r>
      <w:r w:rsidRPr="007E2446">
        <w:rPr>
          <w:rFonts w:ascii="Arial" w:hAnsi="Arial" w:cs="Arial"/>
          <w:sz w:val="24"/>
        </w:rPr>
        <w:t>constable can</w:t>
      </w:r>
      <w:r w:rsidR="004F54A6" w:rsidRPr="007E2446">
        <w:rPr>
          <w:rFonts w:ascii="Arial" w:hAnsi="Arial" w:cs="Arial"/>
          <w:sz w:val="24"/>
        </w:rPr>
        <w:t xml:space="preserve"> also</w:t>
      </w:r>
      <w:r w:rsidRPr="007E2446">
        <w:rPr>
          <w:rFonts w:ascii="Arial" w:hAnsi="Arial" w:cs="Arial"/>
          <w:sz w:val="24"/>
        </w:rPr>
        <w:t xml:space="preserve"> declare a warrant without being in possession of the warrant at the time of arrest. A general warrant is authorised </w:t>
      </w:r>
      <w:r w:rsidR="004F54A6" w:rsidRPr="007E2446">
        <w:rPr>
          <w:rFonts w:ascii="Arial" w:hAnsi="Arial" w:cs="Arial"/>
          <w:sz w:val="24"/>
        </w:rPr>
        <w:t>for constables to utilise when the</w:t>
      </w:r>
      <w:r w:rsidRPr="007E2446">
        <w:rPr>
          <w:rFonts w:ascii="Arial" w:hAnsi="Arial" w:cs="Arial"/>
          <w:sz w:val="24"/>
        </w:rPr>
        <w:t xml:space="preserve"> crime </w:t>
      </w:r>
      <w:r w:rsidR="004F54A6" w:rsidRPr="007E2446">
        <w:rPr>
          <w:rFonts w:ascii="Arial" w:hAnsi="Arial" w:cs="Arial"/>
          <w:sz w:val="24"/>
        </w:rPr>
        <w:t xml:space="preserve">which is </w:t>
      </w:r>
      <w:r w:rsidRPr="007E2446">
        <w:rPr>
          <w:rFonts w:ascii="Arial" w:hAnsi="Arial" w:cs="Arial"/>
          <w:sz w:val="24"/>
        </w:rPr>
        <w:t>committed is illegal.</w:t>
      </w:r>
      <w:r w:rsidR="00F569DB">
        <w:rPr>
          <w:rFonts w:ascii="Arial" w:hAnsi="Arial" w:cs="Arial"/>
          <w:sz w:val="24"/>
        </w:rPr>
        <w:t xml:space="preserve"> </w:t>
      </w:r>
      <w:r w:rsidRPr="007E2446">
        <w:rPr>
          <w:rFonts w:ascii="Arial" w:hAnsi="Arial" w:cs="Arial"/>
          <w:sz w:val="24"/>
        </w:rPr>
        <w:t>Powers of arrest should be issued by certain judicial authorities but usually by magistrates. The person who is seeking the warrant must lay information on oath against the alleged demonstrating the crime committed.</w:t>
      </w:r>
    </w:p>
    <w:p w14:paraId="65EC2096" w14:textId="19666704" w:rsidR="004F6697" w:rsidRPr="007E2446" w:rsidRDefault="004F6697" w:rsidP="001F3B95">
      <w:pPr>
        <w:rPr>
          <w:rFonts w:ascii="Arial" w:hAnsi="Arial" w:cs="Arial"/>
          <w:sz w:val="24"/>
        </w:rPr>
      </w:pPr>
      <w:r>
        <w:rPr>
          <w:rFonts w:ascii="Arial" w:hAnsi="Arial" w:cs="Arial"/>
          <w:sz w:val="24"/>
        </w:rPr>
        <w:t>Under sections 12</w:t>
      </w:r>
      <w:r w:rsidR="007B0D35">
        <w:rPr>
          <w:rFonts w:ascii="Arial" w:hAnsi="Arial" w:cs="Arial"/>
          <w:sz w:val="24"/>
        </w:rPr>
        <w:t xml:space="preserve"> and 14 of the Public Order Act (POA) 1986, the Chief Constable had the rights to impose restrictions on the march such as if conditions which are set and are broken, despite being aware of them. In this instance Menna had informed the police station in advance of her intended route. If this route wasn’t followed then protesters are liable to being convicted under s.12 and s.14 (Green and Black Cross, 2020).</w:t>
      </w:r>
    </w:p>
    <w:p w14:paraId="10B339C2" w14:textId="11F771F7" w:rsidR="00CB368D" w:rsidRPr="00CE1144" w:rsidRDefault="00530029">
      <w:pPr>
        <w:rPr>
          <w:rFonts w:ascii="Arial" w:hAnsi="Arial" w:cs="Arial"/>
          <w:sz w:val="24"/>
          <w:szCs w:val="24"/>
        </w:rPr>
      </w:pPr>
      <w:r w:rsidRPr="00CE1144">
        <w:rPr>
          <w:rFonts w:ascii="Arial" w:hAnsi="Arial" w:cs="Arial"/>
          <w:sz w:val="24"/>
        </w:rPr>
        <w:t xml:space="preserve">The national policing improvement incorporate core objectives which include to identify and develop good police practice, provide expert advice to the police force and facilitating international liaisons which support the forces with information and </w:t>
      </w:r>
      <w:r w:rsidRPr="00CE1144">
        <w:rPr>
          <w:rFonts w:ascii="Arial" w:hAnsi="Arial" w:cs="Arial"/>
          <w:sz w:val="24"/>
          <w:szCs w:val="24"/>
        </w:rPr>
        <w:t>communication.</w:t>
      </w:r>
      <w:r w:rsidR="00302F05">
        <w:rPr>
          <w:rFonts w:ascii="Arial" w:hAnsi="Arial" w:cs="Arial"/>
          <w:sz w:val="24"/>
          <w:szCs w:val="24"/>
        </w:rPr>
        <w:t xml:space="preserve"> </w:t>
      </w:r>
      <w:r w:rsidR="004D5DBD" w:rsidRPr="00CE1144">
        <w:rPr>
          <w:rFonts w:ascii="Arial" w:hAnsi="Arial" w:cs="Arial"/>
          <w:sz w:val="24"/>
          <w:szCs w:val="24"/>
        </w:rPr>
        <w:t xml:space="preserve">The supervision of police forces </w:t>
      </w:r>
      <w:r w:rsidR="00573436" w:rsidRPr="00CE1144">
        <w:rPr>
          <w:rFonts w:ascii="Arial" w:hAnsi="Arial" w:cs="Arial"/>
          <w:sz w:val="24"/>
          <w:szCs w:val="24"/>
        </w:rPr>
        <w:t>is</w:t>
      </w:r>
      <w:r w:rsidR="004D5DBD" w:rsidRPr="00CE1144">
        <w:rPr>
          <w:rFonts w:ascii="Arial" w:hAnsi="Arial" w:cs="Arial"/>
          <w:sz w:val="24"/>
          <w:szCs w:val="24"/>
        </w:rPr>
        <w:t xml:space="preserve"> that </w:t>
      </w:r>
      <w:r w:rsidR="008F2FAA" w:rsidRPr="00CE1144">
        <w:rPr>
          <w:rFonts w:ascii="Arial" w:hAnsi="Arial" w:cs="Arial"/>
          <w:sz w:val="24"/>
          <w:szCs w:val="24"/>
        </w:rPr>
        <w:t xml:space="preserve">the </w:t>
      </w:r>
      <w:r w:rsidR="004D5DBD" w:rsidRPr="00CE1144">
        <w:rPr>
          <w:rFonts w:ascii="Arial" w:hAnsi="Arial" w:cs="Arial"/>
          <w:sz w:val="24"/>
          <w:szCs w:val="24"/>
        </w:rPr>
        <w:t>home secretary has power to provide aid to support police and a</w:t>
      </w:r>
      <w:r w:rsidR="00573436" w:rsidRPr="00CE1144">
        <w:rPr>
          <w:rFonts w:ascii="Arial" w:hAnsi="Arial" w:cs="Arial"/>
          <w:sz w:val="24"/>
          <w:szCs w:val="24"/>
        </w:rPr>
        <w:t xml:space="preserve">lso have to reserve the legislative tool to direct all parties. </w:t>
      </w:r>
      <w:r w:rsidR="008F2FAA" w:rsidRPr="00CE1144">
        <w:rPr>
          <w:rFonts w:ascii="Arial" w:hAnsi="Arial" w:cs="Arial"/>
          <w:sz w:val="24"/>
          <w:szCs w:val="24"/>
        </w:rPr>
        <w:t>The h</w:t>
      </w:r>
      <w:r w:rsidR="00573436" w:rsidRPr="00CE1144">
        <w:rPr>
          <w:rFonts w:ascii="Arial" w:hAnsi="Arial" w:cs="Arial"/>
          <w:sz w:val="24"/>
          <w:szCs w:val="24"/>
        </w:rPr>
        <w:t xml:space="preserve">ome secretary also </w:t>
      </w:r>
      <w:r w:rsidR="00E02A9D" w:rsidRPr="00CE1144">
        <w:rPr>
          <w:rFonts w:ascii="Arial" w:hAnsi="Arial" w:cs="Arial"/>
          <w:sz w:val="24"/>
          <w:szCs w:val="24"/>
        </w:rPr>
        <w:t xml:space="preserve">requires issuing the policing protocol. The withdrawing of police matters is also ultimately responsible by </w:t>
      </w:r>
      <w:r w:rsidR="008F2FAA" w:rsidRPr="00CE1144">
        <w:rPr>
          <w:rFonts w:ascii="Arial" w:hAnsi="Arial" w:cs="Arial"/>
          <w:sz w:val="24"/>
          <w:szCs w:val="24"/>
        </w:rPr>
        <w:t xml:space="preserve">the </w:t>
      </w:r>
      <w:r w:rsidR="00E02A9D" w:rsidRPr="00CE1144">
        <w:rPr>
          <w:rFonts w:ascii="Arial" w:hAnsi="Arial" w:cs="Arial"/>
          <w:sz w:val="24"/>
          <w:szCs w:val="24"/>
        </w:rPr>
        <w:t>home secretary and held accountable to parliament</w:t>
      </w:r>
      <w:r w:rsidR="00302F05">
        <w:rPr>
          <w:rFonts w:ascii="Arial" w:hAnsi="Arial" w:cs="Arial"/>
          <w:sz w:val="24"/>
          <w:szCs w:val="24"/>
        </w:rPr>
        <w:t xml:space="preserve"> (Home Office, 2021). </w:t>
      </w:r>
    </w:p>
    <w:p w14:paraId="3FC9FD65" w14:textId="47FCF369" w:rsidR="00611A03" w:rsidRDefault="00FD0C6D">
      <w:pPr>
        <w:rPr>
          <w:rFonts w:ascii="Arial" w:hAnsi="Arial" w:cs="Arial"/>
          <w:sz w:val="24"/>
        </w:rPr>
      </w:pPr>
      <w:r w:rsidRPr="00FD0C6D">
        <w:rPr>
          <w:rFonts w:ascii="Arial" w:hAnsi="Arial" w:cs="Arial"/>
          <w:sz w:val="24"/>
        </w:rPr>
        <w:lastRenderedPageBreak/>
        <w:t xml:space="preserve">In conclusion, </w:t>
      </w:r>
      <w:r>
        <w:rPr>
          <w:rFonts w:ascii="Arial" w:hAnsi="Arial" w:cs="Arial"/>
          <w:sz w:val="24"/>
        </w:rPr>
        <w:t>as Menna had proposed a peaceful protest, it should not be prohibited as it is important to respect individuals’ rights, as it was organised highlighting start times and finish times which causes less inconvenience to those who are not participating. However, if the march had become violent or causing major disruption then Chief Constable has the power to prohibit and in serious cases they can arrest individuals.</w:t>
      </w:r>
    </w:p>
    <w:p w14:paraId="70C6740C" w14:textId="77777777" w:rsidR="004F6697" w:rsidRDefault="004F6697">
      <w:pPr>
        <w:rPr>
          <w:rFonts w:ascii="Arial" w:hAnsi="Arial" w:cs="Arial"/>
          <w:b/>
          <w:sz w:val="24"/>
        </w:rPr>
      </w:pPr>
    </w:p>
    <w:p w14:paraId="1225FA53" w14:textId="17B5AE73" w:rsidR="00611A03" w:rsidRPr="00F51029" w:rsidRDefault="00F51029">
      <w:pPr>
        <w:rPr>
          <w:rFonts w:ascii="Arial" w:hAnsi="Arial" w:cs="Arial"/>
          <w:b/>
          <w:sz w:val="24"/>
        </w:rPr>
      </w:pPr>
      <w:r w:rsidRPr="00F51029">
        <w:rPr>
          <w:rFonts w:ascii="Arial" w:hAnsi="Arial" w:cs="Arial"/>
          <w:b/>
          <w:sz w:val="24"/>
        </w:rPr>
        <w:t>B</w:t>
      </w:r>
      <w:r w:rsidR="001536D1">
        <w:rPr>
          <w:rFonts w:ascii="Arial" w:hAnsi="Arial" w:cs="Arial"/>
          <w:b/>
          <w:sz w:val="24"/>
        </w:rPr>
        <w:t>)</w:t>
      </w:r>
    </w:p>
    <w:p w14:paraId="13BEDBA1" w14:textId="119ED65E" w:rsidR="00F51029" w:rsidRPr="00CE1144" w:rsidRDefault="00AB633A" w:rsidP="00F51029">
      <w:pPr>
        <w:rPr>
          <w:rFonts w:ascii="Arial" w:hAnsi="Arial" w:cs="Arial"/>
          <w:sz w:val="24"/>
          <w:szCs w:val="24"/>
        </w:rPr>
      </w:pPr>
      <w:r>
        <w:rPr>
          <w:rFonts w:ascii="Arial" w:hAnsi="Arial" w:cs="Arial"/>
          <w:sz w:val="24"/>
          <w:szCs w:val="24"/>
        </w:rPr>
        <w:t xml:space="preserve">The legality of PC Hemps actions </w:t>
      </w:r>
      <w:r w:rsidR="002872A3">
        <w:rPr>
          <w:rFonts w:ascii="Arial" w:hAnsi="Arial" w:cs="Arial"/>
          <w:sz w:val="24"/>
          <w:szCs w:val="24"/>
        </w:rPr>
        <w:t>is</w:t>
      </w:r>
      <w:r>
        <w:rPr>
          <w:rFonts w:ascii="Arial" w:hAnsi="Arial" w:cs="Arial"/>
          <w:sz w:val="24"/>
          <w:szCs w:val="24"/>
        </w:rPr>
        <w:t xml:space="preserve"> demonstrated within The Publ</w:t>
      </w:r>
      <w:r w:rsidR="002872A3">
        <w:rPr>
          <w:rFonts w:ascii="Arial" w:hAnsi="Arial" w:cs="Arial"/>
          <w:sz w:val="24"/>
          <w:szCs w:val="24"/>
        </w:rPr>
        <w:t>i</w:t>
      </w:r>
      <w:r>
        <w:rPr>
          <w:rFonts w:ascii="Arial" w:hAnsi="Arial" w:cs="Arial"/>
          <w:sz w:val="24"/>
          <w:szCs w:val="24"/>
        </w:rPr>
        <w:t xml:space="preserve">c Order Act (1986) and The Police </w:t>
      </w:r>
      <w:r w:rsidR="002872A3">
        <w:rPr>
          <w:rFonts w:ascii="Arial" w:hAnsi="Arial" w:cs="Arial"/>
          <w:sz w:val="24"/>
          <w:szCs w:val="24"/>
        </w:rPr>
        <w:t xml:space="preserve">and Criminal Evidence Act (1984) (PACE). </w:t>
      </w:r>
      <w:r w:rsidR="00F51029" w:rsidRPr="00CE1144">
        <w:rPr>
          <w:rFonts w:ascii="Arial" w:hAnsi="Arial" w:cs="Arial"/>
          <w:sz w:val="24"/>
          <w:szCs w:val="24"/>
        </w:rPr>
        <w:t>Police power is to protect the public and prevent crime which has been brought into common law.</w:t>
      </w:r>
      <w:r w:rsidR="002872A3">
        <w:rPr>
          <w:rFonts w:ascii="Arial" w:hAnsi="Arial" w:cs="Arial"/>
          <w:sz w:val="24"/>
          <w:szCs w:val="24"/>
        </w:rPr>
        <w:t xml:space="preserve"> This is demonstrated in the protest as PC Hemp arrested a protester due to the use of inappropriate and abusive language which could potentially become violent.</w:t>
      </w:r>
      <w:r w:rsidR="00F51029" w:rsidRPr="00CE1144">
        <w:rPr>
          <w:rFonts w:ascii="Arial" w:hAnsi="Arial" w:cs="Arial"/>
          <w:sz w:val="24"/>
          <w:szCs w:val="24"/>
        </w:rPr>
        <w:t xml:space="preserve"> The use of police powers is compatible with human rights and equalities </w:t>
      </w:r>
      <w:r w:rsidR="002872A3">
        <w:rPr>
          <w:rFonts w:ascii="Arial" w:hAnsi="Arial" w:cs="Arial"/>
          <w:sz w:val="24"/>
          <w:szCs w:val="24"/>
        </w:rPr>
        <w:t xml:space="preserve">within the </w:t>
      </w:r>
      <w:r w:rsidR="00F51029" w:rsidRPr="00CE1144">
        <w:rPr>
          <w:rFonts w:ascii="Arial" w:hAnsi="Arial" w:cs="Arial"/>
          <w:sz w:val="24"/>
          <w:szCs w:val="24"/>
        </w:rPr>
        <w:t xml:space="preserve">legal </w:t>
      </w:r>
      <w:r w:rsidR="002872A3">
        <w:rPr>
          <w:rFonts w:ascii="Arial" w:hAnsi="Arial" w:cs="Arial"/>
          <w:sz w:val="24"/>
          <w:szCs w:val="24"/>
        </w:rPr>
        <w:t>framework</w:t>
      </w:r>
      <w:r w:rsidR="00F51029" w:rsidRPr="00CE1144">
        <w:rPr>
          <w:rFonts w:ascii="Arial" w:hAnsi="Arial" w:cs="Arial"/>
          <w:sz w:val="24"/>
          <w:szCs w:val="24"/>
        </w:rPr>
        <w:t xml:space="preserve">. </w:t>
      </w:r>
    </w:p>
    <w:p w14:paraId="5B1E14F6" w14:textId="5CE94637" w:rsidR="007E2446" w:rsidRPr="00CE1144" w:rsidRDefault="007E2446" w:rsidP="007E2446">
      <w:pPr>
        <w:rPr>
          <w:rFonts w:ascii="Arial" w:hAnsi="Arial" w:cs="Arial"/>
          <w:sz w:val="24"/>
          <w:szCs w:val="24"/>
        </w:rPr>
      </w:pPr>
      <w:r w:rsidRPr="00CE1144">
        <w:rPr>
          <w:rFonts w:ascii="Arial" w:hAnsi="Arial" w:cs="Arial"/>
          <w:sz w:val="24"/>
          <w:szCs w:val="24"/>
        </w:rPr>
        <w:t xml:space="preserve">The Public Order Act (1986) in the parliament of the UK creates a number </w:t>
      </w:r>
      <w:r w:rsidR="00D84A34">
        <w:rPr>
          <w:rFonts w:ascii="Arial" w:hAnsi="Arial" w:cs="Arial"/>
          <w:sz w:val="24"/>
          <w:szCs w:val="24"/>
        </w:rPr>
        <w:t>of</w:t>
      </w:r>
      <w:r w:rsidRPr="00CE1144">
        <w:rPr>
          <w:rFonts w:ascii="Arial" w:hAnsi="Arial" w:cs="Arial"/>
          <w:sz w:val="24"/>
          <w:szCs w:val="24"/>
        </w:rPr>
        <w:t xml:space="preserve"> public order offences. These offences are intended by groups. The principle of public order offence is contained in part one of the public order act. The purpose of Public Order Act (1986) is to complete the common law of offences or riot unlawful assembly and certain statutory offences related to the public order. It also assists in being able to control the racial hatred. It is also often enforced in situations such as abusive or insulting words in a public place which intends to provoke a peace</w:t>
      </w:r>
      <w:r w:rsidR="00D84A34">
        <w:rPr>
          <w:rFonts w:ascii="Arial" w:hAnsi="Arial" w:cs="Arial"/>
          <w:sz w:val="24"/>
          <w:szCs w:val="24"/>
        </w:rPr>
        <w:t>ful protest that Menna had intended to do so (Padfield, 2016)</w:t>
      </w:r>
      <w:r w:rsidRPr="00CE1144">
        <w:rPr>
          <w:rFonts w:ascii="Arial" w:hAnsi="Arial" w:cs="Arial"/>
          <w:sz w:val="24"/>
          <w:szCs w:val="24"/>
        </w:rPr>
        <w:t>. There must be behaviour that would cause a person to be put in fear which can be committed in public or private place.</w:t>
      </w:r>
    </w:p>
    <w:p w14:paraId="57CB76F2" w14:textId="47EC29AE" w:rsidR="000D6428" w:rsidRPr="000D6428" w:rsidRDefault="0026134E" w:rsidP="000D6428">
      <w:pPr>
        <w:rPr>
          <w:rFonts w:ascii="Arial" w:hAnsi="Arial" w:cs="Arial"/>
          <w:sz w:val="24"/>
          <w:bdr w:val="none" w:sz="0" w:space="0" w:color="auto" w:frame="1"/>
        </w:rPr>
      </w:pPr>
      <w:r>
        <w:rPr>
          <w:rFonts w:ascii="Arial" w:hAnsi="Arial" w:cs="Arial"/>
          <w:sz w:val="24"/>
          <w:bdr w:val="none" w:sz="0" w:space="0" w:color="auto" w:frame="1"/>
        </w:rPr>
        <w:t>Under section 24</w:t>
      </w:r>
      <w:r w:rsidR="000D6428">
        <w:rPr>
          <w:rFonts w:ascii="Arial" w:hAnsi="Arial" w:cs="Arial"/>
          <w:sz w:val="24"/>
          <w:bdr w:val="none" w:sz="0" w:space="0" w:color="auto" w:frame="1"/>
        </w:rPr>
        <w:t>,</w:t>
      </w:r>
      <w:r>
        <w:rPr>
          <w:rFonts w:ascii="Arial" w:hAnsi="Arial" w:cs="Arial"/>
          <w:sz w:val="24"/>
          <w:bdr w:val="none" w:sz="0" w:space="0" w:color="auto" w:frame="1"/>
        </w:rPr>
        <w:t xml:space="preserve"> PC Hemp</w:t>
      </w:r>
      <w:r w:rsidR="000D6428">
        <w:rPr>
          <w:rFonts w:ascii="Arial" w:hAnsi="Arial" w:cs="Arial"/>
          <w:sz w:val="24"/>
          <w:bdr w:val="none" w:sz="0" w:space="0" w:color="auto" w:frame="1"/>
        </w:rPr>
        <w:t xml:space="preserve"> has the powers to arrest without a warrant if anyone is about to commit an offence or if anyone is actively committing a crime. This applies to PC Hemp as he was able to arrest Tim without a warrant for calling him a ‘pig’. Although it is clearly stated within section 24 (4), that it is only applicable to arrest if seen as necessary at time of crime. </w:t>
      </w:r>
      <w:r w:rsidR="000D6428" w:rsidRPr="000D6428">
        <w:rPr>
          <w:rFonts w:ascii="Arial" w:hAnsi="Arial" w:cs="Arial"/>
          <w:sz w:val="24"/>
          <w:bdr w:val="none" w:sz="0" w:space="0" w:color="auto" w:frame="1"/>
        </w:rPr>
        <w:t xml:space="preserve">This is also linking with </w:t>
      </w:r>
      <w:r w:rsidR="000D6428" w:rsidRPr="000D6428">
        <w:rPr>
          <w:rFonts w:ascii="Arial" w:eastAsia="Times New Roman" w:hAnsi="Arial" w:cs="Arial"/>
          <w:color w:val="212529"/>
          <w:sz w:val="24"/>
          <w:szCs w:val="24"/>
          <w:shd w:val="clear" w:color="auto" w:fill="FFFFFF"/>
        </w:rPr>
        <w:t xml:space="preserve">Section 28 of PACE as </w:t>
      </w:r>
      <w:r w:rsidR="000D6428" w:rsidRPr="007B0D35">
        <w:rPr>
          <w:rFonts w:ascii="Arial" w:eastAsia="Times New Roman" w:hAnsi="Arial" w:cs="Arial"/>
          <w:color w:val="000000" w:themeColor="text1"/>
          <w:sz w:val="24"/>
          <w:szCs w:val="24"/>
          <w:shd w:val="clear" w:color="auto" w:fill="FFFFFF"/>
        </w:rPr>
        <w:t>this section highlights key details that must be provided at the time of arrest which will deem the arrest as being lawful (UK Gov</w:t>
      </w:r>
      <w:r w:rsidR="004F6697" w:rsidRPr="007B0D35">
        <w:rPr>
          <w:rFonts w:ascii="Arial" w:eastAsia="Times New Roman" w:hAnsi="Arial" w:cs="Arial"/>
          <w:color w:val="000000" w:themeColor="text1"/>
          <w:sz w:val="24"/>
          <w:szCs w:val="24"/>
          <w:shd w:val="clear" w:color="auto" w:fill="FFFFFF"/>
        </w:rPr>
        <w:t xml:space="preserve">ernment, 2020). </w:t>
      </w:r>
    </w:p>
    <w:p w14:paraId="2EDA5DFF" w14:textId="39621A67" w:rsidR="0020053E" w:rsidRPr="0020053E" w:rsidRDefault="0020053E" w:rsidP="00140599">
      <w:pPr>
        <w:rPr>
          <w:rFonts w:ascii="Arial" w:hAnsi="Arial" w:cs="Arial"/>
          <w:sz w:val="24"/>
        </w:rPr>
      </w:pPr>
      <w:r w:rsidRPr="0020053E">
        <w:rPr>
          <w:rFonts w:ascii="Arial" w:hAnsi="Arial" w:cs="Arial"/>
          <w:sz w:val="24"/>
          <w:bdr w:val="none" w:sz="0" w:space="0" w:color="auto" w:frame="1"/>
        </w:rPr>
        <w:t>The government is intending to construct a super prison in</w:t>
      </w:r>
      <w:r>
        <w:rPr>
          <w:rFonts w:ascii="Arial" w:hAnsi="Arial" w:cs="Arial"/>
          <w:sz w:val="24"/>
          <w:bdr w:val="none" w:sz="0" w:space="0" w:color="auto" w:frame="1"/>
        </w:rPr>
        <w:t xml:space="preserve"> </w:t>
      </w:r>
      <w:r w:rsidRPr="0020053E">
        <w:rPr>
          <w:rFonts w:ascii="Arial" w:hAnsi="Arial" w:cs="Arial"/>
          <w:sz w:val="24"/>
          <w:bdr w:val="none" w:sz="0" w:space="0" w:color="auto" w:frame="1"/>
        </w:rPr>
        <w:t>N</w:t>
      </w:r>
      <w:r w:rsidRPr="0020053E">
        <w:rPr>
          <w:rFonts w:ascii="Arial" w:hAnsi="Arial" w:cs="Arial"/>
          <w:sz w:val="24"/>
          <w:bdr w:val="none" w:sz="0" w:space="0" w:color="auto" w:frame="1"/>
        </w:rPr>
        <w:t>orth Wales</w:t>
      </w:r>
      <w:r>
        <w:rPr>
          <w:rFonts w:ascii="Arial" w:hAnsi="Arial" w:cs="Arial"/>
          <w:sz w:val="24"/>
          <w:bdr w:val="none" w:sz="0" w:space="0" w:color="auto" w:frame="1"/>
        </w:rPr>
        <w:t>, however</w:t>
      </w:r>
      <w:r w:rsidRPr="0020053E">
        <w:rPr>
          <w:rFonts w:ascii="Arial" w:hAnsi="Arial" w:cs="Arial"/>
          <w:sz w:val="24"/>
          <w:bdr w:val="none" w:sz="0" w:space="0" w:color="auto" w:frame="1"/>
        </w:rPr>
        <w:t xml:space="preserve"> Menna is against it because it will disrupt the shops and car parks as </w:t>
      </w:r>
      <w:r>
        <w:rPr>
          <w:rFonts w:ascii="Arial" w:hAnsi="Arial" w:cs="Arial"/>
          <w:sz w:val="24"/>
          <w:bdr w:val="none" w:sz="0" w:space="0" w:color="auto" w:frame="1"/>
        </w:rPr>
        <w:t xml:space="preserve">Tim </w:t>
      </w:r>
      <w:r w:rsidRPr="0020053E">
        <w:rPr>
          <w:rFonts w:ascii="Arial" w:hAnsi="Arial" w:cs="Arial"/>
          <w:sz w:val="24"/>
          <w:bdr w:val="none" w:sz="0" w:space="0" w:color="auto" w:frame="1"/>
        </w:rPr>
        <w:t xml:space="preserve">was arrested under section 4 public order act 1986 for using abusive language. Legal requirements include the kind of grounding in reason which provides a justification for the position being taken. </w:t>
      </w:r>
    </w:p>
    <w:p w14:paraId="3D821E00" w14:textId="621731B2" w:rsidR="00140599" w:rsidRPr="00CE1144" w:rsidRDefault="00140599" w:rsidP="00140599">
      <w:pPr>
        <w:rPr>
          <w:rFonts w:ascii="Arial" w:hAnsi="Arial" w:cs="Arial"/>
          <w:sz w:val="24"/>
          <w:szCs w:val="24"/>
        </w:rPr>
      </w:pPr>
      <w:r w:rsidRPr="00CE1144">
        <w:rPr>
          <w:rFonts w:ascii="Arial" w:hAnsi="Arial" w:cs="Arial"/>
          <w:sz w:val="24"/>
          <w:szCs w:val="24"/>
        </w:rPr>
        <w:t xml:space="preserve">As per current UK legislation, The Police and Criminal Evidence Act (1984) (PACE), the main principles of police powers are stop, search, arrest and detain. This clarifies the powers given to police officers and the authority to stop citizens. This demonstrates the power that Chief Constable has to control the intended march, however the power must be used in a reasonable way to help the PCC do their job. They also have the power to appoint all staff in their force as the head constable are detective sergeants and commanders. The </w:t>
      </w:r>
      <w:r w:rsidR="00461789">
        <w:rPr>
          <w:rFonts w:ascii="Arial" w:hAnsi="Arial" w:cs="Arial"/>
          <w:sz w:val="24"/>
          <w:szCs w:val="24"/>
        </w:rPr>
        <w:t>Chief C</w:t>
      </w:r>
      <w:r w:rsidRPr="00CE1144">
        <w:rPr>
          <w:rFonts w:ascii="Arial" w:hAnsi="Arial" w:cs="Arial"/>
          <w:sz w:val="24"/>
          <w:szCs w:val="24"/>
        </w:rPr>
        <w:t xml:space="preserve">onstable has the overall </w:t>
      </w:r>
      <w:r w:rsidRPr="00CE1144">
        <w:rPr>
          <w:rFonts w:ascii="Arial" w:hAnsi="Arial" w:cs="Arial"/>
          <w:sz w:val="24"/>
          <w:szCs w:val="24"/>
        </w:rPr>
        <w:lastRenderedPageBreak/>
        <w:t>responsibility for leading the force and settling the direction and culture which is built by public confidence and trust. It is also important to be able to deliver professional and efficient police service (UK Government, 2010).</w:t>
      </w:r>
    </w:p>
    <w:p w14:paraId="2FC9CB0F" w14:textId="77777777" w:rsidR="00140599" w:rsidRPr="00CE1144" w:rsidRDefault="00140599" w:rsidP="00140599">
      <w:pPr>
        <w:rPr>
          <w:rFonts w:ascii="Arial" w:hAnsi="Arial" w:cs="Arial"/>
          <w:sz w:val="24"/>
          <w:szCs w:val="24"/>
        </w:rPr>
      </w:pPr>
      <w:r w:rsidRPr="00CE1144">
        <w:rPr>
          <w:rFonts w:ascii="Arial" w:hAnsi="Arial" w:cs="Arial"/>
          <w:sz w:val="24"/>
          <w:szCs w:val="24"/>
        </w:rPr>
        <w:t xml:space="preserve">Police and criminal evidence Act 1984 highlights the power and duties of the police. The power of the constable includes being able to stop and search people and vehicles. Chief constables may exercise their power by section to the public access. The power of justice of peace is to authorise entry and search of premises. Pace 1984 are extended police powers which provide legal authority for police policies. The provision of PACE requires police officer to record their decision in writing giving their reason and to suspect what they are entitled to. </w:t>
      </w:r>
    </w:p>
    <w:p w14:paraId="6EBDA50B" w14:textId="1651DCAD" w:rsidR="00A8513C" w:rsidRPr="0060049B" w:rsidRDefault="007E2446" w:rsidP="00F569DB">
      <w:pPr>
        <w:rPr>
          <w:rFonts w:ascii="Arial" w:hAnsi="Arial" w:cs="Arial"/>
          <w:sz w:val="24"/>
          <w:szCs w:val="24"/>
        </w:rPr>
      </w:pPr>
      <w:r w:rsidRPr="00D21771">
        <w:rPr>
          <w:rFonts w:ascii="Arial" w:hAnsi="Arial" w:cs="Arial"/>
          <w:sz w:val="24"/>
          <w:szCs w:val="24"/>
        </w:rPr>
        <w:t>It is believed that 30 out of 43 police powers have not developed and also understand</w:t>
      </w:r>
      <w:r w:rsidRPr="00CE1144">
        <w:rPr>
          <w:rFonts w:ascii="Arial" w:hAnsi="Arial" w:cs="Arial"/>
          <w:sz w:val="24"/>
          <w:szCs w:val="24"/>
        </w:rPr>
        <w:t xml:space="preserve"> how to use power so they are effective. Contrastingly, the absence of senior officers indicated a lack of compliance with requirement of PACE 1984. In section 25 PACE police </w:t>
      </w:r>
      <w:r w:rsidR="004D148E">
        <w:rPr>
          <w:rFonts w:ascii="Arial" w:hAnsi="Arial" w:cs="Arial"/>
          <w:sz w:val="24"/>
          <w:szCs w:val="24"/>
        </w:rPr>
        <w:t xml:space="preserve">are </w:t>
      </w:r>
      <w:r w:rsidRPr="00CE1144">
        <w:rPr>
          <w:rFonts w:ascii="Arial" w:hAnsi="Arial" w:cs="Arial"/>
          <w:sz w:val="24"/>
          <w:szCs w:val="24"/>
        </w:rPr>
        <w:t>allowed to arrest any offence where the name and address of the suspects cannot be obtained</w:t>
      </w:r>
      <w:r w:rsidR="00140599">
        <w:rPr>
          <w:rFonts w:ascii="Arial" w:hAnsi="Arial" w:cs="Arial"/>
          <w:sz w:val="24"/>
          <w:szCs w:val="24"/>
        </w:rPr>
        <w:t xml:space="preserve"> (UK Government, 2010)</w:t>
      </w:r>
      <w:r w:rsidRPr="00CE1144">
        <w:rPr>
          <w:rFonts w:ascii="Arial" w:hAnsi="Arial" w:cs="Arial"/>
          <w:sz w:val="24"/>
          <w:szCs w:val="24"/>
        </w:rPr>
        <w:t>. The name and addressee should not be given false by suspects and believing that they should not make any injury themselves and to other people.</w:t>
      </w:r>
      <w:r w:rsidR="003E47A4">
        <w:rPr>
          <w:rFonts w:ascii="Arial" w:hAnsi="Arial" w:cs="Arial"/>
          <w:sz w:val="24"/>
          <w:szCs w:val="24"/>
        </w:rPr>
        <w:t xml:space="preserve"> </w:t>
      </w:r>
      <w:r w:rsidR="00FF1C4C">
        <w:rPr>
          <w:rFonts w:ascii="Arial" w:hAnsi="Arial" w:cs="Arial"/>
          <w:sz w:val="24"/>
          <w:szCs w:val="24"/>
        </w:rPr>
        <w:t>This could be implemented with PC Hemp whilst arresting Tim, key information must be obtained.</w:t>
      </w:r>
      <w:r w:rsidR="0060049B">
        <w:rPr>
          <w:rFonts w:ascii="Arial" w:hAnsi="Arial" w:cs="Arial"/>
          <w:sz w:val="24"/>
          <w:szCs w:val="24"/>
        </w:rPr>
        <w:t xml:space="preserve"> </w:t>
      </w:r>
      <w:r w:rsidR="002B3626">
        <w:rPr>
          <w:rFonts w:ascii="Arial" w:hAnsi="Arial" w:cs="Arial"/>
          <w:sz w:val="24"/>
        </w:rPr>
        <w:t>Although criticisms of PACE 1984 includes too many rights given to suspects which means Tim in the police station would be able to get the right to consult a solicitor, as well as time limits on the length of detention without charge</w:t>
      </w:r>
      <w:r w:rsidR="0060049B">
        <w:rPr>
          <w:rFonts w:ascii="Arial" w:hAnsi="Arial" w:cs="Arial"/>
          <w:sz w:val="24"/>
        </w:rPr>
        <w:t xml:space="preserve"> (Coliandris, 2014)</w:t>
      </w:r>
      <w:r w:rsidR="002B3626">
        <w:rPr>
          <w:rFonts w:ascii="Arial" w:hAnsi="Arial" w:cs="Arial"/>
          <w:sz w:val="24"/>
        </w:rPr>
        <w:t xml:space="preserve">. PC Hemp is also required to record decisions in writing which can be time consuming. </w:t>
      </w:r>
    </w:p>
    <w:p w14:paraId="0F1BC123" w14:textId="07E3FC31" w:rsidR="0087054F" w:rsidRDefault="0087054F" w:rsidP="00F569DB">
      <w:pPr>
        <w:rPr>
          <w:rFonts w:ascii="Arial" w:hAnsi="Arial" w:cs="Arial"/>
          <w:sz w:val="24"/>
        </w:rPr>
      </w:pPr>
      <w:r>
        <w:rPr>
          <w:rFonts w:ascii="Arial" w:hAnsi="Arial" w:cs="Arial"/>
          <w:sz w:val="24"/>
        </w:rPr>
        <w:t xml:space="preserve">The Police and Justice Act (PJA) (2006) </w:t>
      </w:r>
      <w:r w:rsidR="001A306E">
        <w:rPr>
          <w:rFonts w:ascii="Arial" w:hAnsi="Arial" w:cs="Arial"/>
          <w:sz w:val="24"/>
        </w:rPr>
        <w:t>developed national policing improvement objectives which were identified to implement good police practice.</w:t>
      </w:r>
      <w:r w:rsidR="0060049B">
        <w:rPr>
          <w:rFonts w:ascii="Arial" w:hAnsi="Arial" w:cs="Arial"/>
          <w:sz w:val="24"/>
        </w:rPr>
        <w:t xml:space="preserve"> This was important for PC Hemp to be professional as well as assertive during the protest.</w:t>
      </w:r>
    </w:p>
    <w:p w14:paraId="2E469317" w14:textId="5D8B89A0" w:rsidR="00CE1144" w:rsidRPr="0060049B" w:rsidRDefault="00F569DB" w:rsidP="00CE1144">
      <w:pPr>
        <w:rPr>
          <w:rFonts w:ascii="Arial" w:hAnsi="Arial" w:cs="Arial"/>
          <w:sz w:val="24"/>
        </w:rPr>
      </w:pPr>
      <w:r w:rsidRPr="007E2446">
        <w:rPr>
          <w:rFonts w:ascii="Arial" w:hAnsi="Arial" w:cs="Arial"/>
          <w:sz w:val="24"/>
        </w:rPr>
        <w:t>The power to arrest police officers if required to progress an investigation. This power is not to be used regularly unless it would be prejudicial to an investigation, the arrest of police officers taken by appointment. There are series of police powers in England and Wales arrest, arrest for notable offence carried out by the police of financially year basis. Fixed penalties are often put in place in order to monitor offences on a calendar basis.</w:t>
      </w:r>
      <w:r w:rsidR="0060049B">
        <w:rPr>
          <w:rFonts w:ascii="Arial" w:hAnsi="Arial" w:cs="Arial"/>
          <w:sz w:val="24"/>
        </w:rPr>
        <w:t xml:space="preserve"> </w:t>
      </w:r>
      <w:r w:rsidR="00CE1144" w:rsidRPr="00CE1144">
        <w:rPr>
          <w:rFonts w:ascii="Arial" w:hAnsi="Arial" w:cs="Arial"/>
          <w:sz w:val="24"/>
          <w:szCs w:val="24"/>
        </w:rPr>
        <w:t>However, there are police organisations which is important for combatting crimes in an international nature. The legislation that govern the organisation and control the country force is the Police Act 1964, Police Act 1996 and Police Reform Act 2002.</w:t>
      </w:r>
    </w:p>
    <w:p w14:paraId="2497798E" w14:textId="10CB8BC8" w:rsidR="0026134E" w:rsidRDefault="007B0D35" w:rsidP="00745EAD">
      <w:pPr>
        <w:spacing w:after="0" w:line="276" w:lineRule="auto"/>
        <w:rPr>
          <w:rFonts w:ascii="Arial" w:eastAsia="Times New Roman" w:hAnsi="Arial" w:cs="Arial"/>
          <w:sz w:val="24"/>
          <w:szCs w:val="24"/>
          <w:bdr w:val="none" w:sz="0" w:space="0" w:color="auto" w:frame="1"/>
        </w:rPr>
      </w:pPr>
      <w:r>
        <w:rPr>
          <w:rFonts w:ascii="Arial" w:eastAsia="Times New Roman" w:hAnsi="Arial" w:cs="Arial"/>
          <w:sz w:val="24"/>
          <w:szCs w:val="24"/>
          <w:bdr w:val="none" w:sz="0" w:space="0" w:color="auto" w:frame="1"/>
        </w:rPr>
        <w:t xml:space="preserve">In conclusion, protesters must take extra precautions when planning peaceful protesting involving planning and </w:t>
      </w:r>
      <w:r w:rsidR="007F4161">
        <w:rPr>
          <w:rFonts w:ascii="Arial" w:eastAsia="Times New Roman" w:hAnsi="Arial" w:cs="Arial"/>
          <w:sz w:val="24"/>
          <w:szCs w:val="24"/>
          <w:bdr w:val="none" w:sz="0" w:space="0" w:color="auto" w:frame="1"/>
        </w:rPr>
        <w:t>adhering to conditions and restrictions put in place by the local police stations. This will prevent any arrests or convictions and will overall protect local residents and business owners.</w:t>
      </w:r>
    </w:p>
    <w:p w14:paraId="1F1B68C7" w14:textId="77777777" w:rsidR="00140599" w:rsidRDefault="00140599" w:rsidP="007E2446">
      <w:pPr>
        <w:rPr>
          <w:rFonts w:ascii="Arial" w:hAnsi="Arial" w:cs="Arial"/>
          <w:sz w:val="24"/>
          <w:szCs w:val="24"/>
          <w:highlight w:val="cyan"/>
        </w:rPr>
      </w:pPr>
    </w:p>
    <w:p w14:paraId="6A7882F8" w14:textId="77777777" w:rsidR="0026134E" w:rsidRDefault="0026134E" w:rsidP="00461789">
      <w:pPr>
        <w:spacing w:after="0" w:line="240" w:lineRule="auto"/>
        <w:rPr>
          <w:rFonts w:ascii="Helvetica Neue" w:eastAsia="Times New Roman" w:hAnsi="Helvetica Neue" w:cs="Times New Roman"/>
          <w:color w:val="FF0000"/>
          <w:sz w:val="21"/>
          <w:szCs w:val="21"/>
          <w:highlight w:val="yellow"/>
        </w:rPr>
      </w:pPr>
    </w:p>
    <w:p w14:paraId="73EABAE7" w14:textId="77777777" w:rsidR="00461789" w:rsidRPr="00461789" w:rsidRDefault="00461789" w:rsidP="00461789">
      <w:pPr>
        <w:spacing w:after="0" w:line="240" w:lineRule="auto"/>
        <w:rPr>
          <w:rFonts w:ascii="Times New Roman" w:eastAsia="Times New Roman" w:hAnsi="Times New Roman" w:cs="Times New Roman"/>
          <w:sz w:val="24"/>
          <w:szCs w:val="24"/>
        </w:rPr>
      </w:pPr>
    </w:p>
    <w:p w14:paraId="32F23C8F" w14:textId="120A1690" w:rsidR="00FD0C6D" w:rsidRDefault="00FD0C6D" w:rsidP="00206925">
      <w:pPr>
        <w:rPr>
          <w:rFonts w:ascii="Arial" w:hAnsi="Arial" w:cs="Arial"/>
          <w:sz w:val="24"/>
        </w:rPr>
      </w:pPr>
    </w:p>
    <w:p w14:paraId="42B11460" w14:textId="1E678669" w:rsidR="001536D1" w:rsidRDefault="001536D1" w:rsidP="00206925">
      <w:pPr>
        <w:rPr>
          <w:rFonts w:ascii="Arial" w:hAnsi="Arial" w:cs="Arial"/>
          <w:sz w:val="24"/>
        </w:rPr>
      </w:pPr>
    </w:p>
    <w:p w14:paraId="18AFDD04" w14:textId="77777777" w:rsidR="00D84A34" w:rsidRDefault="00D84A34" w:rsidP="00206925">
      <w:pPr>
        <w:rPr>
          <w:rFonts w:ascii="Arial" w:hAnsi="Arial" w:cs="Arial"/>
          <w:sz w:val="24"/>
        </w:rPr>
      </w:pPr>
    </w:p>
    <w:p w14:paraId="58146B6A" w14:textId="75C620C2" w:rsidR="00206925" w:rsidRPr="00FD0C6D" w:rsidRDefault="00206925" w:rsidP="00206925">
      <w:pPr>
        <w:rPr>
          <w:rFonts w:ascii="Arial" w:hAnsi="Arial" w:cs="Arial"/>
          <w:b/>
          <w:sz w:val="24"/>
          <w:u w:val="single"/>
        </w:rPr>
      </w:pPr>
      <w:r w:rsidRPr="00FD0C6D">
        <w:rPr>
          <w:rFonts w:ascii="Arial" w:hAnsi="Arial" w:cs="Arial"/>
          <w:b/>
          <w:sz w:val="24"/>
          <w:u w:val="single"/>
        </w:rPr>
        <w:t>References – Part Two</w:t>
      </w:r>
    </w:p>
    <w:p w14:paraId="6E8DFC49" w14:textId="38498A1A" w:rsidR="00206925" w:rsidRPr="00BB4369" w:rsidRDefault="00206925">
      <w:pPr>
        <w:rPr>
          <w:rFonts w:ascii="Arial" w:hAnsi="Arial" w:cs="Arial"/>
          <w:sz w:val="24"/>
        </w:rPr>
      </w:pPr>
    </w:p>
    <w:p w14:paraId="7843EC12" w14:textId="4D2BA27B" w:rsidR="00BB4369" w:rsidRDefault="00BB4369">
      <w:pPr>
        <w:rPr>
          <w:rFonts w:ascii="Arial" w:hAnsi="Arial" w:cs="Arial"/>
          <w:sz w:val="24"/>
        </w:rPr>
      </w:pPr>
      <w:r w:rsidRPr="00BB4369">
        <w:rPr>
          <w:rFonts w:ascii="Arial" w:hAnsi="Arial" w:cs="Arial"/>
          <w:sz w:val="24"/>
        </w:rPr>
        <w:t xml:space="preserve">Brown, J. (2019). </w:t>
      </w:r>
      <w:r w:rsidRPr="00BB4369">
        <w:rPr>
          <w:rFonts w:ascii="Arial" w:hAnsi="Arial" w:cs="Arial"/>
          <w:i/>
          <w:sz w:val="24"/>
        </w:rPr>
        <w:t xml:space="preserve">Protests: What powers can the police use? </w:t>
      </w:r>
      <w:r w:rsidRPr="00BB4369">
        <w:rPr>
          <w:rFonts w:ascii="Arial" w:hAnsi="Arial" w:cs="Arial"/>
          <w:sz w:val="24"/>
        </w:rPr>
        <w:t xml:space="preserve">Available at: </w:t>
      </w:r>
      <w:hyperlink r:id="rId23" w:history="1">
        <w:r w:rsidRPr="00BB4369">
          <w:rPr>
            <w:rStyle w:val="Hyperlink"/>
            <w:rFonts w:ascii="Arial" w:hAnsi="Arial" w:cs="Arial"/>
            <w:sz w:val="24"/>
          </w:rPr>
          <w:t>https://commonslibrary.parliament.uk/protests-what-powers-can-the-police-use/</w:t>
        </w:r>
      </w:hyperlink>
      <w:r w:rsidRPr="00BB4369">
        <w:rPr>
          <w:rFonts w:ascii="Arial" w:hAnsi="Arial" w:cs="Arial"/>
          <w:sz w:val="24"/>
        </w:rPr>
        <w:t xml:space="preserve"> Last accessed: 20/06/2021 </w:t>
      </w:r>
    </w:p>
    <w:p w14:paraId="69FEBBE6" w14:textId="5424FD87" w:rsidR="0060049B" w:rsidRPr="0060049B" w:rsidRDefault="0060049B" w:rsidP="0060049B">
      <w:pPr>
        <w:spacing w:after="0" w:line="240" w:lineRule="auto"/>
        <w:rPr>
          <w:rFonts w:ascii="Arial" w:eastAsia="Times New Roman" w:hAnsi="Arial" w:cs="Arial"/>
          <w:color w:val="000000" w:themeColor="text1"/>
          <w:sz w:val="24"/>
          <w:szCs w:val="24"/>
        </w:rPr>
      </w:pPr>
      <w:r w:rsidRPr="0060049B">
        <w:rPr>
          <w:rFonts w:ascii="Arial" w:eastAsia="Times New Roman" w:hAnsi="Arial" w:cs="Arial"/>
          <w:color w:val="000000" w:themeColor="text1"/>
          <w:sz w:val="24"/>
          <w:szCs w:val="24"/>
          <w:shd w:val="clear" w:color="auto" w:fill="FFFFFF"/>
        </w:rPr>
        <w:t>Coliandris, G., ‘Zander on PACE: The Police and Criminal Evidence Act 1984’ </w:t>
      </w:r>
      <w:r w:rsidRPr="0060049B">
        <w:rPr>
          <w:rFonts w:ascii="Arial" w:eastAsia="Times New Roman" w:hAnsi="Arial" w:cs="Arial"/>
          <w:i/>
          <w:iCs/>
          <w:color w:val="000000" w:themeColor="text1"/>
          <w:sz w:val="24"/>
          <w:szCs w:val="24"/>
        </w:rPr>
        <w:t>[2014] Pol J 139</w:t>
      </w:r>
    </w:p>
    <w:p w14:paraId="048DFB4B" w14:textId="088AD168" w:rsidR="0060049B" w:rsidRDefault="0060049B">
      <w:pPr>
        <w:rPr>
          <w:rFonts w:ascii="Arial" w:hAnsi="Arial" w:cs="Arial"/>
          <w:sz w:val="24"/>
        </w:rPr>
      </w:pPr>
    </w:p>
    <w:p w14:paraId="50904B29" w14:textId="266B9BE5" w:rsidR="007B0D35" w:rsidRDefault="007B0D35">
      <w:pPr>
        <w:rPr>
          <w:rFonts w:ascii="Arial" w:hAnsi="Arial" w:cs="Arial"/>
          <w:sz w:val="24"/>
        </w:rPr>
      </w:pPr>
      <w:hyperlink r:id="rId24" w:history="1">
        <w:r w:rsidRPr="00913173">
          <w:rPr>
            <w:rStyle w:val="Hyperlink"/>
            <w:rFonts w:ascii="Arial" w:hAnsi="Arial" w:cs="Arial"/>
            <w:sz w:val="24"/>
          </w:rPr>
          <w:t>https://greenandblackcross.org/guides/laws/2-section-12-14/</w:t>
        </w:r>
      </w:hyperlink>
      <w:r>
        <w:rPr>
          <w:rFonts w:ascii="Arial" w:hAnsi="Arial" w:cs="Arial"/>
          <w:sz w:val="24"/>
        </w:rPr>
        <w:t xml:space="preserve"> </w:t>
      </w:r>
    </w:p>
    <w:p w14:paraId="764513F3" w14:textId="2A1F0EF8" w:rsidR="00302F05" w:rsidRDefault="00302F05">
      <w:pPr>
        <w:rPr>
          <w:rFonts w:ascii="Arial" w:hAnsi="Arial" w:cs="Arial"/>
          <w:sz w:val="24"/>
        </w:rPr>
      </w:pPr>
      <w:r>
        <w:rPr>
          <w:rFonts w:ascii="Arial" w:hAnsi="Arial" w:cs="Arial"/>
          <w:sz w:val="24"/>
        </w:rPr>
        <w:t xml:space="preserve">Home Office. (2021). </w:t>
      </w:r>
      <w:r>
        <w:rPr>
          <w:rFonts w:ascii="Arial" w:hAnsi="Arial" w:cs="Arial"/>
          <w:i/>
          <w:sz w:val="24"/>
        </w:rPr>
        <w:t xml:space="preserve">Police, Crime, Sentencing and Courts Bill 2021: protest powers factsheet. </w:t>
      </w:r>
      <w:r>
        <w:rPr>
          <w:rFonts w:ascii="Arial" w:hAnsi="Arial" w:cs="Arial"/>
          <w:sz w:val="24"/>
        </w:rPr>
        <w:t xml:space="preserve">Available at: </w:t>
      </w:r>
      <w:hyperlink r:id="rId25" w:history="1">
        <w:r w:rsidRPr="00F24E3D">
          <w:rPr>
            <w:rStyle w:val="Hyperlink"/>
            <w:rFonts w:ascii="Arial" w:hAnsi="Arial" w:cs="Arial"/>
            <w:sz w:val="24"/>
          </w:rPr>
          <w:t>https://www.gov.uk/government/publications/police-crime-sentencing-and-courts-bill-2021-factsheets/police-crime-sentencing-and-courts-bill-2021-protest-powers-factsheet</w:t>
        </w:r>
      </w:hyperlink>
      <w:r>
        <w:rPr>
          <w:rFonts w:ascii="Arial" w:hAnsi="Arial" w:cs="Arial"/>
          <w:sz w:val="24"/>
        </w:rPr>
        <w:t xml:space="preserve"> Last accessed: 21/06/2021</w:t>
      </w:r>
    </w:p>
    <w:p w14:paraId="40E77AAD" w14:textId="77777777" w:rsidR="00D84A34" w:rsidRPr="00D84A34" w:rsidRDefault="00D84A34" w:rsidP="00D84A34">
      <w:pPr>
        <w:spacing w:after="0" w:line="240" w:lineRule="auto"/>
        <w:rPr>
          <w:rFonts w:ascii="Arial" w:eastAsia="Times New Roman" w:hAnsi="Arial" w:cs="Arial"/>
          <w:sz w:val="24"/>
          <w:szCs w:val="24"/>
        </w:rPr>
      </w:pPr>
      <w:r w:rsidRPr="00D84A34">
        <w:rPr>
          <w:rFonts w:ascii="Arial" w:eastAsia="Times New Roman" w:hAnsi="Arial" w:cs="Arial"/>
          <w:color w:val="000000"/>
          <w:sz w:val="24"/>
          <w:szCs w:val="20"/>
        </w:rPr>
        <w:t>Padfield, N (2016). </w:t>
      </w:r>
      <w:r w:rsidRPr="00D84A34">
        <w:rPr>
          <w:rFonts w:ascii="Arial" w:eastAsia="Times New Roman" w:hAnsi="Arial" w:cs="Arial"/>
          <w:i/>
          <w:iCs/>
          <w:color w:val="000000"/>
          <w:sz w:val="24"/>
          <w:szCs w:val="20"/>
        </w:rPr>
        <w:t>Criminal justice and Sentencing</w:t>
      </w:r>
      <w:r w:rsidRPr="00D84A34">
        <w:rPr>
          <w:rFonts w:ascii="Arial" w:eastAsia="Times New Roman" w:hAnsi="Arial" w:cs="Arial"/>
          <w:color w:val="000000"/>
          <w:sz w:val="24"/>
          <w:szCs w:val="20"/>
        </w:rPr>
        <w:t>. Cambridge: London. p34-56.</w:t>
      </w:r>
    </w:p>
    <w:p w14:paraId="5A975D94" w14:textId="2CD7EDD9" w:rsidR="00B66B44" w:rsidRPr="00B66B44" w:rsidRDefault="00B66B44" w:rsidP="00B66B44">
      <w:pPr>
        <w:pStyle w:val="NormalWeb"/>
        <w:rPr>
          <w:rFonts w:ascii="Arial" w:hAnsi="Arial" w:cs="Arial"/>
        </w:rPr>
      </w:pPr>
      <w:r w:rsidRPr="00B66B44">
        <w:rPr>
          <w:rFonts w:ascii="Arial" w:hAnsi="Arial" w:cs="Arial"/>
        </w:rPr>
        <w:t xml:space="preserve">UK Government. (2010). </w:t>
      </w:r>
      <w:r w:rsidRPr="00B66B44">
        <w:rPr>
          <w:rFonts w:ascii="Arial" w:hAnsi="Arial" w:cs="Arial"/>
          <w:bCs/>
          <w:i/>
        </w:rPr>
        <w:t>POLICE AND CRIMINAL EVIDENCE ACT 1984</w:t>
      </w:r>
      <w:r>
        <w:rPr>
          <w:rFonts w:ascii="Arial" w:hAnsi="Arial" w:cs="Arial"/>
          <w:b/>
          <w:bCs/>
        </w:rPr>
        <w:t xml:space="preserve">. </w:t>
      </w:r>
      <w:r>
        <w:rPr>
          <w:rFonts w:ascii="Arial" w:hAnsi="Arial" w:cs="Arial"/>
          <w:bCs/>
        </w:rPr>
        <w:t xml:space="preserve">Available at: </w:t>
      </w:r>
      <w:hyperlink r:id="rId26" w:history="1">
        <w:r w:rsidRPr="00F24E3D">
          <w:rPr>
            <w:rStyle w:val="Hyperlink"/>
            <w:rFonts w:ascii="Arial" w:hAnsi="Arial" w:cs="Arial"/>
            <w:bCs/>
          </w:rPr>
          <w:t>https://assets.publishing.service.gov.uk/government/uploads/system/uploads/attachment_data/file/117611/pace-code-a-2011.pdf</w:t>
        </w:r>
      </w:hyperlink>
      <w:r>
        <w:rPr>
          <w:rFonts w:ascii="Arial" w:hAnsi="Arial" w:cs="Arial"/>
          <w:bCs/>
        </w:rPr>
        <w:t xml:space="preserve"> Last accessed: 15/06/2021</w:t>
      </w:r>
    </w:p>
    <w:p w14:paraId="2DDD29D2" w14:textId="5FDF88DF" w:rsidR="00B66B44" w:rsidRDefault="00B66B44"/>
    <w:p w14:paraId="24E1B3F0" w14:textId="77777777" w:rsidR="00CB368D" w:rsidRPr="00CB368D" w:rsidRDefault="00CB368D" w:rsidP="00CB368D">
      <w:pPr>
        <w:spacing w:after="0" w:line="240" w:lineRule="auto"/>
        <w:rPr>
          <w:rFonts w:ascii="Times New Roman" w:eastAsia="Times New Roman" w:hAnsi="Times New Roman" w:cs="Times New Roman"/>
          <w:sz w:val="24"/>
          <w:szCs w:val="24"/>
        </w:rPr>
      </w:pPr>
    </w:p>
    <w:p w14:paraId="22A7C5F6" w14:textId="4D3DF36B" w:rsidR="00CB368D" w:rsidRPr="00B70DAC" w:rsidRDefault="004F6697">
      <w:hyperlink r:id="rId27" w:history="1">
        <w:r w:rsidRPr="00913173">
          <w:rPr>
            <w:rStyle w:val="Hyperlink"/>
          </w:rPr>
          <w:t>https://www.legislation.gov.uk/ukpga/1984/60/section/24</w:t>
        </w:r>
      </w:hyperlink>
      <w:r>
        <w:t xml:space="preserve"> </w:t>
      </w:r>
    </w:p>
    <w:sectPr w:rsidR="00CB368D" w:rsidRPr="00B70D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E1663" w14:textId="77777777" w:rsidR="00E53E4A" w:rsidRDefault="00E53E4A" w:rsidP="00BC0018">
      <w:pPr>
        <w:spacing w:after="0" w:line="240" w:lineRule="auto"/>
      </w:pPr>
      <w:r>
        <w:separator/>
      </w:r>
    </w:p>
  </w:endnote>
  <w:endnote w:type="continuationSeparator" w:id="0">
    <w:p w14:paraId="075624FC" w14:textId="77777777" w:rsidR="00E53E4A" w:rsidRDefault="00E53E4A" w:rsidP="00BC0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BA73A" w14:textId="77777777" w:rsidR="00E53E4A" w:rsidRDefault="00E53E4A" w:rsidP="00BC0018">
      <w:pPr>
        <w:spacing w:after="0" w:line="240" w:lineRule="auto"/>
      </w:pPr>
      <w:r>
        <w:separator/>
      </w:r>
    </w:p>
  </w:footnote>
  <w:footnote w:type="continuationSeparator" w:id="0">
    <w:p w14:paraId="736DCFBC" w14:textId="77777777" w:rsidR="00E53E4A" w:rsidRDefault="00E53E4A" w:rsidP="00BC00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F62"/>
    <w:multiLevelType w:val="hybridMultilevel"/>
    <w:tmpl w:val="B538D8E4"/>
    <w:lvl w:ilvl="0" w:tplc="71D6C08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E5386B"/>
    <w:multiLevelType w:val="hybridMultilevel"/>
    <w:tmpl w:val="52587F58"/>
    <w:lvl w:ilvl="0" w:tplc="BAEA3490">
      <w:start w:val="1"/>
      <w:numFmt w:val="bullet"/>
      <w:lvlText w:val=""/>
      <w:lvlJc w:val="left"/>
      <w:pPr>
        <w:tabs>
          <w:tab w:val="num" w:pos="720"/>
        </w:tabs>
        <w:ind w:left="720" w:hanging="360"/>
      </w:pPr>
      <w:rPr>
        <w:rFonts w:ascii="Wingdings 3" w:hAnsi="Wingdings 3" w:hint="default"/>
      </w:rPr>
    </w:lvl>
    <w:lvl w:ilvl="1" w:tplc="BE2C17C2" w:tentative="1">
      <w:start w:val="1"/>
      <w:numFmt w:val="bullet"/>
      <w:lvlText w:val=""/>
      <w:lvlJc w:val="left"/>
      <w:pPr>
        <w:tabs>
          <w:tab w:val="num" w:pos="1440"/>
        </w:tabs>
        <w:ind w:left="1440" w:hanging="360"/>
      </w:pPr>
      <w:rPr>
        <w:rFonts w:ascii="Wingdings 3" w:hAnsi="Wingdings 3" w:hint="default"/>
      </w:rPr>
    </w:lvl>
    <w:lvl w:ilvl="2" w:tplc="F0E637F4" w:tentative="1">
      <w:start w:val="1"/>
      <w:numFmt w:val="bullet"/>
      <w:lvlText w:val=""/>
      <w:lvlJc w:val="left"/>
      <w:pPr>
        <w:tabs>
          <w:tab w:val="num" w:pos="2160"/>
        </w:tabs>
        <w:ind w:left="2160" w:hanging="360"/>
      </w:pPr>
      <w:rPr>
        <w:rFonts w:ascii="Wingdings 3" w:hAnsi="Wingdings 3" w:hint="default"/>
      </w:rPr>
    </w:lvl>
    <w:lvl w:ilvl="3" w:tplc="E0E09954" w:tentative="1">
      <w:start w:val="1"/>
      <w:numFmt w:val="bullet"/>
      <w:lvlText w:val=""/>
      <w:lvlJc w:val="left"/>
      <w:pPr>
        <w:tabs>
          <w:tab w:val="num" w:pos="2880"/>
        </w:tabs>
        <w:ind w:left="2880" w:hanging="360"/>
      </w:pPr>
      <w:rPr>
        <w:rFonts w:ascii="Wingdings 3" w:hAnsi="Wingdings 3" w:hint="default"/>
      </w:rPr>
    </w:lvl>
    <w:lvl w:ilvl="4" w:tplc="D1A4198A" w:tentative="1">
      <w:start w:val="1"/>
      <w:numFmt w:val="bullet"/>
      <w:lvlText w:val=""/>
      <w:lvlJc w:val="left"/>
      <w:pPr>
        <w:tabs>
          <w:tab w:val="num" w:pos="3600"/>
        </w:tabs>
        <w:ind w:left="3600" w:hanging="360"/>
      </w:pPr>
      <w:rPr>
        <w:rFonts w:ascii="Wingdings 3" w:hAnsi="Wingdings 3" w:hint="default"/>
      </w:rPr>
    </w:lvl>
    <w:lvl w:ilvl="5" w:tplc="137AAAAC" w:tentative="1">
      <w:start w:val="1"/>
      <w:numFmt w:val="bullet"/>
      <w:lvlText w:val=""/>
      <w:lvlJc w:val="left"/>
      <w:pPr>
        <w:tabs>
          <w:tab w:val="num" w:pos="4320"/>
        </w:tabs>
        <w:ind w:left="4320" w:hanging="360"/>
      </w:pPr>
      <w:rPr>
        <w:rFonts w:ascii="Wingdings 3" w:hAnsi="Wingdings 3" w:hint="default"/>
      </w:rPr>
    </w:lvl>
    <w:lvl w:ilvl="6" w:tplc="19A07C42" w:tentative="1">
      <w:start w:val="1"/>
      <w:numFmt w:val="bullet"/>
      <w:lvlText w:val=""/>
      <w:lvlJc w:val="left"/>
      <w:pPr>
        <w:tabs>
          <w:tab w:val="num" w:pos="5040"/>
        </w:tabs>
        <w:ind w:left="5040" w:hanging="360"/>
      </w:pPr>
      <w:rPr>
        <w:rFonts w:ascii="Wingdings 3" w:hAnsi="Wingdings 3" w:hint="default"/>
      </w:rPr>
    </w:lvl>
    <w:lvl w:ilvl="7" w:tplc="67640594" w:tentative="1">
      <w:start w:val="1"/>
      <w:numFmt w:val="bullet"/>
      <w:lvlText w:val=""/>
      <w:lvlJc w:val="left"/>
      <w:pPr>
        <w:tabs>
          <w:tab w:val="num" w:pos="5760"/>
        </w:tabs>
        <w:ind w:left="5760" w:hanging="360"/>
      </w:pPr>
      <w:rPr>
        <w:rFonts w:ascii="Wingdings 3" w:hAnsi="Wingdings 3" w:hint="default"/>
      </w:rPr>
    </w:lvl>
    <w:lvl w:ilvl="8" w:tplc="4424944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B1F2015"/>
    <w:multiLevelType w:val="hybridMultilevel"/>
    <w:tmpl w:val="DD548984"/>
    <w:lvl w:ilvl="0" w:tplc="7FBA7E2C">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 w15:restartNumberingAfterBreak="0">
    <w:nsid w:val="22764480"/>
    <w:multiLevelType w:val="hybridMultilevel"/>
    <w:tmpl w:val="66A8C4B2"/>
    <w:lvl w:ilvl="0" w:tplc="E22A1F7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50FEA"/>
    <w:multiLevelType w:val="hybridMultilevel"/>
    <w:tmpl w:val="543E5340"/>
    <w:lvl w:ilvl="0" w:tplc="3D4280E6">
      <w:start w:val="1"/>
      <w:numFmt w:val="bullet"/>
      <w:lvlText w:val=""/>
      <w:lvlJc w:val="left"/>
      <w:pPr>
        <w:tabs>
          <w:tab w:val="num" w:pos="720"/>
        </w:tabs>
        <w:ind w:left="720" w:hanging="360"/>
      </w:pPr>
      <w:rPr>
        <w:rFonts w:ascii="Wingdings 3" w:hAnsi="Wingdings 3" w:hint="default"/>
      </w:rPr>
    </w:lvl>
    <w:lvl w:ilvl="1" w:tplc="82B847DC" w:tentative="1">
      <w:start w:val="1"/>
      <w:numFmt w:val="bullet"/>
      <w:lvlText w:val=""/>
      <w:lvlJc w:val="left"/>
      <w:pPr>
        <w:tabs>
          <w:tab w:val="num" w:pos="1440"/>
        </w:tabs>
        <w:ind w:left="1440" w:hanging="360"/>
      </w:pPr>
      <w:rPr>
        <w:rFonts w:ascii="Wingdings 3" w:hAnsi="Wingdings 3" w:hint="default"/>
      </w:rPr>
    </w:lvl>
    <w:lvl w:ilvl="2" w:tplc="499E9252" w:tentative="1">
      <w:start w:val="1"/>
      <w:numFmt w:val="bullet"/>
      <w:lvlText w:val=""/>
      <w:lvlJc w:val="left"/>
      <w:pPr>
        <w:tabs>
          <w:tab w:val="num" w:pos="2160"/>
        </w:tabs>
        <w:ind w:left="2160" w:hanging="360"/>
      </w:pPr>
      <w:rPr>
        <w:rFonts w:ascii="Wingdings 3" w:hAnsi="Wingdings 3" w:hint="default"/>
      </w:rPr>
    </w:lvl>
    <w:lvl w:ilvl="3" w:tplc="BE00BD90" w:tentative="1">
      <w:start w:val="1"/>
      <w:numFmt w:val="bullet"/>
      <w:lvlText w:val=""/>
      <w:lvlJc w:val="left"/>
      <w:pPr>
        <w:tabs>
          <w:tab w:val="num" w:pos="2880"/>
        </w:tabs>
        <w:ind w:left="2880" w:hanging="360"/>
      </w:pPr>
      <w:rPr>
        <w:rFonts w:ascii="Wingdings 3" w:hAnsi="Wingdings 3" w:hint="default"/>
      </w:rPr>
    </w:lvl>
    <w:lvl w:ilvl="4" w:tplc="E1A28026" w:tentative="1">
      <w:start w:val="1"/>
      <w:numFmt w:val="bullet"/>
      <w:lvlText w:val=""/>
      <w:lvlJc w:val="left"/>
      <w:pPr>
        <w:tabs>
          <w:tab w:val="num" w:pos="3600"/>
        </w:tabs>
        <w:ind w:left="3600" w:hanging="360"/>
      </w:pPr>
      <w:rPr>
        <w:rFonts w:ascii="Wingdings 3" w:hAnsi="Wingdings 3" w:hint="default"/>
      </w:rPr>
    </w:lvl>
    <w:lvl w:ilvl="5" w:tplc="9362C4EC" w:tentative="1">
      <w:start w:val="1"/>
      <w:numFmt w:val="bullet"/>
      <w:lvlText w:val=""/>
      <w:lvlJc w:val="left"/>
      <w:pPr>
        <w:tabs>
          <w:tab w:val="num" w:pos="4320"/>
        </w:tabs>
        <w:ind w:left="4320" w:hanging="360"/>
      </w:pPr>
      <w:rPr>
        <w:rFonts w:ascii="Wingdings 3" w:hAnsi="Wingdings 3" w:hint="default"/>
      </w:rPr>
    </w:lvl>
    <w:lvl w:ilvl="6" w:tplc="274E5C2E" w:tentative="1">
      <w:start w:val="1"/>
      <w:numFmt w:val="bullet"/>
      <w:lvlText w:val=""/>
      <w:lvlJc w:val="left"/>
      <w:pPr>
        <w:tabs>
          <w:tab w:val="num" w:pos="5040"/>
        </w:tabs>
        <w:ind w:left="5040" w:hanging="360"/>
      </w:pPr>
      <w:rPr>
        <w:rFonts w:ascii="Wingdings 3" w:hAnsi="Wingdings 3" w:hint="default"/>
      </w:rPr>
    </w:lvl>
    <w:lvl w:ilvl="7" w:tplc="AE9ACC6A" w:tentative="1">
      <w:start w:val="1"/>
      <w:numFmt w:val="bullet"/>
      <w:lvlText w:val=""/>
      <w:lvlJc w:val="left"/>
      <w:pPr>
        <w:tabs>
          <w:tab w:val="num" w:pos="5760"/>
        </w:tabs>
        <w:ind w:left="5760" w:hanging="360"/>
      </w:pPr>
      <w:rPr>
        <w:rFonts w:ascii="Wingdings 3" w:hAnsi="Wingdings 3" w:hint="default"/>
      </w:rPr>
    </w:lvl>
    <w:lvl w:ilvl="8" w:tplc="A010193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44595198"/>
    <w:multiLevelType w:val="hybridMultilevel"/>
    <w:tmpl w:val="166A3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AC71F0"/>
    <w:multiLevelType w:val="hybridMultilevel"/>
    <w:tmpl w:val="DD548984"/>
    <w:lvl w:ilvl="0" w:tplc="7FBA7E2C">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7" w15:restartNumberingAfterBreak="0">
    <w:nsid w:val="6A6033A3"/>
    <w:multiLevelType w:val="hybridMultilevel"/>
    <w:tmpl w:val="7C462264"/>
    <w:lvl w:ilvl="0" w:tplc="EB26CE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CAC23C6"/>
    <w:multiLevelType w:val="hybridMultilevel"/>
    <w:tmpl w:val="7C462264"/>
    <w:lvl w:ilvl="0" w:tplc="EB26CEC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2"/>
  </w:num>
  <w:num w:numId="4">
    <w:abstractNumId w:val="0"/>
  </w:num>
  <w:num w:numId="5">
    <w:abstractNumId w:val="3"/>
  </w:num>
  <w:num w:numId="6">
    <w:abstractNumId w:val="4"/>
  </w:num>
  <w:num w:numId="7">
    <w:abstractNumId w:val="1"/>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D80"/>
    <w:rsid w:val="000279D7"/>
    <w:rsid w:val="00054266"/>
    <w:rsid w:val="0006607D"/>
    <w:rsid w:val="000755CB"/>
    <w:rsid w:val="0008151C"/>
    <w:rsid w:val="00087FB1"/>
    <w:rsid w:val="000B677A"/>
    <w:rsid w:val="000D6428"/>
    <w:rsid w:val="000E0D11"/>
    <w:rsid w:val="000E4917"/>
    <w:rsid w:val="000F3AC2"/>
    <w:rsid w:val="00103279"/>
    <w:rsid w:val="00134A03"/>
    <w:rsid w:val="00140599"/>
    <w:rsid w:val="00146F60"/>
    <w:rsid w:val="00150067"/>
    <w:rsid w:val="001536D1"/>
    <w:rsid w:val="00153777"/>
    <w:rsid w:val="00175E83"/>
    <w:rsid w:val="001847E5"/>
    <w:rsid w:val="00196517"/>
    <w:rsid w:val="001A306E"/>
    <w:rsid w:val="001C18A6"/>
    <w:rsid w:val="001C1EF4"/>
    <w:rsid w:val="001D588A"/>
    <w:rsid w:val="001D7FE4"/>
    <w:rsid w:val="001E2EC6"/>
    <w:rsid w:val="001E3364"/>
    <w:rsid w:val="001F3B95"/>
    <w:rsid w:val="0020053E"/>
    <w:rsid w:val="00206925"/>
    <w:rsid w:val="002433A4"/>
    <w:rsid w:val="002574E0"/>
    <w:rsid w:val="0026134E"/>
    <w:rsid w:val="0027477F"/>
    <w:rsid w:val="002830FD"/>
    <w:rsid w:val="002872A3"/>
    <w:rsid w:val="002918E4"/>
    <w:rsid w:val="002B3626"/>
    <w:rsid w:val="002B3F82"/>
    <w:rsid w:val="002C41BB"/>
    <w:rsid w:val="002C6975"/>
    <w:rsid w:val="002E5122"/>
    <w:rsid w:val="00302F05"/>
    <w:rsid w:val="0033272D"/>
    <w:rsid w:val="0036129C"/>
    <w:rsid w:val="00372F5E"/>
    <w:rsid w:val="003820F5"/>
    <w:rsid w:val="003855BF"/>
    <w:rsid w:val="00385BDD"/>
    <w:rsid w:val="0039349F"/>
    <w:rsid w:val="003B62AB"/>
    <w:rsid w:val="003C01D0"/>
    <w:rsid w:val="003E1A4D"/>
    <w:rsid w:val="003E47A4"/>
    <w:rsid w:val="003E57BC"/>
    <w:rsid w:val="004018AA"/>
    <w:rsid w:val="00412411"/>
    <w:rsid w:val="00434648"/>
    <w:rsid w:val="00447416"/>
    <w:rsid w:val="0045253C"/>
    <w:rsid w:val="00461789"/>
    <w:rsid w:val="004B1F60"/>
    <w:rsid w:val="004B6980"/>
    <w:rsid w:val="004C0B81"/>
    <w:rsid w:val="004D148E"/>
    <w:rsid w:val="004D5DBD"/>
    <w:rsid w:val="004E6AA1"/>
    <w:rsid w:val="004F54A6"/>
    <w:rsid w:val="004F6419"/>
    <w:rsid w:val="004F6697"/>
    <w:rsid w:val="0050739E"/>
    <w:rsid w:val="0051543E"/>
    <w:rsid w:val="0052569E"/>
    <w:rsid w:val="00525961"/>
    <w:rsid w:val="00530029"/>
    <w:rsid w:val="00531E5E"/>
    <w:rsid w:val="00533E76"/>
    <w:rsid w:val="0054237E"/>
    <w:rsid w:val="00560F8C"/>
    <w:rsid w:val="00573436"/>
    <w:rsid w:val="005C2712"/>
    <w:rsid w:val="005C7EEC"/>
    <w:rsid w:val="005D3CAA"/>
    <w:rsid w:val="005D6E04"/>
    <w:rsid w:val="005E18F9"/>
    <w:rsid w:val="005E5F9B"/>
    <w:rsid w:val="005F7502"/>
    <w:rsid w:val="0060049B"/>
    <w:rsid w:val="00611A03"/>
    <w:rsid w:val="006126FA"/>
    <w:rsid w:val="00612930"/>
    <w:rsid w:val="0064350C"/>
    <w:rsid w:val="006469EE"/>
    <w:rsid w:val="0066279F"/>
    <w:rsid w:val="006662F6"/>
    <w:rsid w:val="00674A68"/>
    <w:rsid w:val="00674E5A"/>
    <w:rsid w:val="006B1A67"/>
    <w:rsid w:val="006B386F"/>
    <w:rsid w:val="006C0CFA"/>
    <w:rsid w:val="006C5BB1"/>
    <w:rsid w:val="006F6B8E"/>
    <w:rsid w:val="00703D17"/>
    <w:rsid w:val="00711C50"/>
    <w:rsid w:val="00723155"/>
    <w:rsid w:val="00736693"/>
    <w:rsid w:val="00742A6B"/>
    <w:rsid w:val="00745EAD"/>
    <w:rsid w:val="00753D37"/>
    <w:rsid w:val="00762604"/>
    <w:rsid w:val="00772E15"/>
    <w:rsid w:val="007A240D"/>
    <w:rsid w:val="007B0508"/>
    <w:rsid w:val="007B0D35"/>
    <w:rsid w:val="007B2D31"/>
    <w:rsid w:val="007E2446"/>
    <w:rsid w:val="007F4161"/>
    <w:rsid w:val="008360D1"/>
    <w:rsid w:val="00841EC8"/>
    <w:rsid w:val="00841F99"/>
    <w:rsid w:val="008434EC"/>
    <w:rsid w:val="00846BA2"/>
    <w:rsid w:val="008630ED"/>
    <w:rsid w:val="0087054F"/>
    <w:rsid w:val="00871419"/>
    <w:rsid w:val="008967AD"/>
    <w:rsid w:val="00897D58"/>
    <w:rsid w:val="008A4409"/>
    <w:rsid w:val="008A5CF0"/>
    <w:rsid w:val="008A7B96"/>
    <w:rsid w:val="008B358A"/>
    <w:rsid w:val="008B6788"/>
    <w:rsid w:val="008C12B9"/>
    <w:rsid w:val="008D1025"/>
    <w:rsid w:val="008F2FAA"/>
    <w:rsid w:val="00915243"/>
    <w:rsid w:val="00933BC3"/>
    <w:rsid w:val="00950B09"/>
    <w:rsid w:val="009554A7"/>
    <w:rsid w:val="00963299"/>
    <w:rsid w:val="00995CF9"/>
    <w:rsid w:val="00996E9B"/>
    <w:rsid w:val="009C02B4"/>
    <w:rsid w:val="009C144A"/>
    <w:rsid w:val="009E4C94"/>
    <w:rsid w:val="00A468E2"/>
    <w:rsid w:val="00A54D80"/>
    <w:rsid w:val="00A6608D"/>
    <w:rsid w:val="00A70207"/>
    <w:rsid w:val="00A77ACC"/>
    <w:rsid w:val="00A8513C"/>
    <w:rsid w:val="00A95347"/>
    <w:rsid w:val="00A97625"/>
    <w:rsid w:val="00AA4001"/>
    <w:rsid w:val="00AB633A"/>
    <w:rsid w:val="00AC0BDC"/>
    <w:rsid w:val="00B1500D"/>
    <w:rsid w:val="00B15C10"/>
    <w:rsid w:val="00B3759B"/>
    <w:rsid w:val="00B438F9"/>
    <w:rsid w:val="00B66B44"/>
    <w:rsid w:val="00B70190"/>
    <w:rsid w:val="00B70DAC"/>
    <w:rsid w:val="00B710E1"/>
    <w:rsid w:val="00B939BA"/>
    <w:rsid w:val="00BB4369"/>
    <w:rsid w:val="00BB6D6E"/>
    <w:rsid w:val="00BC0018"/>
    <w:rsid w:val="00BC2899"/>
    <w:rsid w:val="00BD56E2"/>
    <w:rsid w:val="00C0710F"/>
    <w:rsid w:val="00C31697"/>
    <w:rsid w:val="00C407B3"/>
    <w:rsid w:val="00C40FB7"/>
    <w:rsid w:val="00C7068F"/>
    <w:rsid w:val="00CA08AD"/>
    <w:rsid w:val="00CB368D"/>
    <w:rsid w:val="00CC1F7A"/>
    <w:rsid w:val="00CD7341"/>
    <w:rsid w:val="00CE1144"/>
    <w:rsid w:val="00D07F05"/>
    <w:rsid w:val="00D20D42"/>
    <w:rsid w:val="00D21771"/>
    <w:rsid w:val="00D2306C"/>
    <w:rsid w:val="00D41E10"/>
    <w:rsid w:val="00D50DB7"/>
    <w:rsid w:val="00D56E21"/>
    <w:rsid w:val="00D84A34"/>
    <w:rsid w:val="00D855B7"/>
    <w:rsid w:val="00D91E78"/>
    <w:rsid w:val="00DA2708"/>
    <w:rsid w:val="00DB5028"/>
    <w:rsid w:val="00DD1907"/>
    <w:rsid w:val="00DD5977"/>
    <w:rsid w:val="00DE0BA9"/>
    <w:rsid w:val="00DE1B68"/>
    <w:rsid w:val="00DF6CF2"/>
    <w:rsid w:val="00E023FC"/>
    <w:rsid w:val="00E02A9D"/>
    <w:rsid w:val="00E03880"/>
    <w:rsid w:val="00E16192"/>
    <w:rsid w:val="00E27F42"/>
    <w:rsid w:val="00E34D3A"/>
    <w:rsid w:val="00E53E4A"/>
    <w:rsid w:val="00E64975"/>
    <w:rsid w:val="00EA2718"/>
    <w:rsid w:val="00ED4449"/>
    <w:rsid w:val="00F00694"/>
    <w:rsid w:val="00F133DD"/>
    <w:rsid w:val="00F22E0D"/>
    <w:rsid w:val="00F31BD9"/>
    <w:rsid w:val="00F35123"/>
    <w:rsid w:val="00F475BC"/>
    <w:rsid w:val="00F51029"/>
    <w:rsid w:val="00F565C2"/>
    <w:rsid w:val="00F569DB"/>
    <w:rsid w:val="00F62BAB"/>
    <w:rsid w:val="00F72CE0"/>
    <w:rsid w:val="00F75280"/>
    <w:rsid w:val="00F75C89"/>
    <w:rsid w:val="00F868C3"/>
    <w:rsid w:val="00F956E6"/>
    <w:rsid w:val="00FA5D74"/>
    <w:rsid w:val="00FB68C8"/>
    <w:rsid w:val="00FD0C6D"/>
    <w:rsid w:val="00FD276A"/>
    <w:rsid w:val="00FF0254"/>
    <w:rsid w:val="00FF1C4C"/>
    <w:rsid w:val="00FF4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F0112"/>
  <w15:chartTrackingRefBased/>
  <w15:docId w15:val="{BA0AE4A5-F63C-4F50-B6A5-5377B53C0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2E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59B"/>
    <w:pPr>
      <w:ind w:left="720"/>
      <w:contextualSpacing/>
    </w:pPr>
  </w:style>
  <w:style w:type="paragraph" w:styleId="NormalWeb">
    <w:name w:val="Normal (Web)"/>
    <w:basedOn w:val="Normal"/>
    <w:uiPriority w:val="99"/>
    <w:unhideWhenUsed/>
    <w:rsid w:val="00DE1B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DE1B68"/>
  </w:style>
  <w:style w:type="character" w:styleId="Emphasis">
    <w:name w:val="Emphasis"/>
    <w:basedOn w:val="DefaultParagraphFont"/>
    <w:uiPriority w:val="20"/>
    <w:qFormat/>
    <w:rsid w:val="00DE1B68"/>
    <w:rPr>
      <w:i/>
      <w:iCs/>
    </w:rPr>
  </w:style>
  <w:style w:type="paragraph" w:customStyle="1" w:styleId="xp1">
    <w:name w:val="x_p1"/>
    <w:basedOn w:val="Normal"/>
    <w:rsid w:val="00BD56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s1">
    <w:name w:val="x_s1"/>
    <w:basedOn w:val="DefaultParagraphFont"/>
    <w:rsid w:val="00BD56E2"/>
  </w:style>
  <w:style w:type="character" w:styleId="Hyperlink">
    <w:name w:val="Hyperlink"/>
    <w:basedOn w:val="DefaultParagraphFont"/>
    <w:uiPriority w:val="99"/>
    <w:unhideWhenUsed/>
    <w:rsid w:val="00BD56E2"/>
    <w:rPr>
      <w:color w:val="0000FF"/>
      <w:u w:val="single"/>
    </w:rPr>
  </w:style>
  <w:style w:type="character" w:styleId="UnresolvedMention">
    <w:name w:val="Unresolved Mention"/>
    <w:basedOn w:val="DefaultParagraphFont"/>
    <w:uiPriority w:val="99"/>
    <w:semiHidden/>
    <w:unhideWhenUsed/>
    <w:rsid w:val="00BB6D6E"/>
    <w:rPr>
      <w:color w:val="605E5C"/>
      <w:shd w:val="clear" w:color="auto" w:fill="E1DFDD"/>
    </w:rPr>
  </w:style>
  <w:style w:type="character" w:styleId="FollowedHyperlink">
    <w:name w:val="FollowedHyperlink"/>
    <w:basedOn w:val="DefaultParagraphFont"/>
    <w:uiPriority w:val="99"/>
    <w:semiHidden/>
    <w:unhideWhenUsed/>
    <w:rsid w:val="00C0710F"/>
    <w:rPr>
      <w:color w:val="954F72" w:themeColor="followedHyperlink"/>
      <w:u w:val="single"/>
    </w:rPr>
  </w:style>
  <w:style w:type="paragraph" w:styleId="Header">
    <w:name w:val="header"/>
    <w:basedOn w:val="Normal"/>
    <w:link w:val="HeaderChar"/>
    <w:uiPriority w:val="99"/>
    <w:unhideWhenUsed/>
    <w:rsid w:val="00BC00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018"/>
  </w:style>
  <w:style w:type="paragraph" w:styleId="Footer">
    <w:name w:val="footer"/>
    <w:basedOn w:val="Normal"/>
    <w:link w:val="FooterChar"/>
    <w:uiPriority w:val="99"/>
    <w:unhideWhenUsed/>
    <w:rsid w:val="00BC00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018"/>
  </w:style>
  <w:style w:type="character" w:customStyle="1" w:styleId="chapterdoi">
    <w:name w:val="chapterdoi"/>
    <w:basedOn w:val="DefaultParagraphFont"/>
    <w:rsid w:val="00B710E1"/>
  </w:style>
  <w:style w:type="character" w:customStyle="1" w:styleId="xgmail-normaltextrun">
    <w:name w:val="x_gmail-normaltextrun"/>
    <w:basedOn w:val="DefaultParagraphFont"/>
    <w:rsid w:val="0020053E"/>
  </w:style>
  <w:style w:type="character" w:customStyle="1" w:styleId="xgmail-eop">
    <w:name w:val="x_gmail-eop"/>
    <w:basedOn w:val="DefaultParagraphFont"/>
    <w:rsid w:val="0026134E"/>
  </w:style>
  <w:style w:type="character" w:styleId="Strong">
    <w:name w:val="Strong"/>
    <w:basedOn w:val="DefaultParagraphFont"/>
    <w:uiPriority w:val="22"/>
    <w:qFormat/>
    <w:rsid w:val="004F66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7410">
      <w:bodyDiv w:val="1"/>
      <w:marLeft w:val="0"/>
      <w:marRight w:val="0"/>
      <w:marTop w:val="0"/>
      <w:marBottom w:val="0"/>
      <w:divBdr>
        <w:top w:val="none" w:sz="0" w:space="0" w:color="auto"/>
        <w:left w:val="none" w:sz="0" w:space="0" w:color="auto"/>
        <w:bottom w:val="none" w:sz="0" w:space="0" w:color="auto"/>
        <w:right w:val="none" w:sz="0" w:space="0" w:color="auto"/>
      </w:divBdr>
      <w:divsChild>
        <w:div w:id="404646265">
          <w:marLeft w:val="547"/>
          <w:marRight w:val="0"/>
          <w:marTop w:val="200"/>
          <w:marBottom w:val="0"/>
          <w:divBdr>
            <w:top w:val="none" w:sz="0" w:space="0" w:color="auto"/>
            <w:left w:val="none" w:sz="0" w:space="0" w:color="auto"/>
            <w:bottom w:val="none" w:sz="0" w:space="0" w:color="auto"/>
            <w:right w:val="none" w:sz="0" w:space="0" w:color="auto"/>
          </w:divBdr>
        </w:div>
      </w:divsChild>
    </w:div>
    <w:div w:id="101463189">
      <w:bodyDiv w:val="1"/>
      <w:marLeft w:val="0"/>
      <w:marRight w:val="0"/>
      <w:marTop w:val="0"/>
      <w:marBottom w:val="0"/>
      <w:divBdr>
        <w:top w:val="none" w:sz="0" w:space="0" w:color="auto"/>
        <w:left w:val="none" w:sz="0" w:space="0" w:color="auto"/>
        <w:bottom w:val="none" w:sz="0" w:space="0" w:color="auto"/>
        <w:right w:val="none" w:sz="0" w:space="0" w:color="auto"/>
      </w:divBdr>
      <w:divsChild>
        <w:div w:id="1555044190">
          <w:blockQuote w:val="1"/>
          <w:marLeft w:val="240"/>
          <w:marRight w:val="240"/>
          <w:marTop w:val="240"/>
          <w:marBottom w:val="240"/>
          <w:divBdr>
            <w:top w:val="none" w:sz="0" w:space="0" w:color="auto"/>
            <w:left w:val="none" w:sz="0" w:space="0" w:color="auto"/>
            <w:bottom w:val="none" w:sz="0" w:space="0" w:color="auto"/>
            <w:right w:val="none" w:sz="0" w:space="0" w:color="auto"/>
          </w:divBdr>
        </w:div>
      </w:divsChild>
    </w:div>
    <w:div w:id="111704778">
      <w:bodyDiv w:val="1"/>
      <w:marLeft w:val="0"/>
      <w:marRight w:val="0"/>
      <w:marTop w:val="0"/>
      <w:marBottom w:val="0"/>
      <w:divBdr>
        <w:top w:val="none" w:sz="0" w:space="0" w:color="auto"/>
        <w:left w:val="none" w:sz="0" w:space="0" w:color="auto"/>
        <w:bottom w:val="none" w:sz="0" w:space="0" w:color="auto"/>
        <w:right w:val="none" w:sz="0" w:space="0" w:color="auto"/>
      </w:divBdr>
      <w:divsChild>
        <w:div w:id="1149442109">
          <w:marLeft w:val="0"/>
          <w:marRight w:val="0"/>
          <w:marTop w:val="0"/>
          <w:marBottom w:val="0"/>
          <w:divBdr>
            <w:top w:val="none" w:sz="0" w:space="0" w:color="auto"/>
            <w:left w:val="none" w:sz="0" w:space="0" w:color="auto"/>
            <w:bottom w:val="none" w:sz="0" w:space="0" w:color="auto"/>
            <w:right w:val="none" w:sz="0" w:space="0" w:color="auto"/>
          </w:divBdr>
        </w:div>
        <w:div w:id="1654064614">
          <w:marLeft w:val="0"/>
          <w:marRight w:val="0"/>
          <w:marTop w:val="0"/>
          <w:marBottom w:val="0"/>
          <w:divBdr>
            <w:top w:val="none" w:sz="0" w:space="0" w:color="auto"/>
            <w:left w:val="none" w:sz="0" w:space="0" w:color="auto"/>
            <w:bottom w:val="none" w:sz="0" w:space="0" w:color="auto"/>
            <w:right w:val="none" w:sz="0" w:space="0" w:color="auto"/>
          </w:divBdr>
        </w:div>
        <w:div w:id="1177427218">
          <w:marLeft w:val="0"/>
          <w:marRight w:val="0"/>
          <w:marTop w:val="0"/>
          <w:marBottom w:val="0"/>
          <w:divBdr>
            <w:top w:val="none" w:sz="0" w:space="0" w:color="auto"/>
            <w:left w:val="none" w:sz="0" w:space="0" w:color="auto"/>
            <w:bottom w:val="none" w:sz="0" w:space="0" w:color="auto"/>
            <w:right w:val="none" w:sz="0" w:space="0" w:color="auto"/>
          </w:divBdr>
        </w:div>
        <w:div w:id="1071193844">
          <w:marLeft w:val="0"/>
          <w:marRight w:val="0"/>
          <w:marTop w:val="0"/>
          <w:marBottom w:val="0"/>
          <w:divBdr>
            <w:top w:val="none" w:sz="0" w:space="0" w:color="auto"/>
            <w:left w:val="none" w:sz="0" w:space="0" w:color="auto"/>
            <w:bottom w:val="none" w:sz="0" w:space="0" w:color="auto"/>
            <w:right w:val="none" w:sz="0" w:space="0" w:color="auto"/>
          </w:divBdr>
        </w:div>
        <w:div w:id="196890643">
          <w:marLeft w:val="0"/>
          <w:marRight w:val="0"/>
          <w:marTop w:val="0"/>
          <w:marBottom w:val="0"/>
          <w:divBdr>
            <w:top w:val="none" w:sz="0" w:space="0" w:color="auto"/>
            <w:left w:val="none" w:sz="0" w:space="0" w:color="auto"/>
            <w:bottom w:val="none" w:sz="0" w:space="0" w:color="auto"/>
            <w:right w:val="none" w:sz="0" w:space="0" w:color="auto"/>
          </w:divBdr>
        </w:div>
        <w:div w:id="2096704071">
          <w:marLeft w:val="0"/>
          <w:marRight w:val="0"/>
          <w:marTop w:val="0"/>
          <w:marBottom w:val="0"/>
          <w:divBdr>
            <w:top w:val="none" w:sz="0" w:space="0" w:color="auto"/>
            <w:left w:val="none" w:sz="0" w:space="0" w:color="auto"/>
            <w:bottom w:val="none" w:sz="0" w:space="0" w:color="auto"/>
            <w:right w:val="none" w:sz="0" w:space="0" w:color="auto"/>
          </w:divBdr>
        </w:div>
        <w:div w:id="2118021708">
          <w:marLeft w:val="0"/>
          <w:marRight w:val="0"/>
          <w:marTop w:val="0"/>
          <w:marBottom w:val="0"/>
          <w:divBdr>
            <w:top w:val="none" w:sz="0" w:space="0" w:color="auto"/>
            <w:left w:val="none" w:sz="0" w:space="0" w:color="auto"/>
            <w:bottom w:val="none" w:sz="0" w:space="0" w:color="auto"/>
            <w:right w:val="none" w:sz="0" w:space="0" w:color="auto"/>
          </w:divBdr>
        </w:div>
        <w:div w:id="1719741330">
          <w:marLeft w:val="0"/>
          <w:marRight w:val="0"/>
          <w:marTop w:val="0"/>
          <w:marBottom w:val="0"/>
          <w:divBdr>
            <w:top w:val="none" w:sz="0" w:space="0" w:color="auto"/>
            <w:left w:val="none" w:sz="0" w:space="0" w:color="auto"/>
            <w:bottom w:val="none" w:sz="0" w:space="0" w:color="auto"/>
            <w:right w:val="none" w:sz="0" w:space="0" w:color="auto"/>
          </w:divBdr>
        </w:div>
        <w:div w:id="331222693">
          <w:marLeft w:val="0"/>
          <w:marRight w:val="0"/>
          <w:marTop w:val="0"/>
          <w:marBottom w:val="0"/>
          <w:divBdr>
            <w:top w:val="none" w:sz="0" w:space="0" w:color="auto"/>
            <w:left w:val="none" w:sz="0" w:space="0" w:color="auto"/>
            <w:bottom w:val="none" w:sz="0" w:space="0" w:color="auto"/>
            <w:right w:val="none" w:sz="0" w:space="0" w:color="auto"/>
          </w:divBdr>
        </w:div>
        <w:div w:id="1765760807">
          <w:marLeft w:val="0"/>
          <w:marRight w:val="0"/>
          <w:marTop w:val="0"/>
          <w:marBottom w:val="0"/>
          <w:divBdr>
            <w:top w:val="none" w:sz="0" w:space="0" w:color="auto"/>
            <w:left w:val="none" w:sz="0" w:space="0" w:color="auto"/>
            <w:bottom w:val="none" w:sz="0" w:space="0" w:color="auto"/>
            <w:right w:val="none" w:sz="0" w:space="0" w:color="auto"/>
          </w:divBdr>
        </w:div>
      </w:divsChild>
    </w:div>
    <w:div w:id="129443663">
      <w:bodyDiv w:val="1"/>
      <w:marLeft w:val="0"/>
      <w:marRight w:val="0"/>
      <w:marTop w:val="0"/>
      <w:marBottom w:val="0"/>
      <w:divBdr>
        <w:top w:val="none" w:sz="0" w:space="0" w:color="auto"/>
        <w:left w:val="none" w:sz="0" w:space="0" w:color="auto"/>
        <w:bottom w:val="none" w:sz="0" w:space="0" w:color="auto"/>
        <w:right w:val="none" w:sz="0" w:space="0" w:color="auto"/>
      </w:divBdr>
    </w:div>
    <w:div w:id="205146934">
      <w:bodyDiv w:val="1"/>
      <w:marLeft w:val="0"/>
      <w:marRight w:val="0"/>
      <w:marTop w:val="0"/>
      <w:marBottom w:val="0"/>
      <w:divBdr>
        <w:top w:val="none" w:sz="0" w:space="0" w:color="auto"/>
        <w:left w:val="none" w:sz="0" w:space="0" w:color="auto"/>
        <w:bottom w:val="none" w:sz="0" w:space="0" w:color="auto"/>
        <w:right w:val="none" w:sz="0" w:space="0" w:color="auto"/>
      </w:divBdr>
    </w:div>
    <w:div w:id="227234542">
      <w:bodyDiv w:val="1"/>
      <w:marLeft w:val="0"/>
      <w:marRight w:val="0"/>
      <w:marTop w:val="0"/>
      <w:marBottom w:val="0"/>
      <w:divBdr>
        <w:top w:val="none" w:sz="0" w:space="0" w:color="auto"/>
        <w:left w:val="none" w:sz="0" w:space="0" w:color="auto"/>
        <w:bottom w:val="none" w:sz="0" w:space="0" w:color="auto"/>
        <w:right w:val="none" w:sz="0" w:space="0" w:color="auto"/>
      </w:divBdr>
    </w:div>
    <w:div w:id="328945028">
      <w:bodyDiv w:val="1"/>
      <w:marLeft w:val="0"/>
      <w:marRight w:val="0"/>
      <w:marTop w:val="0"/>
      <w:marBottom w:val="0"/>
      <w:divBdr>
        <w:top w:val="none" w:sz="0" w:space="0" w:color="auto"/>
        <w:left w:val="none" w:sz="0" w:space="0" w:color="auto"/>
        <w:bottom w:val="none" w:sz="0" w:space="0" w:color="auto"/>
        <w:right w:val="none" w:sz="0" w:space="0" w:color="auto"/>
      </w:divBdr>
    </w:div>
    <w:div w:id="380248293">
      <w:bodyDiv w:val="1"/>
      <w:marLeft w:val="0"/>
      <w:marRight w:val="0"/>
      <w:marTop w:val="0"/>
      <w:marBottom w:val="0"/>
      <w:divBdr>
        <w:top w:val="none" w:sz="0" w:space="0" w:color="auto"/>
        <w:left w:val="none" w:sz="0" w:space="0" w:color="auto"/>
        <w:bottom w:val="none" w:sz="0" w:space="0" w:color="auto"/>
        <w:right w:val="none" w:sz="0" w:space="0" w:color="auto"/>
      </w:divBdr>
    </w:div>
    <w:div w:id="385380409">
      <w:bodyDiv w:val="1"/>
      <w:marLeft w:val="0"/>
      <w:marRight w:val="0"/>
      <w:marTop w:val="0"/>
      <w:marBottom w:val="0"/>
      <w:divBdr>
        <w:top w:val="none" w:sz="0" w:space="0" w:color="auto"/>
        <w:left w:val="none" w:sz="0" w:space="0" w:color="auto"/>
        <w:bottom w:val="none" w:sz="0" w:space="0" w:color="auto"/>
        <w:right w:val="none" w:sz="0" w:space="0" w:color="auto"/>
      </w:divBdr>
      <w:divsChild>
        <w:div w:id="1144813380">
          <w:marLeft w:val="0"/>
          <w:marRight w:val="0"/>
          <w:marTop w:val="0"/>
          <w:marBottom w:val="0"/>
          <w:divBdr>
            <w:top w:val="none" w:sz="0" w:space="0" w:color="auto"/>
            <w:left w:val="none" w:sz="0" w:space="0" w:color="auto"/>
            <w:bottom w:val="none" w:sz="0" w:space="0" w:color="auto"/>
            <w:right w:val="none" w:sz="0" w:space="0" w:color="auto"/>
          </w:divBdr>
          <w:divsChild>
            <w:div w:id="358312465">
              <w:marLeft w:val="0"/>
              <w:marRight w:val="0"/>
              <w:marTop w:val="0"/>
              <w:marBottom w:val="0"/>
              <w:divBdr>
                <w:top w:val="none" w:sz="0" w:space="0" w:color="auto"/>
                <w:left w:val="none" w:sz="0" w:space="0" w:color="auto"/>
                <w:bottom w:val="none" w:sz="0" w:space="0" w:color="auto"/>
                <w:right w:val="none" w:sz="0" w:space="0" w:color="auto"/>
              </w:divBdr>
              <w:divsChild>
                <w:div w:id="30443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181896">
      <w:bodyDiv w:val="1"/>
      <w:marLeft w:val="0"/>
      <w:marRight w:val="0"/>
      <w:marTop w:val="0"/>
      <w:marBottom w:val="0"/>
      <w:divBdr>
        <w:top w:val="none" w:sz="0" w:space="0" w:color="auto"/>
        <w:left w:val="none" w:sz="0" w:space="0" w:color="auto"/>
        <w:bottom w:val="none" w:sz="0" w:space="0" w:color="auto"/>
        <w:right w:val="none" w:sz="0" w:space="0" w:color="auto"/>
      </w:divBdr>
      <w:divsChild>
        <w:div w:id="1360354128">
          <w:marLeft w:val="0"/>
          <w:marRight w:val="0"/>
          <w:marTop w:val="0"/>
          <w:marBottom w:val="0"/>
          <w:divBdr>
            <w:top w:val="none" w:sz="0" w:space="0" w:color="auto"/>
            <w:left w:val="none" w:sz="0" w:space="0" w:color="auto"/>
            <w:bottom w:val="none" w:sz="0" w:space="0" w:color="auto"/>
            <w:right w:val="none" w:sz="0" w:space="0" w:color="auto"/>
          </w:divBdr>
          <w:divsChild>
            <w:div w:id="24137492">
              <w:marLeft w:val="0"/>
              <w:marRight w:val="0"/>
              <w:marTop w:val="0"/>
              <w:marBottom w:val="0"/>
              <w:divBdr>
                <w:top w:val="none" w:sz="0" w:space="0" w:color="auto"/>
                <w:left w:val="none" w:sz="0" w:space="0" w:color="auto"/>
                <w:bottom w:val="none" w:sz="0" w:space="0" w:color="auto"/>
                <w:right w:val="none" w:sz="0" w:space="0" w:color="auto"/>
              </w:divBdr>
              <w:divsChild>
                <w:div w:id="1958100065">
                  <w:marLeft w:val="0"/>
                  <w:marRight w:val="0"/>
                  <w:marTop w:val="0"/>
                  <w:marBottom w:val="0"/>
                  <w:divBdr>
                    <w:top w:val="none" w:sz="0" w:space="0" w:color="auto"/>
                    <w:left w:val="none" w:sz="0" w:space="0" w:color="auto"/>
                    <w:bottom w:val="none" w:sz="0" w:space="0" w:color="auto"/>
                    <w:right w:val="none" w:sz="0" w:space="0" w:color="auto"/>
                  </w:divBdr>
                  <w:divsChild>
                    <w:div w:id="69769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499235">
      <w:bodyDiv w:val="1"/>
      <w:marLeft w:val="0"/>
      <w:marRight w:val="0"/>
      <w:marTop w:val="0"/>
      <w:marBottom w:val="0"/>
      <w:divBdr>
        <w:top w:val="none" w:sz="0" w:space="0" w:color="auto"/>
        <w:left w:val="none" w:sz="0" w:space="0" w:color="auto"/>
        <w:bottom w:val="none" w:sz="0" w:space="0" w:color="auto"/>
        <w:right w:val="none" w:sz="0" w:space="0" w:color="auto"/>
      </w:divBdr>
    </w:div>
    <w:div w:id="724380567">
      <w:bodyDiv w:val="1"/>
      <w:marLeft w:val="0"/>
      <w:marRight w:val="0"/>
      <w:marTop w:val="0"/>
      <w:marBottom w:val="0"/>
      <w:divBdr>
        <w:top w:val="none" w:sz="0" w:space="0" w:color="auto"/>
        <w:left w:val="none" w:sz="0" w:space="0" w:color="auto"/>
        <w:bottom w:val="none" w:sz="0" w:space="0" w:color="auto"/>
        <w:right w:val="none" w:sz="0" w:space="0" w:color="auto"/>
      </w:divBdr>
    </w:div>
    <w:div w:id="848101759">
      <w:bodyDiv w:val="1"/>
      <w:marLeft w:val="0"/>
      <w:marRight w:val="0"/>
      <w:marTop w:val="0"/>
      <w:marBottom w:val="0"/>
      <w:divBdr>
        <w:top w:val="none" w:sz="0" w:space="0" w:color="auto"/>
        <w:left w:val="none" w:sz="0" w:space="0" w:color="auto"/>
        <w:bottom w:val="none" w:sz="0" w:space="0" w:color="auto"/>
        <w:right w:val="none" w:sz="0" w:space="0" w:color="auto"/>
      </w:divBdr>
    </w:div>
    <w:div w:id="915357794">
      <w:bodyDiv w:val="1"/>
      <w:marLeft w:val="0"/>
      <w:marRight w:val="0"/>
      <w:marTop w:val="0"/>
      <w:marBottom w:val="0"/>
      <w:divBdr>
        <w:top w:val="none" w:sz="0" w:space="0" w:color="auto"/>
        <w:left w:val="none" w:sz="0" w:space="0" w:color="auto"/>
        <w:bottom w:val="none" w:sz="0" w:space="0" w:color="auto"/>
        <w:right w:val="none" w:sz="0" w:space="0" w:color="auto"/>
      </w:divBdr>
    </w:div>
    <w:div w:id="930702865">
      <w:bodyDiv w:val="1"/>
      <w:marLeft w:val="0"/>
      <w:marRight w:val="0"/>
      <w:marTop w:val="0"/>
      <w:marBottom w:val="0"/>
      <w:divBdr>
        <w:top w:val="none" w:sz="0" w:space="0" w:color="auto"/>
        <w:left w:val="none" w:sz="0" w:space="0" w:color="auto"/>
        <w:bottom w:val="none" w:sz="0" w:space="0" w:color="auto"/>
        <w:right w:val="none" w:sz="0" w:space="0" w:color="auto"/>
      </w:divBdr>
    </w:div>
    <w:div w:id="933325995">
      <w:bodyDiv w:val="1"/>
      <w:marLeft w:val="0"/>
      <w:marRight w:val="0"/>
      <w:marTop w:val="0"/>
      <w:marBottom w:val="0"/>
      <w:divBdr>
        <w:top w:val="none" w:sz="0" w:space="0" w:color="auto"/>
        <w:left w:val="none" w:sz="0" w:space="0" w:color="auto"/>
        <w:bottom w:val="none" w:sz="0" w:space="0" w:color="auto"/>
        <w:right w:val="none" w:sz="0" w:space="0" w:color="auto"/>
      </w:divBdr>
    </w:div>
    <w:div w:id="1157184277">
      <w:bodyDiv w:val="1"/>
      <w:marLeft w:val="0"/>
      <w:marRight w:val="0"/>
      <w:marTop w:val="0"/>
      <w:marBottom w:val="0"/>
      <w:divBdr>
        <w:top w:val="none" w:sz="0" w:space="0" w:color="auto"/>
        <w:left w:val="none" w:sz="0" w:space="0" w:color="auto"/>
        <w:bottom w:val="none" w:sz="0" w:space="0" w:color="auto"/>
        <w:right w:val="none" w:sz="0" w:space="0" w:color="auto"/>
      </w:divBdr>
    </w:div>
    <w:div w:id="1187406721">
      <w:bodyDiv w:val="1"/>
      <w:marLeft w:val="0"/>
      <w:marRight w:val="0"/>
      <w:marTop w:val="0"/>
      <w:marBottom w:val="0"/>
      <w:divBdr>
        <w:top w:val="none" w:sz="0" w:space="0" w:color="auto"/>
        <w:left w:val="none" w:sz="0" w:space="0" w:color="auto"/>
        <w:bottom w:val="none" w:sz="0" w:space="0" w:color="auto"/>
        <w:right w:val="none" w:sz="0" w:space="0" w:color="auto"/>
      </w:divBdr>
    </w:div>
    <w:div w:id="1234973529">
      <w:bodyDiv w:val="1"/>
      <w:marLeft w:val="0"/>
      <w:marRight w:val="0"/>
      <w:marTop w:val="0"/>
      <w:marBottom w:val="0"/>
      <w:divBdr>
        <w:top w:val="none" w:sz="0" w:space="0" w:color="auto"/>
        <w:left w:val="none" w:sz="0" w:space="0" w:color="auto"/>
        <w:bottom w:val="none" w:sz="0" w:space="0" w:color="auto"/>
        <w:right w:val="none" w:sz="0" w:space="0" w:color="auto"/>
      </w:divBdr>
      <w:divsChild>
        <w:div w:id="1982148787">
          <w:marLeft w:val="547"/>
          <w:marRight w:val="0"/>
          <w:marTop w:val="200"/>
          <w:marBottom w:val="0"/>
          <w:divBdr>
            <w:top w:val="none" w:sz="0" w:space="0" w:color="auto"/>
            <w:left w:val="none" w:sz="0" w:space="0" w:color="auto"/>
            <w:bottom w:val="none" w:sz="0" w:space="0" w:color="auto"/>
            <w:right w:val="none" w:sz="0" w:space="0" w:color="auto"/>
          </w:divBdr>
        </w:div>
      </w:divsChild>
    </w:div>
    <w:div w:id="1266889581">
      <w:bodyDiv w:val="1"/>
      <w:marLeft w:val="0"/>
      <w:marRight w:val="0"/>
      <w:marTop w:val="0"/>
      <w:marBottom w:val="0"/>
      <w:divBdr>
        <w:top w:val="none" w:sz="0" w:space="0" w:color="auto"/>
        <w:left w:val="none" w:sz="0" w:space="0" w:color="auto"/>
        <w:bottom w:val="none" w:sz="0" w:space="0" w:color="auto"/>
        <w:right w:val="none" w:sz="0" w:space="0" w:color="auto"/>
      </w:divBdr>
    </w:div>
    <w:div w:id="1271013434">
      <w:bodyDiv w:val="1"/>
      <w:marLeft w:val="0"/>
      <w:marRight w:val="0"/>
      <w:marTop w:val="0"/>
      <w:marBottom w:val="0"/>
      <w:divBdr>
        <w:top w:val="none" w:sz="0" w:space="0" w:color="auto"/>
        <w:left w:val="none" w:sz="0" w:space="0" w:color="auto"/>
        <w:bottom w:val="none" w:sz="0" w:space="0" w:color="auto"/>
        <w:right w:val="none" w:sz="0" w:space="0" w:color="auto"/>
      </w:divBdr>
    </w:div>
    <w:div w:id="1309475992">
      <w:bodyDiv w:val="1"/>
      <w:marLeft w:val="0"/>
      <w:marRight w:val="0"/>
      <w:marTop w:val="0"/>
      <w:marBottom w:val="0"/>
      <w:divBdr>
        <w:top w:val="none" w:sz="0" w:space="0" w:color="auto"/>
        <w:left w:val="none" w:sz="0" w:space="0" w:color="auto"/>
        <w:bottom w:val="none" w:sz="0" w:space="0" w:color="auto"/>
        <w:right w:val="none" w:sz="0" w:space="0" w:color="auto"/>
      </w:divBdr>
    </w:div>
    <w:div w:id="1334064243">
      <w:bodyDiv w:val="1"/>
      <w:marLeft w:val="0"/>
      <w:marRight w:val="0"/>
      <w:marTop w:val="0"/>
      <w:marBottom w:val="0"/>
      <w:divBdr>
        <w:top w:val="none" w:sz="0" w:space="0" w:color="auto"/>
        <w:left w:val="none" w:sz="0" w:space="0" w:color="auto"/>
        <w:bottom w:val="none" w:sz="0" w:space="0" w:color="auto"/>
        <w:right w:val="none" w:sz="0" w:space="0" w:color="auto"/>
      </w:divBdr>
    </w:div>
    <w:div w:id="1397437626">
      <w:bodyDiv w:val="1"/>
      <w:marLeft w:val="0"/>
      <w:marRight w:val="0"/>
      <w:marTop w:val="0"/>
      <w:marBottom w:val="0"/>
      <w:divBdr>
        <w:top w:val="none" w:sz="0" w:space="0" w:color="auto"/>
        <w:left w:val="none" w:sz="0" w:space="0" w:color="auto"/>
        <w:bottom w:val="none" w:sz="0" w:space="0" w:color="auto"/>
        <w:right w:val="none" w:sz="0" w:space="0" w:color="auto"/>
      </w:divBdr>
      <w:divsChild>
        <w:div w:id="1712877927">
          <w:marLeft w:val="0"/>
          <w:marRight w:val="0"/>
          <w:marTop w:val="0"/>
          <w:marBottom w:val="0"/>
          <w:divBdr>
            <w:top w:val="none" w:sz="0" w:space="0" w:color="auto"/>
            <w:left w:val="none" w:sz="0" w:space="0" w:color="auto"/>
            <w:bottom w:val="none" w:sz="0" w:space="0" w:color="auto"/>
            <w:right w:val="none" w:sz="0" w:space="0" w:color="auto"/>
          </w:divBdr>
        </w:div>
        <w:div w:id="382409743">
          <w:marLeft w:val="0"/>
          <w:marRight w:val="0"/>
          <w:marTop w:val="0"/>
          <w:marBottom w:val="0"/>
          <w:divBdr>
            <w:top w:val="none" w:sz="0" w:space="0" w:color="auto"/>
            <w:left w:val="none" w:sz="0" w:space="0" w:color="auto"/>
            <w:bottom w:val="none" w:sz="0" w:space="0" w:color="auto"/>
            <w:right w:val="none" w:sz="0" w:space="0" w:color="auto"/>
          </w:divBdr>
        </w:div>
        <w:div w:id="1959487604">
          <w:marLeft w:val="0"/>
          <w:marRight w:val="0"/>
          <w:marTop w:val="0"/>
          <w:marBottom w:val="0"/>
          <w:divBdr>
            <w:top w:val="none" w:sz="0" w:space="0" w:color="auto"/>
            <w:left w:val="none" w:sz="0" w:space="0" w:color="auto"/>
            <w:bottom w:val="none" w:sz="0" w:space="0" w:color="auto"/>
            <w:right w:val="none" w:sz="0" w:space="0" w:color="auto"/>
          </w:divBdr>
        </w:div>
        <w:div w:id="1096901825">
          <w:marLeft w:val="0"/>
          <w:marRight w:val="0"/>
          <w:marTop w:val="0"/>
          <w:marBottom w:val="0"/>
          <w:divBdr>
            <w:top w:val="none" w:sz="0" w:space="0" w:color="auto"/>
            <w:left w:val="none" w:sz="0" w:space="0" w:color="auto"/>
            <w:bottom w:val="none" w:sz="0" w:space="0" w:color="auto"/>
            <w:right w:val="none" w:sz="0" w:space="0" w:color="auto"/>
          </w:divBdr>
        </w:div>
        <w:div w:id="1747412251">
          <w:marLeft w:val="0"/>
          <w:marRight w:val="0"/>
          <w:marTop w:val="0"/>
          <w:marBottom w:val="0"/>
          <w:divBdr>
            <w:top w:val="none" w:sz="0" w:space="0" w:color="auto"/>
            <w:left w:val="none" w:sz="0" w:space="0" w:color="auto"/>
            <w:bottom w:val="none" w:sz="0" w:space="0" w:color="auto"/>
            <w:right w:val="none" w:sz="0" w:space="0" w:color="auto"/>
          </w:divBdr>
        </w:div>
        <w:div w:id="1663121687">
          <w:marLeft w:val="0"/>
          <w:marRight w:val="0"/>
          <w:marTop w:val="0"/>
          <w:marBottom w:val="0"/>
          <w:divBdr>
            <w:top w:val="none" w:sz="0" w:space="0" w:color="auto"/>
            <w:left w:val="none" w:sz="0" w:space="0" w:color="auto"/>
            <w:bottom w:val="none" w:sz="0" w:space="0" w:color="auto"/>
            <w:right w:val="none" w:sz="0" w:space="0" w:color="auto"/>
          </w:divBdr>
        </w:div>
        <w:div w:id="1100949955">
          <w:marLeft w:val="0"/>
          <w:marRight w:val="0"/>
          <w:marTop w:val="0"/>
          <w:marBottom w:val="0"/>
          <w:divBdr>
            <w:top w:val="none" w:sz="0" w:space="0" w:color="auto"/>
            <w:left w:val="none" w:sz="0" w:space="0" w:color="auto"/>
            <w:bottom w:val="none" w:sz="0" w:space="0" w:color="auto"/>
            <w:right w:val="none" w:sz="0" w:space="0" w:color="auto"/>
          </w:divBdr>
        </w:div>
        <w:div w:id="1077048367">
          <w:marLeft w:val="0"/>
          <w:marRight w:val="0"/>
          <w:marTop w:val="0"/>
          <w:marBottom w:val="0"/>
          <w:divBdr>
            <w:top w:val="none" w:sz="0" w:space="0" w:color="auto"/>
            <w:left w:val="none" w:sz="0" w:space="0" w:color="auto"/>
            <w:bottom w:val="none" w:sz="0" w:space="0" w:color="auto"/>
            <w:right w:val="none" w:sz="0" w:space="0" w:color="auto"/>
          </w:divBdr>
        </w:div>
        <w:div w:id="1589994706">
          <w:marLeft w:val="0"/>
          <w:marRight w:val="0"/>
          <w:marTop w:val="0"/>
          <w:marBottom w:val="0"/>
          <w:divBdr>
            <w:top w:val="none" w:sz="0" w:space="0" w:color="auto"/>
            <w:left w:val="none" w:sz="0" w:space="0" w:color="auto"/>
            <w:bottom w:val="none" w:sz="0" w:space="0" w:color="auto"/>
            <w:right w:val="none" w:sz="0" w:space="0" w:color="auto"/>
          </w:divBdr>
        </w:div>
        <w:div w:id="1649437049">
          <w:marLeft w:val="0"/>
          <w:marRight w:val="0"/>
          <w:marTop w:val="0"/>
          <w:marBottom w:val="0"/>
          <w:divBdr>
            <w:top w:val="none" w:sz="0" w:space="0" w:color="auto"/>
            <w:left w:val="none" w:sz="0" w:space="0" w:color="auto"/>
            <w:bottom w:val="none" w:sz="0" w:space="0" w:color="auto"/>
            <w:right w:val="none" w:sz="0" w:space="0" w:color="auto"/>
          </w:divBdr>
        </w:div>
        <w:div w:id="1710644820">
          <w:marLeft w:val="0"/>
          <w:marRight w:val="0"/>
          <w:marTop w:val="0"/>
          <w:marBottom w:val="0"/>
          <w:divBdr>
            <w:top w:val="none" w:sz="0" w:space="0" w:color="auto"/>
            <w:left w:val="none" w:sz="0" w:space="0" w:color="auto"/>
            <w:bottom w:val="none" w:sz="0" w:space="0" w:color="auto"/>
            <w:right w:val="none" w:sz="0" w:space="0" w:color="auto"/>
          </w:divBdr>
        </w:div>
        <w:div w:id="1404831842">
          <w:marLeft w:val="0"/>
          <w:marRight w:val="0"/>
          <w:marTop w:val="0"/>
          <w:marBottom w:val="0"/>
          <w:divBdr>
            <w:top w:val="none" w:sz="0" w:space="0" w:color="auto"/>
            <w:left w:val="none" w:sz="0" w:space="0" w:color="auto"/>
            <w:bottom w:val="none" w:sz="0" w:space="0" w:color="auto"/>
            <w:right w:val="none" w:sz="0" w:space="0" w:color="auto"/>
          </w:divBdr>
        </w:div>
        <w:div w:id="700471592">
          <w:marLeft w:val="0"/>
          <w:marRight w:val="0"/>
          <w:marTop w:val="0"/>
          <w:marBottom w:val="0"/>
          <w:divBdr>
            <w:top w:val="none" w:sz="0" w:space="0" w:color="auto"/>
            <w:left w:val="none" w:sz="0" w:space="0" w:color="auto"/>
            <w:bottom w:val="none" w:sz="0" w:space="0" w:color="auto"/>
            <w:right w:val="none" w:sz="0" w:space="0" w:color="auto"/>
          </w:divBdr>
        </w:div>
        <w:div w:id="1958440056">
          <w:marLeft w:val="0"/>
          <w:marRight w:val="0"/>
          <w:marTop w:val="0"/>
          <w:marBottom w:val="0"/>
          <w:divBdr>
            <w:top w:val="none" w:sz="0" w:space="0" w:color="auto"/>
            <w:left w:val="none" w:sz="0" w:space="0" w:color="auto"/>
            <w:bottom w:val="none" w:sz="0" w:space="0" w:color="auto"/>
            <w:right w:val="none" w:sz="0" w:space="0" w:color="auto"/>
          </w:divBdr>
        </w:div>
        <w:div w:id="1865752879">
          <w:marLeft w:val="0"/>
          <w:marRight w:val="0"/>
          <w:marTop w:val="0"/>
          <w:marBottom w:val="0"/>
          <w:divBdr>
            <w:top w:val="none" w:sz="0" w:space="0" w:color="auto"/>
            <w:left w:val="none" w:sz="0" w:space="0" w:color="auto"/>
            <w:bottom w:val="none" w:sz="0" w:space="0" w:color="auto"/>
            <w:right w:val="none" w:sz="0" w:space="0" w:color="auto"/>
          </w:divBdr>
        </w:div>
        <w:div w:id="217012520">
          <w:marLeft w:val="0"/>
          <w:marRight w:val="0"/>
          <w:marTop w:val="0"/>
          <w:marBottom w:val="0"/>
          <w:divBdr>
            <w:top w:val="none" w:sz="0" w:space="0" w:color="auto"/>
            <w:left w:val="none" w:sz="0" w:space="0" w:color="auto"/>
            <w:bottom w:val="none" w:sz="0" w:space="0" w:color="auto"/>
            <w:right w:val="none" w:sz="0" w:space="0" w:color="auto"/>
          </w:divBdr>
        </w:div>
        <w:div w:id="6836912">
          <w:marLeft w:val="0"/>
          <w:marRight w:val="0"/>
          <w:marTop w:val="0"/>
          <w:marBottom w:val="0"/>
          <w:divBdr>
            <w:top w:val="none" w:sz="0" w:space="0" w:color="auto"/>
            <w:left w:val="none" w:sz="0" w:space="0" w:color="auto"/>
            <w:bottom w:val="none" w:sz="0" w:space="0" w:color="auto"/>
            <w:right w:val="none" w:sz="0" w:space="0" w:color="auto"/>
          </w:divBdr>
        </w:div>
      </w:divsChild>
    </w:div>
    <w:div w:id="1443572695">
      <w:bodyDiv w:val="1"/>
      <w:marLeft w:val="0"/>
      <w:marRight w:val="0"/>
      <w:marTop w:val="0"/>
      <w:marBottom w:val="0"/>
      <w:divBdr>
        <w:top w:val="none" w:sz="0" w:space="0" w:color="auto"/>
        <w:left w:val="none" w:sz="0" w:space="0" w:color="auto"/>
        <w:bottom w:val="none" w:sz="0" w:space="0" w:color="auto"/>
        <w:right w:val="none" w:sz="0" w:space="0" w:color="auto"/>
      </w:divBdr>
    </w:div>
    <w:div w:id="1587422631">
      <w:bodyDiv w:val="1"/>
      <w:marLeft w:val="0"/>
      <w:marRight w:val="0"/>
      <w:marTop w:val="0"/>
      <w:marBottom w:val="0"/>
      <w:divBdr>
        <w:top w:val="none" w:sz="0" w:space="0" w:color="auto"/>
        <w:left w:val="none" w:sz="0" w:space="0" w:color="auto"/>
        <w:bottom w:val="none" w:sz="0" w:space="0" w:color="auto"/>
        <w:right w:val="none" w:sz="0" w:space="0" w:color="auto"/>
      </w:divBdr>
    </w:div>
    <w:div w:id="1614484405">
      <w:bodyDiv w:val="1"/>
      <w:marLeft w:val="0"/>
      <w:marRight w:val="0"/>
      <w:marTop w:val="0"/>
      <w:marBottom w:val="0"/>
      <w:divBdr>
        <w:top w:val="none" w:sz="0" w:space="0" w:color="auto"/>
        <w:left w:val="none" w:sz="0" w:space="0" w:color="auto"/>
        <w:bottom w:val="none" w:sz="0" w:space="0" w:color="auto"/>
        <w:right w:val="none" w:sz="0" w:space="0" w:color="auto"/>
      </w:divBdr>
    </w:div>
    <w:div w:id="1632050204">
      <w:bodyDiv w:val="1"/>
      <w:marLeft w:val="0"/>
      <w:marRight w:val="0"/>
      <w:marTop w:val="0"/>
      <w:marBottom w:val="0"/>
      <w:divBdr>
        <w:top w:val="none" w:sz="0" w:space="0" w:color="auto"/>
        <w:left w:val="none" w:sz="0" w:space="0" w:color="auto"/>
        <w:bottom w:val="none" w:sz="0" w:space="0" w:color="auto"/>
        <w:right w:val="none" w:sz="0" w:space="0" w:color="auto"/>
      </w:divBdr>
    </w:div>
    <w:div w:id="1818455917">
      <w:bodyDiv w:val="1"/>
      <w:marLeft w:val="0"/>
      <w:marRight w:val="0"/>
      <w:marTop w:val="0"/>
      <w:marBottom w:val="0"/>
      <w:divBdr>
        <w:top w:val="none" w:sz="0" w:space="0" w:color="auto"/>
        <w:left w:val="none" w:sz="0" w:space="0" w:color="auto"/>
        <w:bottom w:val="none" w:sz="0" w:space="0" w:color="auto"/>
        <w:right w:val="none" w:sz="0" w:space="0" w:color="auto"/>
      </w:divBdr>
    </w:div>
    <w:div w:id="1842426787">
      <w:bodyDiv w:val="1"/>
      <w:marLeft w:val="0"/>
      <w:marRight w:val="0"/>
      <w:marTop w:val="0"/>
      <w:marBottom w:val="0"/>
      <w:divBdr>
        <w:top w:val="none" w:sz="0" w:space="0" w:color="auto"/>
        <w:left w:val="none" w:sz="0" w:space="0" w:color="auto"/>
        <w:bottom w:val="none" w:sz="0" w:space="0" w:color="auto"/>
        <w:right w:val="none" w:sz="0" w:space="0" w:color="auto"/>
      </w:divBdr>
    </w:div>
    <w:div w:id="2001156955">
      <w:bodyDiv w:val="1"/>
      <w:marLeft w:val="0"/>
      <w:marRight w:val="0"/>
      <w:marTop w:val="0"/>
      <w:marBottom w:val="0"/>
      <w:divBdr>
        <w:top w:val="none" w:sz="0" w:space="0" w:color="auto"/>
        <w:left w:val="none" w:sz="0" w:space="0" w:color="auto"/>
        <w:bottom w:val="none" w:sz="0" w:space="0" w:color="auto"/>
        <w:right w:val="none" w:sz="0" w:space="0" w:color="auto"/>
      </w:divBdr>
    </w:div>
    <w:div w:id="2024547718">
      <w:bodyDiv w:val="1"/>
      <w:marLeft w:val="0"/>
      <w:marRight w:val="0"/>
      <w:marTop w:val="0"/>
      <w:marBottom w:val="0"/>
      <w:divBdr>
        <w:top w:val="none" w:sz="0" w:space="0" w:color="auto"/>
        <w:left w:val="none" w:sz="0" w:space="0" w:color="auto"/>
        <w:bottom w:val="none" w:sz="0" w:space="0" w:color="auto"/>
        <w:right w:val="none" w:sz="0" w:space="0" w:color="auto"/>
      </w:divBdr>
    </w:div>
    <w:div w:id="211131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wnejacobson.com/training-and-resources/resources/legal-updates/2021/01/public-sector-ceasing-discretionary-functions-and-powers-some-key-issues-for-public-bodies-to-consider" TargetMode="External"/><Relationship Id="rId13" Type="http://schemas.openxmlformats.org/officeDocument/2006/relationships/hyperlink" Target="https://www.legislation.gov.uk/ukpga/1975/24/contents" TargetMode="External"/><Relationship Id="rId18" Type="http://schemas.openxmlformats.org/officeDocument/2006/relationships/hyperlink" Target="https://doi.org/10.1007/978-1-4614-7883-6_656-2" TargetMode="External"/><Relationship Id="rId26" Type="http://schemas.openxmlformats.org/officeDocument/2006/relationships/hyperlink" Target="https://assets.publishing.service.gov.uk/government/uploads/system/uploads/attachment_data/file/117611/pace-code-a-2011.pdf" TargetMode="External"/><Relationship Id="rId3" Type="http://schemas.openxmlformats.org/officeDocument/2006/relationships/settings" Target="settings.xml"/><Relationship Id="rId21" Type="http://schemas.openxmlformats.org/officeDocument/2006/relationships/hyperlink" Target="https://law.gov.wales/constitution-government/intro-to-constitution/three-branches-government/?lang=en" TargetMode="External"/><Relationship Id="rId7" Type="http://schemas.openxmlformats.org/officeDocument/2006/relationships/hyperlink" Target="https://plato.stanford.edu/archives/win2018/entries/montesquieu/" TargetMode="External"/><Relationship Id="rId12" Type="http://schemas.openxmlformats.org/officeDocument/2006/relationships/hyperlink" Target="http://www.iranonline.com/iran/iran-info/government/constitution-3.html" TargetMode="External"/><Relationship Id="rId17" Type="http://schemas.openxmlformats.org/officeDocument/2006/relationships/hyperlink" Target="http://eprints.lse.ac.uk/87576/1/Poole_Locke%20Federative_Author.pdf" TargetMode="External"/><Relationship Id="rId25" Type="http://schemas.openxmlformats.org/officeDocument/2006/relationships/hyperlink" Target="https://www.gov.uk/government/publications/police-crime-sentencing-and-courts-bill-2021-factsheets/police-crime-sentencing-and-courts-bill-2021-protest-powers-factsheet" TargetMode="External"/><Relationship Id="rId2" Type="http://schemas.openxmlformats.org/officeDocument/2006/relationships/styles" Target="styles.xml"/><Relationship Id="rId16" Type="http://schemas.openxmlformats.org/officeDocument/2006/relationships/hyperlink" Target="https://peo.gov.au/understand-our-parliament/how-parliament-works/system-of-government/separation-of-powers/" TargetMode="External"/><Relationship Id="rId20" Type="http://schemas.openxmlformats.org/officeDocument/2006/relationships/hyperlink" Target="https://committees.parliament.uk/committee/127/public-accounts-committee/news/98479/new-measures-needed-to-safeguard-scrutiny-of-public-spend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iles.ethz.ch/isn/134741/SN03438_19DEC11.pdf" TargetMode="External"/><Relationship Id="rId24" Type="http://schemas.openxmlformats.org/officeDocument/2006/relationships/hyperlink" Target="https://greenandblackcross.org/guides/laws/2-section-12-14/" TargetMode="External"/><Relationship Id="rId5" Type="http://schemas.openxmlformats.org/officeDocument/2006/relationships/footnotes" Target="footnotes.xml"/><Relationship Id="rId15" Type="http://schemas.openxmlformats.org/officeDocument/2006/relationships/hyperlink" Target="https://publications.parliament.uk/pa/cm201415/cmselect/cmpolcon/463/46307.htm" TargetMode="External"/><Relationship Id="rId23" Type="http://schemas.openxmlformats.org/officeDocument/2006/relationships/hyperlink" Target="https://commonslibrary.parliament.uk/protests-what-powers-can-the-police-use/" TargetMode="External"/><Relationship Id="rId28" Type="http://schemas.openxmlformats.org/officeDocument/2006/relationships/fontTable" Target="fontTable.xml"/><Relationship Id="rId10" Type="http://schemas.openxmlformats.org/officeDocument/2006/relationships/hyperlink" Target="https://commonslibrary.parliament.uk/research-briefings/sn06053/" TargetMode="External"/><Relationship Id="rId19" Type="http://schemas.openxmlformats.org/officeDocument/2006/relationships/hyperlink" Target="https://www.supremecourt.uk/docs/separation-of-powers-post-visit-worksheets-for-students.pdf" TargetMode="External"/><Relationship Id="rId4" Type="http://schemas.openxmlformats.org/officeDocument/2006/relationships/webSettings" Target="webSettings.xml"/><Relationship Id="rId9" Type="http://schemas.openxmlformats.org/officeDocument/2006/relationships/hyperlink" Target="https://www.bbc.co.uk/news/health-19249680" TargetMode="External"/><Relationship Id="rId14" Type="http://schemas.openxmlformats.org/officeDocument/2006/relationships/hyperlink" Target="https://www.courts.ca.gov/documents/042508item1F.pdf" TargetMode="External"/><Relationship Id="rId22" Type="http://schemas.openxmlformats.org/officeDocument/2006/relationships/hyperlink" Target="https://law.gov.wales/constitution-government/intro-to-constitution/three-branches-government/?lang=en" TargetMode="External"/><Relationship Id="rId27" Type="http://schemas.openxmlformats.org/officeDocument/2006/relationships/hyperlink" Target="https://www.legislation.gov.uk/ukpga/1984/60/section/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9</Pages>
  <Words>3758</Words>
  <Characters>21425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Ibrahim</dc:creator>
  <cp:keywords/>
  <dc:description/>
  <cp:lastModifiedBy>Anisa ibrahim</cp:lastModifiedBy>
  <cp:revision>19</cp:revision>
  <dcterms:created xsi:type="dcterms:W3CDTF">2021-10-29T19:10:00Z</dcterms:created>
  <dcterms:modified xsi:type="dcterms:W3CDTF">2021-10-31T13:06:00Z</dcterms:modified>
</cp:coreProperties>
</file>