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4041"/>
        <w:tblW w:w="91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101"/>
      </w:tblGrid>
      <w:tr w:rsidR="00F452A9" w:rsidRPr="00F452A9" w14:paraId="2DF82B65"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3A962AE3" w14:textId="009BA8DD"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Student name:</w:t>
            </w:r>
            <w:r w:rsidR="00855BC1">
              <w:rPr>
                <w:rFonts w:ascii="Arial" w:eastAsia="Times New Roman" w:hAnsi="Arial" w:cs="Arial"/>
                <w:b/>
                <w:kern w:val="0"/>
                <w14:ligatures w14:val="none"/>
              </w:rPr>
              <w:t xml:space="preserve"> Evaristo Freite De Melo</w:t>
            </w:r>
            <w:r w:rsidR="008F0973">
              <w:rPr>
                <w:rFonts w:ascii="Arial" w:eastAsia="Times New Roman" w:hAnsi="Arial" w:cs="Arial"/>
                <w:b/>
                <w:kern w:val="0"/>
                <w14:ligatures w14:val="none"/>
              </w:rPr>
              <w:t xml:space="preserve">   </w:t>
            </w:r>
            <w:r w:rsidR="007A7511">
              <w:rPr>
                <w:rFonts w:ascii="Arial" w:eastAsia="Times New Roman" w:hAnsi="Arial" w:cs="Arial"/>
                <w:b/>
                <w:kern w:val="0"/>
                <w14:ligatures w14:val="none"/>
              </w:rPr>
              <w:t>/</w:t>
            </w:r>
            <w:r w:rsidR="008F0973">
              <w:rPr>
                <w:rFonts w:ascii="Arial" w:eastAsia="Times New Roman" w:hAnsi="Arial" w:cs="Arial"/>
                <w:b/>
                <w:kern w:val="0"/>
                <w14:ligatures w14:val="none"/>
              </w:rPr>
              <w:t xml:space="preserve">     Student ID </w:t>
            </w:r>
            <w:r w:rsidR="007A7511">
              <w:rPr>
                <w:rFonts w:ascii="Arial" w:eastAsia="Times New Roman" w:hAnsi="Arial" w:cs="Arial"/>
                <w:b/>
                <w:kern w:val="0"/>
                <w14:ligatures w14:val="none"/>
              </w:rPr>
              <w:t>2129710</w:t>
            </w:r>
          </w:p>
        </w:tc>
      </w:tr>
      <w:tr w:rsidR="00F452A9" w:rsidRPr="00F452A9" w14:paraId="7E66B7EE"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24A58EDF" w14:textId="02D191C9"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Programme:</w:t>
            </w:r>
            <w:r w:rsidR="00855BC1">
              <w:rPr>
                <w:rFonts w:ascii="Arial" w:eastAsia="Times New Roman" w:hAnsi="Arial" w:cs="Arial"/>
                <w:b/>
                <w:kern w:val="0"/>
                <w14:ligatures w14:val="none"/>
              </w:rPr>
              <w:t xml:space="preserve"> Master</w:t>
            </w:r>
            <w:r w:rsidR="0066120E">
              <w:rPr>
                <w:rFonts w:ascii="Arial" w:eastAsia="Times New Roman" w:hAnsi="Arial" w:cs="Arial"/>
                <w:b/>
                <w:kern w:val="0"/>
                <w14:ligatures w14:val="none"/>
              </w:rPr>
              <w:t xml:space="preserve"> Of Business Adm</w:t>
            </w:r>
            <w:r w:rsidR="0061219C">
              <w:rPr>
                <w:rFonts w:ascii="Arial" w:eastAsia="Times New Roman" w:hAnsi="Arial" w:cs="Arial"/>
                <w:b/>
                <w:kern w:val="0"/>
                <w14:ligatures w14:val="none"/>
              </w:rPr>
              <w:t>i</w:t>
            </w:r>
            <w:r w:rsidR="0066120E">
              <w:rPr>
                <w:rFonts w:ascii="Arial" w:eastAsia="Times New Roman" w:hAnsi="Arial" w:cs="Arial"/>
                <w:b/>
                <w:kern w:val="0"/>
                <w14:ligatures w14:val="none"/>
              </w:rPr>
              <w:t>nistration</w:t>
            </w:r>
          </w:p>
        </w:tc>
      </w:tr>
      <w:tr w:rsidR="00F452A9" w:rsidRPr="00F452A9" w14:paraId="52A292FD"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45AB2B22" w14:textId="2E3BC763"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Module:</w:t>
            </w:r>
            <w:r w:rsidR="0066120E">
              <w:rPr>
                <w:rFonts w:ascii="Arial" w:eastAsia="Times New Roman" w:hAnsi="Arial" w:cs="Arial"/>
                <w:b/>
                <w:kern w:val="0"/>
                <w14:ligatures w14:val="none"/>
              </w:rPr>
              <w:t xml:space="preserve"> </w:t>
            </w:r>
            <w:r w:rsidR="006F0C78">
              <w:rPr>
                <w:rFonts w:ascii="Arial" w:eastAsia="Times New Roman" w:hAnsi="Arial" w:cs="Arial"/>
                <w:b/>
                <w:kern w:val="0"/>
                <w14:ligatures w14:val="none"/>
              </w:rPr>
              <w:t>Interna</w:t>
            </w:r>
            <w:r w:rsidR="006B0392">
              <w:rPr>
                <w:rFonts w:ascii="Arial" w:eastAsia="Times New Roman" w:hAnsi="Arial" w:cs="Arial"/>
                <w:b/>
                <w:kern w:val="0"/>
                <w14:ligatures w14:val="none"/>
              </w:rPr>
              <w:t>tional Business Concepts</w:t>
            </w:r>
          </w:p>
        </w:tc>
      </w:tr>
      <w:tr w:rsidR="00F452A9" w:rsidRPr="00F452A9" w14:paraId="5BD2A6B9"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41EDD35E" w14:textId="0D1006FF"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Module code:</w:t>
            </w:r>
            <w:r w:rsidR="006F0C78">
              <w:rPr>
                <w:rFonts w:ascii="Arial" w:eastAsia="Times New Roman" w:hAnsi="Arial" w:cs="Arial"/>
                <w:b/>
                <w:kern w:val="0"/>
                <w14:ligatures w14:val="none"/>
              </w:rPr>
              <w:t xml:space="preserve"> </w:t>
            </w:r>
            <w:r w:rsidR="006F0C78">
              <w:rPr>
                <w:rFonts w:ascii="Arial" w:eastAsia="Times New Roman" w:hAnsi="Arial" w:cs="Arial"/>
                <w:b/>
                <w:kern w:val="0"/>
                <w14:ligatures w14:val="none"/>
              </w:rPr>
              <w:t>LCMB7034</w:t>
            </w:r>
          </w:p>
        </w:tc>
      </w:tr>
      <w:tr w:rsidR="00F452A9" w:rsidRPr="00F452A9" w14:paraId="752BBF8E"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3B52DE6D" w14:textId="76CF9A95"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Lecturer:</w:t>
            </w:r>
            <w:r w:rsidR="006B0392">
              <w:rPr>
                <w:rFonts w:ascii="Arial" w:eastAsia="Times New Roman" w:hAnsi="Arial" w:cs="Arial"/>
                <w:b/>
                <w:kern w:val="0"/>
                <w14:ligatures w14:val="none"/>
              </w:rPr>
              <w:t xml:space="preserve"> </w:t>
            </w:r>
            <w:r w:rsidR="00C2499C">
              <w:rPr>
                <w:rFonts w:ascii="Arial" w:eastAsia="Times New Roman" w:hAnsi="Arial" w:cs="Arial"/>
                <w:b/>
                <w:kern w:val="0"/>
                <w14:ligatures w14:val="none"/>
              </w:rPr>
              <w:t>Babar Syde</w:t>
            </w:r>
          </w:p>
        </w:tc>
      </w:tr>
      <w:tr w:rsidR="00F452A9" w:rsidRPr="00F452A9" w14:paraId="581209E3" w14:textId="77777777" w:rsidTr="00EA6DBD">
        <w:tc>
          <w:tcPr>
            <w:tcW w:w="9101" w:type="dxa"/>
            <w:tcBorders>
              <w:top w:val="single" w:sz="4" w:space="0" w:color="auto"/>
              <w:left w:val="single" w:sz="4" w:space="0" w:color="auto"/>
              <w:bottom w:val="single" w:sz="4" w:space="0" w:color="auto"/>
              <w:right w:val="single" w:sz="4" w:space="0" w:color="auto"/>
            </w:tcBorders>
            <w:shd w:val="pct15" w:color="auto" w:fill="auto"/>
            <w:hideMark/>
          </w:tcPr>
          <w:p w14:paraId="2A60A120" w14:textId="16E8AE07" w:rsidR="00F452A9" w:rsidRPr="00F452A9" w:rsidRDefault="00F452A9" w:rsidP="00EA6DBD">
            <w:pPr>
              <w:spacing w:before="120" w:after="120" w:line="240" w:lineRule="auto"/>
              <w:rPr>
                <w:rFonts w:ascii="Arial" w:eastAsia="Times New Roman" w:hAnsi="Arial" w:cs="Arial"/>
                <w:b/>
                <w:kern w:val="0"/>
                <w14:ligatures w14:val="none"/>
              </w:rPr>
            </w:pPr>
            <w:r w:rsidRPr="00F452A9">
              <w:rPr>
                <w:rFonts w:ascii="Arial" w:eastAsia="Times New Roman" w:hAnsi="Arial" w:cs="Arial"/>
                <w:b/>
                <w:kern w:val="0"/>
                <w14:ligatures w14:val="none"/>
              </w:rPr>
              <w:t>Assignment Title:</w:t>
            </w:r>
            <w:r w:rsidR="00C2499C">
              <w:rPr>
                <w:rFonts w:ascii="Arial" w:eastAsia="Times New Roman" w:hAnsi="Arial" w:cs="Arial"/>
                <w:b/>
                <w:kern w:val="0"/>
                <w14:ligatures w14:val="none"/>
              </w:rPr>
              <w:t xml:space="preserve"> Report</w:t>
            </w:r>
          </w:p>
        </w:tc>
      </w:tr>
    </w:tbl>
    <w:p w14:paraId="29D89CBA" w14:textId="331D0FCE" w:rsidR="00394A78" w:rsidRDefault="00394A78" w:rsidP="00394A78">
      <w:pPr>
        <w:spacing w:before="100" w:beforeAutospacing="1" w:after="100" w:afterAutospacing="1" w:line="360" w:lineRule="auto"/>
        <w:jc w:val="both"/>
        <w:outlineLvl w:val="1"/>
        <w:rPr>
          <w:b/>
          <w:bCs/>
          <w:color w:val="000000" w:themeColor="text1"/>
          <w:sz w:val="28"/>
          <w:szCs w:val="28"/>
        </w:rPr>
      </w:pPr>
    </w:p>
    <w:p w14:paraId="1A3175CF" w14:textId="77777777" w:rsidR="00B578C2" w:rsidRDefault="00B578C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B776307"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187459F"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03D65D1"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7380495C"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9FDE5C0"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E87C889"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6763F4E" w14:textId="7777777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8DF7CFE" w14:textId="41A08935"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54DA856" w14:textId="70AB5370"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D0841D5" w14:textId="7EFFDFDD"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59B2726" w14:textId="1ABE1893"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6D5FE6C4" w14:textId="1154E0CF"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88C995D" w14:textId="5027E915"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1216198" w14:textId="1504583C"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382C79F" w14:textId="00A97B36"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C8DCDDB" w14:textId="13FD9334" w:rsidR="00394A78" w:rsidRDefault="00484D7C"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 xml:space="preserve">                                               </w:t>
      </w:r>
      <w:r w:rsidR="007A7511">
        <w:rPr>
          <w:rFonts w:ascii="Arial" w:eastAsia="Times New Roman" w:hAnsi="Arial" w:cs="Arial"/>
          <w:b/>
          <w:bCs/>
          <w:kern w:val="0"/>
          <w:lang w:eastAsia="en-GB"/>
          <w14:ligatures w14:val="none"/>
        </w:rPr>
        <w:t xml:space="preserve"> Table of Contents</w:t>
      </w:r>
    </w:p>
    <w:p w14:paraId="3C3E1101" w14:textId="41F850B9" w:rsidR="008527F9" w:rsidRDefault="008527F9"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ABABC84" w14:textId="30940AAA" w:rsidR="005B62B7" w:rsidRPr="0066225D" w:rsidRDefault="005B62B7" w:rsidP="0066225D">
      <w:pPr>
        <w:spacing w:before="100" w:beforeAutospacing="1" w:after="100" w:afterAutospacing="1" w:line="360" w:lineRule="auto"/>
        <w:jc w:val="both"/>
        <w:outlineLvl w:val="1"/>
        <w:rPr>
          <w:rFonts w:ascii="Arial" w:eastAsia="Cambria" w:hAnsi="Arial" w:cs="Arial"/>
        </w:rPr>
      </w:pPr>
    </w:p>
    <w:p w14:paraId="35EFB779" w14:textId="1FFF63F8"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41D753C" w14:textId="5EE8BF10" w:rsidR="005B62B7"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Times New Roman" w:hAnsi="Arial" w:cs="Arial"/>
          <w:kern w:val="0"/>
          <w:lang w:eastAsia="en-GB"/>
          <w14:ligatures w14:val="none"/>
        </w:rPr>
      </w:pPr>
      <w:r w:rsidRPr="0066225D">
        <w:rPr>
          <w:rFonts w:ascii="Arial" w:eastAsia="Times New Roman" w:hAnsi="Arial" w:cs="Arial"/>
          <w:kern w:val="0"/>
          <w:lang w:eastAsia="en-GB"/>
          <w14:ligatures w14:val="none"/>
        </w:rPr>
        <w:t>Introduction</w:t>
      </w:r>
    </w:p>
    <w:p w14:paraId="19273665" w14:textId="6B28C51A" w:rsidR="005B62B7"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Benefits and challenges of international operations</w:t>
      </w:r>
    </w:p>
    <w:p w14:paraId="105E91FE" w14:textId="77777777" w:rsidR="005B62B7"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Critically discuss how the OLI factors</w:t>
      </w:r>
    </w:p>
    <w:p w14:paraId="171373D3" w14:textId="5039F32E" w:rsidR="005B62B7"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Conduct a critical evaluation</w:t>
      </w:r>
    </w:p>
    <w:p w14:paraId="604F221E" w14:textId="3E5BD0B3" w:rsidR="005B62B7"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Critically discuss and recommend</w:t>
      </w:r>
    </w:p>
    <w:p w14:paraId="6AD523B8" w14:textId="40DF7529" w:rsidR="00394A78" w:rsidRPr="0066225D" w:rsidRDefault="005B62B7"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Conclusion</w:t>
      </w:r>
    </w:p>
    <w:p w14:paraId="49BEA9D1" w14:textId="072D3B58" w:rsidR="0066225D" w:rsidRPr="005B62B7" w:rsidRDefault="0066225D" w:rsidP="005B62B7">
      <w:pPr>
        <w:pStyle w:val="ListParagraph"/>
        <w:numPr>
          <w:ilvl w:val="0"/>
          <w:numId w:val="9"/>
        </w:numPr>
        <w:spacing w:before="100" w:beforeAutospacing="1" w:after="100" w:afterAutospacing="1" w:line="360" w:lineRule="auto"/>
        <w:jc w:val="both"/>
        <w:outlineLvl w:val="1"/>
        <w:rPr>
          <w:rFonts w:ascii="Arial" w:eastAsia="Cambria" w:hAnsi="Arial" w:cs="Arial"/>
        </w:rPr>
      </w:pPr>
      <w:r w:rsidRPr="0066225D">
        <w:rPr>
          <w:rFonts w:ascii="Arial" w:eastAsia="Cambria" w:hAnsi="Arial" w:cs="Arial"/>
        </w:rPr>
        <w:t>References</w:t>
      </w:r>
      <w:r>
        <w:rPr>
          <w:rFonts w:ascii="Arial" w:eastAsia="Cambria" w:hAnsi="Arial" w:cs="Arial"/>
        </w:rPr>
        <w:t xml:space="preserve"> </w:t>
      </w:r>
    </w:p>
    <w:p w14:paraId="55803AB1" w14:textId="39CEFE6C"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6544A80C" w14:textId="306FF5D1"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9AF6D09" w14:textId="13FABFB2"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6D3FB77" w14:textId="35EBAAD7"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21CAAAC" w14:textId="551F15E0"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B9CFF10" w14:textId="3A28E3CD"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72F12A26" w14:textId="37BE19E4"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8356755" w14:textId="56BE04F8"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990CBEB" w14:textId="5F820EC9"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BE7560E" w14:textId="104D6369"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66851BA" w14:textId="0E286BFF"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1B43E7A9" w14:textId="54927792"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2BB9F3F" w14:textId="065D32E3" w:rsidR="00394A78" w:rsidRDefault="00394A78"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3F185A0" w14:textId="1F065504" w:rsidR="0066225D" w:rsidRDefault="0059602E"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Pr>
          <w:rFonts w:ascii="Arial" w:eastAsia="Times New Roman" w:hAnsi="Arial" w:cs="Arial"/>
          <w:b/>
          <w:bCs/>
          <w:noProof/>
          <w:kern w:val="0"/>
          <w:lang w:eastAsia="en-GB"/>
          <w14:ligatures w14:val="none"/>
        </w:rPr>
        <w:lastRenderedPageBreak/>
        <w:drawing>
          <wp:anchor distT="0" distB="0" distL="114300" distR="114300" simplePos="0" relativeHeight="251658240" behindDoc="0" locked="0" layoutInCell="1" allowOverlap="1" wp14:anchorId="4D415F46" wp14:editId="30F2ACF5">
            <wp:simplePos x="0" y="0"/>
            <wp:positionH relativeFrom="margin">
              <wp:align>right</wp:align>
            </wp:positionH>
            <wp:positionV relativeFrom="paragraph">
              <wp:posOffset>0</wp:posOffset>
            </wp:positionV>
            <wp:extent cx="3752850" cy="1600200"/>
            <wp:effectExtent l="0" t="0" r="0" b="0"/>
            <wp:wrapSquare wrapText="bothSides"/>
            <wp:docPr id="11819407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2850" cy="1600200"/>
                    </a:xfrm>
                    <a:prstGeom prst="rect">
                      <a:avLst/>
                    </a:prstGeom>
                    <a:noFill/>
                  </pic:spPr>
                </pic:pic>
              </a:graphicData>
            </a:graphic>
            <wp14:sizeRelH relativeFrom="margin">
              <wp14:pctWidth>0</wp14:pctWidth>
            </wp14:sizeRelH>
          </wp:anchor>
        </w:drawing>
      </w:r>
    </w:p>
    <w:p w14:paraId="7C1BA1BA" w14:textId="632DDC8C" w:rsidR="00F544E1" w:rsidRDefault="00F544E1"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32AA917A" w14:textId="206A09CA" w:rsidR="00F544E1" w:rsidRDefault="00F544E1"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7910C1EF" w14:textId="77777777" w:rsidR="00F544E1" w:rsidRDefault="00F544E1"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2471CB5E" w14:textId="77777777" w:rsidR="00F544E1" w:rsidRDefault="00F544E1"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042C4572" w14:textId="77777777" w:rsidR="00F544E1" w:rsidRDefault="00F544E1"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423E2C0F" w14:textId="628BA812" w:rsidR="009E180F" w:rsidRPr="009E180F" w:rsidRDefault="009E180F"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9E180F">
        <w:rPr>
          <w:rFonts w:ascii="Arial" w:eastAsia="Times New Roman" w:hAnsi="Arial" w:cs="Arial"/>
          <w:b/>
          <w:bCs/>
          <w:i/>
          <w:iCs/>
          <w:kern w:val="0"/>
          <w:sz w:val="36"/>
          <w:szCs w:val="36"/>
          <w:lang w:eastAsia="en-GB"/>
          <w14:ligatures w14:val="none"/>
        </w:rPr>
        <w:t>I</w:t>
      </w:r>
      <w:r w:rsidRPr="009E180F">
        <w:rPr>
          <w:rFonts w:ascii="Arial" w:eastAsia="Times New Roman" w:hAnsi="Arial" w:cs="Arial"/>
          <w:b/>
          <w:bCs/>
          <w:kern w:val="0"/>
          <w:lang w:eastAsia="en-GB"/>
          <w14:ligatures w14:val="none"/>
        </w:rPr>
        <w:t>ntroduction</w:t>
      </w:r>
    </w:p>
    <w:p w14:paraId="6EC401DB" w14:textId="605A5647" w:rsidR="009E180F" w:rsidRPr="009E180F" w:rsidRDefault="009E180F" w:rsidP="00394A78">
      <w:pPr>
        <w:spacing w:before="100" w:beforeAutospacing="1" w:after="100" w:afterAutospacing="1" w:line="360" w:lineRule="auto"/>
        <w:jc w:val="both"/>
        <w:rPr>
          <w:rFonts w:ascii="Arial" w:eastAsia="Times New Roman" w:hAnsi="Arial" w:cs="Arial"/>
          <w:kern w:val="0"/>
          <w:lang w:eastAsia="en-GB"/>
          <w14:ligatures w14:val="none"/>
        </w:rPr>
      </w:pPr>
      <w:r w:rsidRPr="009E180F">
        <w:rPr>
          <w:rFonts w:ascii="Arial" w:eastAsia="Times New Roman" w:hAnsi="Arial" w:cs="Arial"/>
          <w:kern w:val="0"/>
          <w:lang w:eastAsia="en-GB"/>
          <w14:ligatures w14:val="none"/>
        </w:rPr>
        <w:t>ExxonMobil is one of the world’s largest publicly traded oil and gas companies, with a global presence spanning exploration, production, refining, and chemical manufacturing. Headquartered in the United States, the company operates in over 50 countries, making it a prominent multinational corporation (Exxon Mobil Corporation, 2025). The internationalisation of ExxonMobil allows it to access diverse hydrocarbon resources, spread operational risks, and leverage advanced technology across multiple regions. Emerging economies, such as Guyana, have become strategically important due to substantial untapped oil reserves, favourable investment conditions, and growth potential in energy markets. However, expanding into these markets presents complex challenges, including political risk, regulatory compliance, cultural differences, and community engagement requirements. This report critically examines the benefits and challenges of ExxonMobil’s international operations, analysing its multinational status, market entry strategies through the lens of the OLI framework, cultural considerations, and necessary adjustments to Standard Operating Procedures (SOPs) to enhance success and sustainability in an emerging market context.</w:t>
      </w:r>
    </w:p>
    <w:p w14:paraId="7FA4DB6A" w14:textId="77777777" w:rsidR="009E180F" w:rsidRPr="008F0931" w:rsidRDefault="009E180F"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1285569D" w14:textId="77777777" w:rsidR="00045CF5" w:rsidRDefault="00045CF5"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7B67BE87" w14:textId="77777777" w:rsidR="00045CF5" w:rsidRDefault="00045CF5"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229C3FF3" w14:textId="77777777" w:rsidR="00045CF5" w:rsidRDefault="00045CF5"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5048C939" w14:textId="77777777" w:rsidR="00045CF5" w:rsidRDefault="00045CF5"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61415ED4" w14:textId="135C6607" w:rsidR="000A2290" w:rsidRPr="000A2290" w:rsidRDefault="000A2290" w:rsidP="00394A7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0A2290">
        <w:rPr>
          <w:rFonts w:ascii="Arial" w:eastAsia="Times New Roman" w:hAnsi="Arial" w:cs="Arial"/>
          <w:b/>
          <w:bCs/>
          <w:kern w:val="0"/>
          <w:lang w:eastAsia="en-GB"/>
          <w14:ligatures w14:val="none"/>
        </w:rPr>
        <w:lastRenderedPageBreak/>
        <w:t>Company Overview and Current State</w:t>
      </w:r>
    </w:p>
    <w:p w14:paraId="23DFE753" w14:textId="70A9264A"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 xml:space="preserve">ExxonMobil Corporation is one of the world’s largest publicly traded oil and gas companies, headquartered in Irving, Texas. The company was formed in 1999 through the merger of Exxon and Mobil, two major successors of John D. Rockefeller’s Standard Oil (ExxonMobil, 2024). With operations in over 60 countries, ExxonMobil engages in the exploration, production, refining, and distribution of petroleum, natural gas, and petrochemical products. The firm is vertically integrated, maintaining control across the entire value </w:t>
      </w:r>
      <w:r w:rsidR="00C83247" w:rsidRPr="008F0931">
        <w:rPr>
          <w:rFonts w:ascii="Arial" w:eastAsia="Times New Roman" w:hAnsi="Arial" w:cs="Arial"/>
          <w:kern w:val="0"/>
          <w:lang w:eastAsia="en-GB"/>
          <w14:ligatures w14:val="none"/>
        </w:rPr>
        <w:t>chain from</w:t>
      </w:r>
      <w:r w:rsidRPr="000A2290">
        <w:rPr>
          <w:rFonts w:ascii="Arial" w:eastAsia="Times New Roman" w:hAnsi="Arial" w:cs="Arial"/>
          <w:kern w:val="0"/>
          <w:lang w:eastAsia="en-GB"/>
          <w14:ligatures w14:val="none"/>
        </w:rPr>
        <w:t xml:space="preserve"> upstream exploration and extraction to downstream refining and marketing.</w:t>
      </w:r>
    </w:p>
    <w:p w14:paraId="5FBA1BBD" w14:textId="0F50D948"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 xml:space="preserve">In recent years, ExxonMobil has faced a rapidly changing global energy landscape, influenced by factors such as climate change, regulatory pressures, and the global shift toward renewable energy. Historically, the company’s strategy was heavily focused on fossil fuels; however, increasing environmental concerns and stakeholder activism have pushed ExxonMobil to reassess its long-term sustainability. The company has begun diversifying its portfolio through investments in carbon capture, hydrogen, and biofuels technologies (ExxonMobil, 2024). Despite these initiatives, ExxonMobil continues to derive </w:t>
      </w:r>
      <w:r w:rsidR="00C83247" w:rsidRPr="008F0931">
        <w:rPr>
          <w:rFonts w:ascii="Arial" w:eastAsia="Times New Roman" w:hAnsi="Arial" w:cs="Arial"/>
          <w:kern w:val="0"/>
          <w:lang w:eastAsia="en-GB"/>
          <w14:ligatures w14:val="none"/>
        </w:rPr>
        <w:t>most of</w:t>
      </w:r>
      <w:r w:rsidRPr="000A2290">
        <w:rPr>
          <w:rFonts w:ascii="Arial" w:eastAsia="Times New Roman" w:hAnsi="Arial" w:cs="Arial"/>
          <w:kern w:val="0"/>
          <w:lang w:eastAsia="en-GB"/>
          <w14:ligatures w14:val="none"/>
        </w:rPr>
        <w:t xml:space="preserve"> its revenue from oil and gas production, highlighting the challenge of balancing profitability with environmental responsibility.</w:t>
      </w:r>
    </w:p>
    <w:p w14:paraId="01C71188" w14:textId="77777777"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Financially, ExxonMobil remains strong, benefiting from high oil prices and disciplined cost management. In 2023, the company reported revenues exceeding $344 billion, driven by rising global energy demand and refining margins (ExxonMobil, 2024). Its focus on operational efficiency and technological innovation has helped maintain competitiveness in a volatile market. ExxonMobil has also emphasized shareholder value through dividend payments and share buybacks, reinforcing its reputation as a stable investment.</w:t>
      </w:r>
    </w:p>
    <w:p w14:paraId="4CF84926" w14:textId="77777777"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From a strategic perspective, ExxonMobil’s global operations are supported by its emphasis on research and development (R&amp;D). The company invests heavily in advanced technologies aimed at improving energy efficiency and reducing carbon emissions. For instance, it is one of the leading investors in carbon capture and storage (CCS) projects, recognizing the need for sustainable solutions within the fossil fuel industry. Furthermore, ExxonMobil has partnered with academic institutions and technology firms to explore low-emission fuel alternatives and enhance energy transition efforts (Reuters, 2024).</w:t>
      </w:r>
    </w:p>
    <w:p w14:paraId="6C1B203B" w14:textId="77777777"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 xml:space="preserve">However, ExxonMobil’s environmental performance has attracted criticism. Environmental groups and stakeholders have challenged its climate policies, alleging insufficient progress toward decarbonization. The company has been under pressure from both investors and </w:t>
      </w:r>
      <w:r w:rsidRPr="000A2290">
        <w:rPr>
          <w:rFonts w:ascii="Arial" w:eastAsia="Times New Roman" w:hAnsi="Arial" w:cs="Arial"/>
          <w:kern w:val="0"/>
          <w:lang w:eastAsia="en-GB"/>
          <w14:ligatures w14:val="none"/>
        </w:rPr>
        <w:lastRenderedPageBreak/>
        <w:t>governments to align its operations with the Paris Agreement’s goals. In response, ExxonMobil has set a target to achieve net-zero greenhouse gas emissions from operated assets by 2050 (ExxonMobil, 2024). While this represents a significant strategic shift, critics argue that its commitments lack the pace and transparency required for meaningful change (Reuters, 2024).</w:t>
      </w:r>
    </w:p>
    <w:p w14:paraId="67B057B7" w14:textId="77777777" w:rsidR="000A2290" w:rsidRPr="000A2290" w:rsidRDefault="000A2290" w:rsidP="00394A78">
      <w:pPr>
        <w:spacing w:before="100" w:beforeAutospacing="1" w:after="100" w:afterAutospacing="1" w:line="360" w:lineRule="auto"/>
        <w:jc w:val="both"/>
        <w:rPr>
          <w:rFonts w:ascii="Arial" w:eastAsia="Times New Roman" w:hAnsi="Arial" w:cs="Arial"/>
          <w:kern w:val="0"/>
          <w:lang w:eastAsia="en-GB"/>
          <w14:ligatures w14:val="none"/>
        </w:rPr>
      </w:pPr>
      <w:r w:rsidRPr="000A2290">
        <w:rPr>
          <w:rFonts w:ascii="Arial" w:eastAsia="Times New Roman" w:hAnsi="Arial" w:cs="Arial"/>
          <w:kern w:val="0"/>
          <w:lang w:eastAsia="en-GB"/>
          <w14:ligatures w14:val="none"/>
        </w:rPr>
        <w:t>In conclusion, ExxonMobil remains a dominant force in the global energy sector, balancing profitability with growing sustainability expectations. The company’s strong financial foundation, extensive global presence, and ongoing investments in technology position it for continued relevance in a transitioning energy market. Nonetheless, the firm faces significant challenges as it navigates the global push for renewable energy and environmental accountability. Its long-term success will depend on its ability to innovate, diversify energy sources, and adapt to evolving stakeholder and regulatory demands.</w:t>
      </w:r>
    </w:p>
    <w:p w14:paraId="267C217B" w14:textId="77777777" w:rsidR="00DC3341" w:rsidRDefault="00684E87" w:rsidP="00DC3341">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684E87">
        <w:rPr>
          <w:rFonts w:ascii="Arial" w:eastAsia="Times New Roman" w:hAnsi="Arial" w:cs="Arial"/>
          <w:b/>
          <w:bCs/>
          <w:kern w:val="36"/>
          <w:lang w:eastAsia="en-GB"/>
          <w14:ligatures w14:val="none"/>
        </w:rPr>
        <w:t>ExxonMobil</w:t>
      </w:r>
      <w:r w:rsidRPr="008F0931">
        <w:rPr>
          <w:rFonts w:ascii="Arial" w:eastAsia="Times New Roman" w:hAnsi="Arial" w:cs="Arial"/>
          <w:b/>
          <w:bCs/>
          <w:kern w:val="36"/>
          <w:lang w:eastAsia="en-GB"/>
          <w14:ligatures w14:val="none"/>
        </w:rPr>
        <w:t xml:space="preserve"> </w:t>
      </w:r>
      <w:r w:rsidRPr="00684E87">
        <w:rPr>
          <w:rFonts w:ascii="Arial" w:eastAsia="Times New Roman" w:hAnsi="Arial" w:cs="Arial"/>
          <w:b/>
          <w:bCs/>
          <w:kern w:val="36"/>
          <w:lang w:eastAsia="en-GB"/>
          <w14:ligatures w14:val="none"/>
        </w:rPr>
        <w:t xml:space="preserve">Benefits and challenges of international operations </w:t>
      </w:r>
    </w:p>
    <w:p w14:paraId="0A8E2B3B" w14:textId="7BA7B8CD" w:rsidR="000A5D7E" w:rsidRPr="00212123" w:rsidRDefault="00212123" w:rsidP="00212123">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212123">
        <w:rPr>
          <w:rFonts w:ascii="Arial" w:eastAsia="Times New Roman" w:hAnsi="Arial" w:cs="Arial"/>
          <w:b/>
          <w:bCs/>
          <w:kern w:val="0"/>
          <w:lang w:eastAsia="en-GB"/>
          <w14:ligatures w14:val="none"/>
        </w:rPr>
        <w:t>a</w:t>
      </w:r>
      <w:r>
        <w:rPr>
          <w:rFonts w:ascii="Arial" w:eastAsia="Times New Roman" w:hAnsi="Arial" w:cs="Arial"/>
          <w:kern w:val="0"/>
          <w:lang w:eastAsia="en-GB"/>
          <w14:ligatures w14:val="none"/>
        </w:rPr>
        <w:t>)</w:t>
      </w:r>
      <w:r w:rsidRPr="00212123">
        <w:rPr>
          <w:rFonts w:ascii="Arial" w:eastAsia="Times New Roman" w:hAnsi="Arial" w:cs="Arial"/>
          <w:kern w:val="0"/>
          <w:lang w:eastAsia="en-GB"/>
          <w14:ligatures w14:val="none"/>
        </w:rPr>
        <w:t xml:space="preserve"> Why</w:t>
      </w:r>
      <w:r w:rsidR="000A5D7E" w:rsidRPr="00212123">
        <w:rPr>
          <w:rFonts w:ascii="Arial" w:eastAsia="Times New Roman" w:hAnsi="Arial" w:cs="Arial"/>
          <w:kern w:val="0"/>
          <w:lang w:eastAsia="en-GB"/>
          <w14:ligatures w14:val="none"/>
        </w:rPr>
        <w:t xml:space="preserve"> ExxonMobil Can Be Designated a Multinational Corporation</w:t>
      </w:r>
    </w:p>
    <w:p w14:paraId="0B1D2EEF" w14:textId="5BA8FEC8" w:rsidR="000A5D7E" w:rsidRPr="000A5D7E" w:rsidRDefault="000A5D7E" w:rsidP="00394A78">
      <w:pPr>
        <w:spacing w:before="100" w:beforeAutospacing="1" w:after="100" w:afterAutospacing="1" w:line="360" w:lineRule="auto"/>
        <w:jc w:val="both"/>
        <w:rPr>
          <w:rFonts w:ascii="Arial" w:eastAsia="Times New Roman" w:hAnsi="Arial" w:cs="Arial"/>
          <w:kern w:val="0"/>
          <w:lang w:eastAsia="en-GB"/>
          <w14:ligatures w14:val="none"/>
        </w:rPr>
      </w:pPr>
      <w:r w:rsidRPr="000A5D7E">
        <w:rPr>
          <w:rFonts w:ascii="Arial" w:eastAsia="Times New Roman" w:hAnsi="Arial" w:cs="Arial"/>
          <w:kern w:val="0"/>
          <w:lang w:eastAsia="en-GB"/>
          <w14:ligatures w14:val="none"/>
        </w:rPr>
        <w:t xml:space="preserve">ExxonMobil is widely recognised as a multinational corporation (MNC) due to its extensive operations, management structure, and strategic presence across multiple countries. </w:t>
      </w:r>
      <w:r w:rsidRPr="008F0931">
        <w:rPr>
          <w:rFonts w:ascii="Arial" w:eastAsia="Times New Roman" w:hAnsi="Arial" w:cs="Arial"/>
          <w:kern w:val="0"/>
          <w:lang w:eastAsia="en-GB"/>
          <w14:ligatures w14:val="none"/>
        </w:rPr>
        <w:t>An</w:t>
      </w:r>
      <w:r w:rsidRPr="000A5D7E">
        <w:rPr>
          <w:rFonts w:ascii="Arial" w:eastAsia="Times New Roman" w:hAnsi="Arial" w:cs="Arial"/>
          <w:kern w:val="0"/>
          <w:lang w:eastAsia="en-GB"/>
          <w14:ligatures w14:val="none"/>
        </w:rPr>
        <w:t xml:space="preserve"> MNC is a company that manages production or delivers services in more than one country, with a centralised headquarters coordinating global operations (Hill et al., 2014). ExxonMobil’s operations clearly fit this criterion, as it maintains upstream, downstream, and chemical activities in over 50 countries worldwide (Exxon Mobil Corporation, 2025). This global reach enables the firm to leverage resources, markets, and technological capabilities in a geographically diversified manner.</w:t>
      </w:r>
    </w:p>
    <w:p w14:paraId="799E38A6" w14:textId="77777777" w:rsidR="000A5D7E" w:rsidRPr="000A5D7E" w:rsidRDefault="000A5D7E" w:rsidP="00394A78">
      <w:pPr>
        <w:spacing w:before="100" w:beforeAutospacing="1" w:after="100" w:afterAutospacing="1" w:line="360" w:lineRule="auto"/>
        <w:jc w:val="both"/>
        <w:rPr>
          <w:rFonts w:ascii="Arial" w:eastAsia="Times New Roman" w:hAnsi="Arial" w:cs="Arial"/>
          <w:kern w:val="0"/>
          <w:lang w:eastAsia="en-GB"/>
          <w14:ligatures w14:val="none"/>
        </w:rPr>
      </w:pPr>
      <w:r w:rsidRPr="000A5D7E">
        <w:rPr>
          <w:rFonts w:ascii="Arial" w:eastAsia="Times New Roman" w:hAnsi="Arial" w:cs="Arial"/>
          <w:kern w:val="0"/>
          <w:lang w:eastAsia="en-GB"/>
          <w14:ligatures w14:val="none"/>
        </w:rPr>
        <w:t>One of the primary characteristics of an MNC is foreign direct investment (FDI). ExxonMobil invests heavily in exploration and production projects abroad, including significant developments in countries such as Guyana, Canada, and the United Arab Emirates. These investments involve long-term capital commitment, local employment, and partnerships with national oil companies or private firms, which are hallmarks of multinational operations. Such investments are coordinated from ExxonMobil’s headquarters in Irving, Texas, which sets strategic objectives, allocates capital, and integrates technological innovations across its global operations.</w:t>
      </w:r>
    </w:p>
    <w:p w14:paraId="45F0307D" w14:textId="77777777" w:rsidR="000A5D7E" w:rsidRPr="000A5D7E" w:rsidRDefault="000A5D7E" w:rsidP="00394A78">
      <w:pPr>
        <w:spacing w:before="100" w:beforeAutospacing="1" w:after="100" w:afterAutospacing="1" w:line="360" w:lineRule="auto"/>
        <w:jc w:val="both"/>
        <w:rPr>
          <w:rFonts w:ascii="Arial" w:eastAsia="Times New Roman" w:hAnsi="Arial" w:cs="Arial"/>
          <w:kern w:val="0"/>
          <w:lang w:eastAsia="en-GB"/>
          <w14:ligatures w14:val="none"/>
        </w:rPr>
      </w:pPr>
      <w:r w:rsidRPr="000A5D7E">
        <w:rPr>
          <w:rFonts w:ascii="Arial" w:eastAsia="Times New Roman" w:hAnsi="Arial" w:cs="Arial"/>
          <w:kern w:val="0"/>
          <w:lang w:eastAsia="en-GB"/>
          <w14:ligatures w14:val="none"/>
        </w:rPr>
        <w:t xml:space="preserve">Another defining feature of MNCs is the ability to access international markets and diversify revenue streams. ExxonMobil sells refined petroleum products, petrochemicals, and LNG to customers worldwide. Its global presence allows it to mitigate risks associated with regional </w:t>
      </w:r>
      <w:r w:rsidRPr="000A5D7E">
        <w:rPr>
          <w:rFonts w:ascii="Arial" w:eastAsia="Times New Roman" w:hAnsi="Arial" w:cs="Arial"/>
          <w:kern w:val="0"/>
          <w:lang w:eastAsia="en-GB"/>
          <w14:ligatures w14:val="none"/>
        </w:rPr>
        <w:lastRenderedPageBreak/>
        <w:t>demand fluctuations, commodity price volatility, or political instability, which further reinforces its multinational status. Additionally, ExxonMobil operates under centralised corporate governance while adapting to local regulatory environments, demonstrating the typical combination of global strategy and local responsiveness found in MNCs (Hill et al., 2014).</w:t>
      </w:r>
    </w:p>
    <w:p w14:paraId="2A8112BD" w14:textId="77777777" w:rsidR="000A5D7E" w:rsidRPr="000A5D7E" w:rsidRDefault="000A5D7E" w:rsidP="00394A78">
      <w:pPr>
        <w:spacing w:before="100" w:beforeAutospacing="1" w:after="100" w:afterAutospacing="1" w:line="360" w:lineRule="auto"/>
        <w:jc w:val="both"/>
        <w:rPr>
          <w:rFonts w:ascii="Arial" w:eastAsia="Times New Roman" w:hAnsi="Arial" w:cs="Arial"/>
          <w:kern w:val="0"/>
          <w:lang w:eastAsia="en-GB"/>
          <w14:ligatures w14:val="none"/>
        </w:rPr>
      </w:pPr>
      <w:r w:rsidRPr="000A5D7E">
        <w:rPr>
          <w:rFonts w:ascii="Arial" w:eastAsia="Times New Roman" w:hAnsi="Arial" w:cs="Arial"/>
          <w:kern w:val="0"/>
          <w:lang w:eastAsia="en-GB"/>
          <w14:ligatures w14:val="none"/>
        </w:rPr>
        <w:t>Finally, ExxonMobil’s organisational structure facilitates cross-border knowledge transfer and economies of scale. Technologies developed in one region can be applied to operations in another, improving operational efficiency and reinforcing its competitive advantage. The coordination of resources, capital, and knowledge across countries highlights the company’s MNC characteristics.</w:t>
      </w:r>
    </w:p>
    <w:p w14:paraId="3216C01B" w14:textId="1B035BE8" w:rsidR="000A5D7E" w:rsidRPr="00212123" w:rsidRDefault="000A5D7E" w:rsidP="00212123">
      <w:pPr>
        <w:spacing w:before="100" w:beforeAutospacing="1" w:after="100" w:afterAutospacing="1" w:line="360" w:lineRule="auto"/>
        <w:jc w:val="both"/>
        <w:rPr>
          <w:rFonts w:ascii="Arial" w:eastAsia="Times New Roman" w:hAnsi="Arial" w:cs="Arial"/>
          <w:kern w:val="0"/>
          <w:lang w:eastAsia="en-GB"/>
          <w14:ligatures w14:val="none"/>
        </w:rPr>
      </w:pPr>
      <w:r w:rsidRPr="000A5D7E">
        <w:rPr>
          <w:rFonts w:ascii="Arial" w:eastAsia="Times New Roman" w:hAnsi="Arial" w:cs="Arial"/>
          <w:kern w:val="0"/>
          <w:lang w:eastAsia="en-GB"/>
          <w14:ligatures w14:val="none"/>
        </w:rPr>
        <w:t>In conclusion, ExxonMobil meets the criteria of a multinational corporation through its international investment, diversified global operations, centralised strategic management, and ability to operate effectively across multiple jurisdictions. Its global presence, combined with coordinated management and resource integration, confirms its classification as an MNC.</w:t>
      </w:r>
    </w:p>
    <w:p w14:paraId="2A9012A3" w14:textId="66ED20F8" w:rsidR="00684E87" w:rsidRPr="00684E87" w:rsidRDefault="00684E87"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684E87">
        <w:rPr>
          <w:rFonts w:ascii="Arial" w:eastAsia="Times New Roman" w:hAnsi="Arial" w:cs="Arial"/>
          <w:b/>
          <w:bCs/>
          <w:kern w:val="0"/>
          <w:lang w:eastAsia="en-GB"/>
          <w14:ligatures w14:val="none"/>
        </w:rPr>
        <w:t>b. Nature of ExxonMobil’s global operations across the value chain</w:t>
      </w:r>
    </w:p>
    <w:p w14:paraId="7427C36A" w14:textId="77777777"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ExxonMobil’s global value chain spans R&amp;D, upstream sourcing (exploration and production), midstream logistics, refining and petrochemical manufacturing, global marketing and distribution, and centralized financing and treasury functions.</w:t>
      </w:r>
    </w:p>
    <w:p w14:paraId="3480AF4C" w14:textId="2E703593"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Research &amp; </w:t>
      </w:r>
      <w:r w:rsidR="00C83247" w:rsidRPr="008F0931">
        <w:rPr>
          <w:rFonts w:ascii="Arial" w:eastAsia="Times New Roman" w:hAnsi="Arial" w:cs="Arial"/>
          <w:kern w:val="0"/>
          <w:lang w:eastAsia="en-GB"/>
          <w14:ligatures w14:val="none"/>
        </w:rPr>
        <w:t>development ExxonMobil</w:t>
      </w:r>
      <w:r w:rsidRPr="00684E87">
        <w:rPr>
          <w:rFonts w:ascii="Arial" w:eastAsia="Times New Roman" w:hAnsi="Arial" w:cs="Arial"/>
          <w:kern w:val="0"/>
          <w:lang w:eastAsia="en-GB"/>
          <w14:ligatures w14:val="none"/>
        </w:rPr>
        <w:t xml:space="preserve"> invests in engineering, reservoir technology, process chemistry and lower-emissions technology via internal R&amp;D and global technical centres. The company deploys proprietary recovery and refining technology across projects to raise efficiency and reduce cost per barrel (Exxon Mobil Corporation, 2024).</w:t>
      </w:r>
    </w:p>
    <w:p w14:paraId="47D1BEC4" w14:textId="05BBF8F3"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Upstream sourcing</w:t>
      </w:r>
      <w:r w:rsidR="00C83247" w:rsidRPr="008F0931">
        <w:rPr>
          <w:rFonts w:ascii="Arial" w:eastAsia="Times New Roman" w:hAnsi="Arial" w:cs="Arial"/>
          <w:kern w:val="0"/>
          <w:lang w:eastAsia="en-GB"/>
          <w14:ligatures w14:val="none"/>
        </w:rPr>
        <w:t xml:space="preserve"> and</w:t>
      </w:r>
      <w:r w:rsidRPr="00684E87">
        <w:rPr>
          <w:rFonts w:ascii="Arial" w:eastAsia="Times New Roman" w:hAnsi="Arial" w:cs="Arial"/>
          <w:kern w:val="0"/>
          <w:lang w:eastAsia="en-GB"/>
          <w14:ligatures w14:val="none"/>
        </w:rPr>
        <w:t xml:space="preserve"> production </w:t>
      </w:r>
      <w:r w:rsidR="00C83247" w:rsidRPr="008F0931">
        <w:rPr>
          <w:rFonts w:ascii="Arial" w:eastAsia="Times New Roman" w:hAnsi="Arial" w:cs="Arial"/>
          <w:kern w:val="0"/>
          <w:lang w:eastAsia="en-GB"/>
          <w14:ligatures w14:val="none"/>
        </w:rPr>
        <w:t>the</w:t>
      </w:r>
      <w:r w:rsidRPr="00684E87">
        <w:rPr>
          <w:rFonts w:ascii="Arial" w:eastAsia="Times New Roman" w:hAnsi="Arial" w:cs="Arial"/>
          <w:kern w:val="0"/>
          <w:lang w:eastAsia="en-GB"/>
          <w14:ligatures w14:val="none"/>
        </w:rPr>
        <w:t xml:space="preserve"> firm operates and partners on large exploration and production projects (deepwater, conventional and unconventional). Examples include the Stabroek block in Guyana and the PNG LNG project in Papua New Guinea, where ExxonMobil has acted as operator or co-venturer, using global project management teams to execute complex offshore developments (Exxon Mobil Corporation, 2025; Exxon Mobil Corporation, 2024).</w:t>
      </w:r>
    </w:p>
    <w:p w14:paraId="54903BF8" w14:textId="03380F5E"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Midstream &amp; </w:t>
      </w:r>
      <w:r w:rsidR="00C83247" w:rsidRPr="008F0931">
        <w:rPr>
          <w:rFonts w:ascii="Arial" w:eastAsia="Times New Roman" w:hAnsi="Arial" w:cs="Arial"/>
          <w:kern w:val="0"/>
          <w:lang w:eastAsia="en-GB"/>
          <w14:ligatures w14:val="none"/>
        </w:rPr>
        <w:t>logistics ExxonMobil</w:t>
      </w:r>
      <w:r w:rsidRPr="00684E87">
        <w:rPr>
          <w:rFonts w:ascii="Arial" w:eastAsia="Times New Roman" w:hAnsi="Arial" w:cs="Arial"/>
          <w:kern w:val="0"/>
          <w:lang w:eastAsia="en-GB"/>
          <w14:ligatures w14:val="none"/>
        </w:rPr>
        <w:t xml:space="preserve"> secures access to terminals, LNG regasification and export capacity and shipping arrangements through long-term contracts and joint facilities. The company negotiates long-term access to terminals in Asia (e.g., Guangdong) and enters long-</w:t>
      </w:r>
      <w:r w:rsidRPr="00684E87">
        <w:rPr>
          <w:rFonts w:ascii="Arial" w:eastAsia="Times New Roman" w:hAnsi="Arial" w:cs="Arial"/>
          <w:kern w:val="0"/>
          <w:lang w:eastAsia="en-GB"/>
          <w14:ligatures w14:val="none"/>
        </w:rPr>
        <w:lastRenderedPageBreak/>
        <w:t>term LNG offtake and tolling arrangements to link supplies with demand centres (Reuters, 2024; Reuters, 2025).</w:t>
      </w:r>
    </w:p>
    <w:p w14:paraId="3C597FF9" w14:textId="5ECB1112"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Downstream (refining &amp; petrochemicals) ExxonMobil invests in large-scale refineries and petrochemical complexes (e.g., the Huizhou petrochemical complex in China) to convert feedstocks into higher-value products for regional markets. These assets capture margin across crude-to-petrochemical value chains and enable localization of supply for major demand centres (Reuters, 2025; Exxon Mobil Corporation, 2024).</w:t>
      </w:r>
    </w:p>
    <w:p w14:paraId="508F35FE" w14:textId="088A7AC7"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Sales, marketing &amp; distribution Global marketing networks, branded service stations, and B2B contracts for fuels, lubricants and petrochemicals give ExxonMobil market reach. The company </w:t>
      </w:r>
      <w:r w:rsidRPr="008F0931">
        <w:rPr>
          <w:rFonts w:ascii="Arial" w:eastAsia="Times New Roman" w:hAnsi="Arial" w:cs="Arial"/>
          <w:kern w:val="0"/>
          <w:lang w:eastAsia="en-GB"/>
          <w14:ligatures w14:val="none"/>
        </w:rPr>
        <w:t>tailor’s</w:t>
      </w:r>
      <w:r w:rsidRPr="00684E87">
        <w:rPr>
          <w:rFonts w:ascii="Arial" w:eastAsia="Times New Roman" w:hAnsi="Arial" w:cs="Arial"/>
          <w:kern w:val="0"/>
          <w:lang w:eastAsia="en-GB"/>
          <w14:ligatures w14:val="none"/>
        </w:rPr>
        <w:t xml:space="preserve"> product mixes to local demand while exploiting global procurement and trading desks to optimize feedstock purchase and product placement.</w:t>
      </w:r>
    </w:p>
    <w:p w14:paraId="21173681" w14:textId="657E3993"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Financing &amp; corporate </w:t>
      </w:r>
      <w:r w:rsidR="00C83247" w:rsidRPr="008F0931">
        <w:rPr>
          <w:rFonts w:ascii="Arial" w:eastAsia="Times New Roman" w:hAnsi="Arial" w:cs="Arial"/>
          <w:kern w:val="0"/>
          <w:lang w:eastAsia="en-GB"/>
          <w14:ligatures w14:val="none"/>
        </w:rPr>
        <w:t>functions ExxonMobil</w:t>
      </w:r>
      <w:r w:rsidRPr="00684E87">
        <w:rPr>
          <w:rFonts w:ascii="Arial" w:eastAsia="Times New Roman" w:hAnsi="Arial" w:cs="Arial"/>
          <w:kern w:val="0"/>
          <w:lang w:eastAsia="en-GB"/>
          <w14:ligatures w14:val="none"/>
        </w:rPr>
        <w:t xml:space="preserve"> centralizes strategic capital allocation, treasury and investor relations functions, issuing consolidated financial statements (10-K) and coordinating large cross-border capital programmes. Its ability to mobilize multibillion-dollar project financing and to deploy global procurement strategies is a key capability for transnational project execution (Exxon Mobil Corporation, 2025).</w:t>
      </w:r>
    </w:p>
    <w:p w14:paraId="1292B58D" w14:textId="0A39D046"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Together, these elements illustrate a vertically integrated, globally coordinated value chain where technology and capital are transferred from corporate </w:t>
      </w:r>
      <w:r w:rsidR="00C83247" w:rsidRPr="008F0931">
        <w:rPr>
          <w:rFonts w:ascii="Arial" w:eastAsia="Times New Roman" w:hAnsi="Arial" w:cs="Arial"/>
          <w:kern w:val="0"/>
          <w:lang w:eastAsia="en-GB"/>
          <w14:ligatures w14:val="none"/>
        </w:rPr>
        <w:t>centres</w:t>
      </w:r>
      <w:r w:rsidRPr="00684E87">
        <w:rPr>
          <w:rFonts w:ascii="Arial" w:eastAsia="Times New Roman" w:hAnsi="Arial" w:cs="Arial"/>
          <w:kern w:val="0"/>
          <w:lang w:eastAsia="en-GB"/>
          <w14:ligatures w14:val="none"/>
        </w:rPr>
        <w:t xml:space="preserve"> to operating jurisdictions while commercial outputs are sold into regional and global markets (Exxon Mobil Corporation, 2024; Exxon Mobil Corporation, 2025).</w:t>
      </w:r>
    </w:p>
    <w:p w14:paraId="214BAF07" w14:textId="77777777" w:rsidR="00684E87" w:rsidRPr="00684E87" w:rsidRDefault="00684E87"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684E87">
        <w:rPr>
          <w:rFonts w:ascii="Arial" w:eastAsia="Times New Roman" w:hAnsi="Arial" w:cs="Arial"/>
          <w:b/>
          <w:bCs/>
          <w:kern w:val="0"/>
          <w:lang w:eastAsia="en-GB"/>
          <w14:ligatures w14:val="none"/>
        </w:rPr>
        <w:t>c. Entry modes used in international markets (and dominant mode)</w:t>
      </w:r>
    </w:p>
    <w:p w14:paraId="6F8659FC" w14:textId="540D2C4E"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ExxonMobil uses a mix of entry modes: </w:t>
      </w:r>
      <w:r w:rsidRPr="008F0931">
        <w:rPr>
          <w:rFonts w:ascii="Arial" w:eastAsia="Times New Roman" w:hAnsi="Arial" w:cs="Arial"/>
          <w:kern w:val="0"/>
          <w:lang w:eastAsia="en-GB"/>
          <w14:ligatures w14:val="none"/>
        </w:rPr>
        <w:t>wholly owned</w:t>
      </w:r>
      <w:r w:rsidRPr="00684E87">
        <w:rPr>
          <w:rFonts w:ascii="Arial" w:eastAsia="Times New Roman" w:hAnsi="Arial" w:cs="Arial"/>
          <w:kern w:val="0"/>
          <w:lang w:eastAsia="en-GB"/>
          <w14:ligatures w14:val="none"/>
        </w:rPr>
        <w:t xml:space="preserve"> subsidiaries/greenfield investments, joint ventures (JVs)/production sharing agreements (PSAs) with national oil companies (NOCs), strategic long-term contracts (e.g., terminal access, offtake agreements), asset acquisitions, and operator/non-operator project roles.</w:t>
      </w:r>
    </w:p>
    <w:p w14:paraId="10370C77" w14:textId="622649BD"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Joint ventures / production sharing and </w:t>
      </w:r>
      <w:r w:rsidR="00C83247" w:rsidRPr="008F0931">
        <w:rPr>
          <w:rFonts w:ascii="Arial" w:eastAsia="Times New Roman" w:hAnsi="Arial" w:cs="Arial"/>
          <w:kern w:val="0"/>
          <w:lang w:eastAsia="en-GB"/>
          <w14:ligatures w14:val="none"/>
        </w:rPr>
        <w:t>partnerships in</w:t>
      </w:r>
      <w:r w:rsidRPr="00684E87">
        <w:rPr>
          <w:rFonts w:ascii="Arial" w:eastAsia="Times New Roman" w:hAnsi="Arial" w:cs="Arial"/>
          <w:kern w:val="0"/>
          <w:lang w:eastAsia="en-GB"/>
          <w14:ligatures w14:val="none"/>
        </w:rPr>
        <w:t xml:space="preserve"> many hydrocarbon provinces, access requires partnerships with host governments or state oil companies; ExxonMobil frequently forms JVs or enters PSAs to secure acreage and share development risk. Examples include large co-ventured LNG projects such as PNG LNG and collaborative developments in other basins (Exxon Mobil Corporation, 2024).</w:t>
      </w:r>
    </w:p>
    <w:p w14:paraId="2AE5E4B5" w14:textId="7C4E4794"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lastRenderedPageBreak/>
        <w:t>Operator-led greenfield developments ExxonMobil has pursued operator roles for deepwater greenfield developments (e.g., Guyana’s Stabroek block Liza development), where it applies project management expertise and receives large reserves upside in return for leading investment and execution (Exxon Mobil Corporation, 2025; Exxon Mobil Corporation, 2024).</w:t>
      </w:r>
    </w:p>
    <w:p w14:paraId="5083C56D" w14:textId="7397D603"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Long-term commercial contracts and offtake </w:t>
      </w:r>
      <w:r w:rsidR="00C83247" w:rsidRPr="008F0931">
        <w:rPr>
          <w:rFonts w:ascii="Arial" w:eastAsia="Times New Roman" w:hAnsi="Arial" w:cs="Arial"/>
          <w:kern w:val="0"/>
          <w:lang w:eastAsia="en-GB"/>
          <w14:ligatures w14:val="none"/>
        </w:rPr>
        <w:t>arrangements in</w:t>
      </w:r>
      <w:r w:rsidRPr="00684E87">
        <w:rPr>
          <w:rFonts w:ascii="Arial" w:eastAsia="Times New Roman" w:hAnsi="Arial" w:cs="Arial"/>
          <w:kern w:val="0"/>
          <w:lang w:eastAsia="en-GB"/>
          <w14:ligatures w14:val="none"/>
        </w:rPr>
        <w:t xml:space="preserve"> downstream and midstream, ExxonMobil secures market access through long-term terminal access contracts and LNG offtake arrangements (e.g., Guangdong terminal access), which allow supply of product into constrained regional markets without necessarily requiring equity ownership of all assets (Reuters, 2024).</w:t>
      </w:r>
    </w:p>
    <w:p w14:paraId="6A39BFFC" w14:textId="333C2FDF" w:rsidR="00684E87" w:rsidRPr="00684E87" w:rsidRDefault="00C83247" w:rsidP="00394A78">
      <w:pPr>
        <w:spacing w:before="100" w:beforeAutospacing="1" w:after="100" w:afterAutospacing="1" w:line="360" w:lineRule="auto"/>
        <w:jc w:val="both"/>
        <w:rPr>
          <w:rFonts w:ascii="Arial" w:eastAsia="Times New Roman" w:hAnsi="Arial" w:cs="Arial"/>
          <w:kern w:val="0"/>
          <w:lang w:eastAsia="en-GB"/>
          <w14:ligatures w14:val="none"/>
        </w:rPr>
      </w:pPr>
      <w:r w:rsidRPr="008F0931">
        <w:rPr>
          <w:rFonts w:ascii="Arial" w:eastAsia="Times New Roman" w:hAnsi="Arial" w:cs="Arial"/>
          <w:kern w:val="0"/>
          <w:lang w:eastAsia="en-GB"/>
          <w14:ligatures w14:val="none"/>
        </w:rPr>
        <w:t>Acquisitions where</w:t>
      </w:r>
      <w:r w:rsidR="00684E87" w:rsidRPr="00684E87">
        <w:rPr>
          <w:rFonts w:ascii="Arial" w:eastAsia="Times New Roman" w:hAnsi="Arial" w:cs="Arial"/>
          <w:kern w:val="0"/>
          <w:lang w:eastAsia="en-GB"/>
          <w14:ligatures w14:val="none"/>
        </w:rPr>
        <w:t xml:space="preserve"> strategic, the company has acquired assets or stakes in existing operations to accelerate entry or increase capacity; such acquisitions are sometimes followed by integration into ExxonMobil’s global operating model (Exxon Mobil Corporation, 2025).</w:t>
      </w:r>
    </w:p>
    <w:p w14:paraId="44871B23" w14:textId="2D8D4B05" w:rsidR="00684E87" w:rsidRPr="00684E87" w:rsidRDefault="00684E87" w:rsidP="00394A78">
      <w:p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Dominant entry </w:t>
      </w:r>
      <w:r w:rsidR="00C83247" w:rsidRPr="008F0931">
        <w:rPr>
          <w:rFonts w:ascii="Arial" w:eastAsia="Times New Roman" w:hAnsi="Arial" w:cs="Arial"/>
          <w:kern w:val="0"/>
          <w:lang w:eastAsia="en-GB"/>
          <w14:ligatures w14:val="none"/>
        </w:rPr>
        <w:t>mode while</w:t>
      </w:r>
      <w:r w:rsidRPr="00684E87">
        <w:rPr>
          <w:rFonts w:ascii="Arial" w:eastAsia="Times New Roman" w:hAnsi="Arial" w:cs="Arial"/>
          <w:kern w:val="0"/>
          <w:lang w:eastAsia="en-GB"/>
          <w14:ligatures w14:val="none"/>
        </w:rPr>
        <w:t xml:space="preserve"> ExxonMobil uses </w:t>
      </w:r>
      <w:r w:rsidRPr="008F0931">
        <w:rPr>
          <w:rFonts w:ascii="Arial" w:eastAsia="Times New Roman" w:hAnsi="Arial" w:cs="Arial"/>
          <w:kern w:val="0"/>
          <w:lang w:eastAsia="en-GB"/>
          <w14:ligatures w14:val="none"/>
        </w:rPr>
        <w:t>all</w:t>
      </w:r>
      <w:r w:rsidRPr="00684E87">
        <w:rPr>
          <w:rFonts w:ascii="Arial" w:eastAsia="Times New Roman" w:hAnsi="Arial" w:cs="Arial"/>
          <w:kern w:val="0"/>
          <w:lang w:eastAsia="en-GB"/>
          <w14:ligatures w14:val="none"/>
        </w:rPr>
        <w:t xml:space="preserve"> the above, </w:t>
      </w:r>
      <w:r w:rsidRPr="00684E87">
        <w:rPr>
          <w:rFonts w:ascii="Arial" w:eastAsia="Times New Roman" w:hAnsi="Arial" w:cs="Arial"/>
          <w:b/>
          <w:bCs/>
          <w:kern w:val="0"/>
          <w:lang w:eastAsia="en-GB"/>
          <w14:ligatures w14:val="none"/>
        </w:rPr>
        <w:t>partnerships/JVs and operator-led project developments</w:t>
      </w:r>
      <w:r w:rsidRPr="00684E87">
        <w:rPr>
          <w:rFonts w:ascii="Arial" w:eastAsia="Times New Roman" w:hAnsi="Arial" w:cs="Arial"/>
          <w:kern w:val="0"/>
          <w:lang w:eastAsia="en-GB"/>
          <w14:ligatures w14:val="none"/>
        </w:rPr>
        <w:t xml:space="preserve"> are arguably dominant for upstream entry into resource-rich jurisdictions, because host governments commonly require local partnerships, and the technical/commercial risks of large projects favour shared ownership (Exxon Mobil Corporation, 2024; Exxon Mobil Corporation, 2025).</w:t>
      </w:r>
    </w:p>
    <w:p w14:paraId="0E28D979" w14:textId="77777777" w:rsidR="00684E87" w:rsidRPr="00684E87" w:rsidRDefault="00684E87"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684E87">
        <w:rPr>
          <w:rFonts w:ascii="Arial" w:eastAsia="Times New Roman" w:hAnsi="Arial" w:cs="Arial"/>
          <w:b/>
          <w:bCs/>
          <w:kern w:val="0"/>
          <w:lang w:eastAsia="en-GB"/>
          <w14:ligatures w14:val="none"/>
        </w:rPr>
        <w:t>d. Key benefits from international operations</w:t>
      </w:r>
    </w:p>
    <w:p w14:paraId="502B9C92" w14:textId="62450FFF" w:rsidR="00684E87" w:rsidRPr="00684E87"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Access to large resources and reserve replacement</w:t>
      </w:r>
      <w:r w:rsidRPr="00684E87">
        <w:rPr>
          <w:rFonts w:ascii="Arial" w:eastAsia="Times New Roman" w:hAnsi="Arial" w:cs="Arial"/>
          <w:kern w:val="0"/>
          <w:lang w:eastAsia="en-GB"/>
          <w14:ligatures w14:val="none"/>
        </w:rPr>
        <w:t xml:space="preserve"> </w:t>
      </w:r>
      <w:r w:rsidR="008F0931" w:rsidRPr="008F0931">
        <w:rPr>
          <w:rFonts w:ascii="Arial" w:eastAsia="Times New Roman" w:hAnsi="Arial" w:cs="Arial"/>
          <w:kern w:val="0"/>
          <w:lang w:eastAsia="en-GB"/>
          <w14:ligatures w14:val="none"/>
        </w:rPr>
        <w:t>international</w:t>
      </w:r>
      <w:r w:rsidRPr="00684E87">
        <w:rPr>
          <w:rFonts w:ascii="Arial" w:eastAsia="Times New Roman" w:hAnsi="Arial" w:cs="Arial"/>
          <w:kern w:val="0"/>
          <w:lang w:eastAsia="en-GB"/>
          <w14:ligatures w14:val="none"/>
        </w:rPr>
        <w:t xml:space="preserve"> exploration has unlocked major fields (e.g., Guyana) that materially augment ExxonMobil’s reserve base and long-term production profile, supporting sustained cash flows and shareholder returns (Exxon Mobil Corporation, 2025).</w:t>
      </w:r>
    </w:p>
    <w:p w14:paraId="34226DEC" w14:textId="0B20CB3D" w:rsidR="00684E87" w:rsidRPr="00684E87"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 xml:space="preserve">Diversified revenue streams and market </w:t>
      </w:r>
      <w:r w:rsidR="008F0931" w:rsidRPr="008F0931">
        <w:rPr>
          <w:rFonts w:ascii="Arial" w:eastAsia="Times New Roman" w:hAnsi="Arial" w:cs="Arial"/>
          <w:b/>
          <w:bCs/>
          <w:kern w:val="0"/>
          <w:lang w:eastAsia="en-GB"/>
          <w14:ligatures w14:val="none"/>
        </w:rPr>
        <w:t>exposure</w:t>
      </w:r>
      <w:r w:rsidR="008F0931" w:rsidRPr="008F0931">
        <w:rPr>
          <w:rFonts w:ascii="Arial" w:eastAsia="Times New Roman" w:hAnsi="Arial" w:cs="Arial"/>
          <w:kern w:val="0"/>
          <w:lang w:eastAsia="en-GB"/>
          <w14:ligatures w14:val="none"/>
        </w:rPr>
        <w:t xml:space="preserve"> geographic</w:t>
      </w:r>
      <w:r w:rsidRPr="00684E87">
        <w:rPr>
          <w:rFonts w:ascii="Arial" w:eastAsia="Times New Roman" w:hAnsi="Arial" w:cs="Arial"/>
          <w:kern w:val="0"/>
          <w:lang w:eastAsia="en-GB"/>
          <w14:ligatures w14:val="none"/>
        </w:rPr>
        <w:t xml:space="preserve"> spread across upstream, LNG, refining and chemicals reduces dependence on any single market demand cycle or regulatory regime, improving earnings stability and portfolio resilience (Exxon Mobil Corporation, 2024).</w:t>
      </w:r>
    </w:p>
    <w:p w14:paraId="27DFCB41" w14:textId="411AC8BF" w:rsidR="00684E87" w:rsidRPr="00684E87"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 xml:space="preserve">Economies of scale and technological </w:t>
      </w:r>
      <w:r w:rsidR="008F0931" w:rsidRPr="008F0931">
        <w:rPr>
          <w:rFonts w:ascii="Arial" w:eastAsia="Times New Roman" w:hAnsi="Arial" w:cs="Arial"/>
          <w:b/>
          <w:bCs/>
          <w:kern w:val="0"/>
          <w:lang w:eastAsia="en-GB"/>
          <w14:ligatures w14:val="none"/>
        </w:rPr>
        <w:t>leverage</w:t>
      </w:r>
      <w:r w:rsidR="008F0931" w:rsidRPr="008F0931">
        <w:rPr>
          <w:rFonts w:ascii="Arial" w:eastAsia="Times New Roman" w:hAnsi="Arial" w:cs="Arial"/>
          <w:kern w:val="0"/>
          <w:lang w:eastAsia="en-GB"/>
          <w14:ligatures w14:val="none"/>
        </w:rPr>
        <w:t xml:space="preserve"> global</w:t>
      </w:r>
      <w:r w:rsidRPr="00684E87">
        <w:rPr>
          <w:rFonts w:ascii="Arial" w:eastAsia="Times New Roman" w:hAnsi="Arial" w:cs="Arial"/>
          <w:kern w:val="0"/>
          <w:lang w:eastAsia="en-GB"/>
          <w14:ligatures w14:val="none"/>
        </w:rPr>
        <w:t xml:space="preserve"> scale enables high R&amp;D investment and standardized practices that lower unit costs. ExxonMobil deploys proprietary engineering, procurement and construction (EPC) approaches across projects, capturing cost efficiencies and accelerating project delivery (Exxon Mobil Corporation, 2024).</w:t>
      </w:r>
    </w:p>
    <w:p w14:paraId="4F855241" w14:textId="1B7936F0" w:rsidR="00684E87" w:rsidRPr="00684E87"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Value capture through vertical integration</w:t>
      </w:r>
      <w:r w:rsidRPr="00684E87">
        <w:rPr>
          <w:rFonts w:ascii="Arial" w:eastAsia="Times New Roman" w:hAnsi="Arial" w:cs="Arial"/>
          <w:kern w:val="0"/>
          <w:lang w:eastAsia="en-GB"/>
          <w14:ligatures w14:val="none"/>
        </w:rPr>
        <w:t xml:space="preserve"> </w:t>
      </w:r>
      <w:r w:rsidR="008F0931" w:rsidRPr="008F0931">
        <w:rPr>
          <w:rFonts w:ascii="Arial" w:eastAsia="Times New Roman" w:hAnsi="Arial" w:cs="Arial"/>
          <w:kern w:val="0"/>
          <w:lang w:eastAsia="en-GB"/>
          <w14:ligatures w14:val="none"/>
        </w:rPr>
        <w:t>c</w:t>
      </w:r>
      <w:r w:rsidRPr="00684E87">
        <w:rPr>
          <w:rFonts w:ascii="Arial" w:eastAsia="Times New Roman" w:hAnsi="Arial" w:cs="Arial"/>
          <w:kern w:val="0"/>
          <w:lang w:eastAsia="en-GB"/>
          <w14:ligatures w14:val="none"/>
        </w:rPr>
        <w:t>ontrolling multiple stages of the value chain</w:t>
      </w:r>
      <w:r w:rsidR="00212123">
        <w:rPr>
          <w:rFonts w:ascii="Arial" w:eastAsia="Times New Roman" w:hAnsi="Arial" w:cs="Arial"/>
          <w:kern w:val="0"/>
          <w:lang w:eastAsia="en-GB"/>
          <w14:ligatures w14:val="none"/>
        </w:rPr>
        <w:t xml:space="preserve"> </w:t>
      </w:r>
      <w:r w:rsidRPr="00684E87">
        <w:rPr>
          <w:rFonts w:ascii="Arial" w:eastAsia="Times New Roman" w:hAnsi="Arial" w:cs="Arial"/>
          <w:kern w:val="0"/>
          <w:lang w:eastAsia="en-GB"/>
          <w14:ligatures w14:val="none"/>
        </w:rPr>
        <w:t>from production to refining and marketing</w:t>
      </w:r>
      <w:r w:rsidR="008F0931" w:rsidRPr="008F0931">
        <w:rPr>
          <w:rFonts w:ascii="Arial" w:eastAsia="Times New Roman" w:hAnsi="Arial" w:cs="Arial"/>
          <w:kern w:val="0"/>
          <w:lang w:eastAsia="en-GB"/>
          <w14:ligatures w14:val="none"/>
        </w:rPr>
        <w:t xml:space="preserve"> </w:t>
      </w:r>
      <w:r w:rsidRPr="00684E87">
        <w:rPr>
          <w:rFonts w:ascii="Arial" w:eastAsia="Times New Roman" w:hAnsi="Arial" w:cs="Arial"/>
          <w:kern w:val="0"/>
          <w:lang w:eastAsia="en-GB"/>
          <w14:ligatures w14:val="none"/>
        </w:rPr>
        <w:t xml:space="preserve">allows ExxonMobil to capture margins </w:t>
      </w:r>
      <w:r w:rsidRPr="00684E87">
        <w:rPr>
          <w:rFonts w:ascii="Arial" w:eastAsia="Times New Roman" w:hAnsi="Arial" w:cs="Arial"/>
          <w:kern w:val="0"/>
          <w:lang w:eastAsia="en-GB"/>
          <w14:ligatures w14:val="none"/>
        </w:rPr>
        <w:lastRenderedPageBreak/>
        <w:t>across crude conversion and to arbitrage regional differences in product demand (Exxon Mobil Corporation, 2024).</w:t>
      </w:r>
    </w:p>
    <w:p w14:paraId="48B1790E" w14:textId="51C87517" w:rsidR="00684E87" w:rsidRPr="00684E87"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 xml:space="preserve">Strategic positioning for energy </w:t>
      </w:r>
      <w:r w:rsidR="008F0931" w:rsidRPr="008F0931">
        <w:rPr>
          <w:rFonts w:ascii="Arial" w:eastAsia="Times New Roman" w:hAnsi="Arial" w:cs="Arial"/>
          <w:b/>
          <w:bCs/>
          <w:kern w:val="0"/>
          <w:lang w:eastAsia="en-GB"/>
          <w14:ligatures w14:val="none"/>
        </w:rPr>
        <w:t>transitions</w:t>
      </w:r>
      <w:r w:rsidR="008F0931" w:rsidRPr="008F0931">
        <w:rPr>
          <w:rFonts w:ascii="Arial" w:eastAsia="Times New Roman" w:hAnsi="Arial" w:cs="Arial"/>
          <w:kern w:val="0"/>
          <w:lang w:eastAsia="en-GB"/>
          <w14:ligatures w14:val="none"/>
        </w:rPr>
        <w:t xml:space="preserve"> international</w:t>
      </w:r>
      <w:r w:rsidRPr="00684E87">
        <w:rPr>
          <w:rFonts w:ascii="Arial" w:eastAsia="Times New Roman" w:hAnsi="Arial" w:cs="Arial"/>
          <w:kern w:val="0"/>
          <w:lang w:eastAsia="en-GB"/>
          <w14:ligatures w14:val="none"/>
        </w:rPr>
        <w:t xml:space="preserve"> presence allows the company to pursue growth in global LNG markets, petrochemicals, and selected lower-emission technologies where regional policy support, demand growth, or favourable economics exist (Exxon Mobil Corporation, 2025).</w:t>
      </w:r>
    </w:p>
    <w:p w14:paraId="055854ED" w14:textId="250EA371" w:rsidR="00C766C6" w:rsidRPr="008F0931" w:rsidRDefault="00684E87" w:rsidP="00394A78">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684E87">
        <w:rPr>
          <w:rFonts w:ascii="Arial" w:eastAsia="Times New Roman" w:hAnsi="Arial" w:cs="Arial"/>
          <w:b/>
          <w:bCs/>
          <w:kern w:val="0"/>
          <w:lang w:eastAsia="en-GB"/>
          <w14:ligatures w14:val="none"/>
        </w:rPr>
        <w:t>Risk-sharing and local legitimacy through partnerships</w:t>
      </w:r>
      <w:r w:rsidRPr="00684E87">
        <w:rPr>
          <w:rFonts w:ascii="Arial" w:eastAsia="Times New Roman" w:hAnsi="Arial" w:cs="Arial"/>
          <w:kern w:val="0"/>
          <w:lang w:eastAsia="en-GB"/>
          <w14:ligatures w14:val="none"/>
        </w:rPr>
        <w:t xml:space="preserve"> JVs and local partnerships spread sovereign and execution risks, provide local knowledge and create political goodwill</w:t>
      </w:r>
      <w:r w:rsidR="008F0931" w:rsidRPr="008F0931">
        <w:rPr>
          <w:rFonts w:ascii="Arial" w:eastAsia="Times New Roman" w:hAnsi="Arial" w:cs="Arial"/>
          <w:kern w:val="0"/>
          <w:lang w:eastAsia="en-GB"/>
          <w14:ligatures w14:val="none"/>
        </w:rPr>
        <w:t xml:space="preserve"> </w:t>
      </w:r>
      <w:r w:rsidRPr="00684E87">
        <w:rPr>
          <w:rFonts w:ascii="Arial" w:eastAsia="Times New Roman" w:hAnsi="Arial" w:cs="Arial"/>
          <w:kern w:val="0"/>
          <w:lang w:eastAsia="en-GB"/>
          <w14:ligatures w14:val="none"/>
        </w:rPr>
        <w:t>critical in countries where local content requirements and stakeholder engagement determine project viability (Exxon Mobil Corporation, 2024).</w:t>
      </w:r>
    </w:p>
    <w:p w14:paraId="4215AA70" w14:textId="77777777" w:rsidR="00C00863" w:rsidRDefault="00684E87" w:rsidP="00C00863">
      <w:pPr>
        <w:spacing w:before="100" w:beforeAutospacing="1" w:after="100" w:afterAutospacing="1" w:line="360" w:lineRule="auto"/>
        <w:ind w:left="360"/>
        <w:jc w:val="both"/>
        <w:rPr>
          <w:rFonts w:ascii="Arial" w:eastAsia="Times New Roman" w:hAnsi="Arial" w:cs="Arial"/>
          <w:kern w:val="0"/>
          <w:lang w:eastAsia="en-GB"/>
          <w14:ligatures w14:val="none"/>
        </w:rPr>
      </w:pPr>
      <w:r w:rsidRPr="00684E87">
        <w:rPr>
          <w:rFonts w:ascii="Arial" w:eastAsia="Times New Roman" w:hAnsi="Arial" w:cs="Arial"/>
          <w:kern w:val="0"/>
          <w:lang w:eastAsia="en-GB"/>
          <w14:ligatures w14:val="none"/>
        </w:rPr>
        <w:t xml:space="preserve"> ExxonMobil’s status as an MNC/TNC reflects its geographically diversified assets, vertically integrated value chain and centralized global management. Its choice of entry modes</w:t>
      </w:r>
      <w:r w:rsidR="008F0931" w:rsidRPr="008F0931">
        <w:rPr>
          <w:rFonts w:ascii="Arial" w:eastAsia="Times New Roman" w:hAnsi="Arial" w:cs="Arial"/>
          <w:kern w:val="0"/>
          <w:lang w:eastAsia="en-GB"/>
          <w14:ligatures w14:val="none"/>
        </w:rPr>
        <w:t xml:space="preserve"> </w:t>
      </w:r>
      <w:r w:rsidRPr="00684E87">
        <w:rPr>
          <w:rFonts w:ascii="Arial" w:eastAsia="Times New Roman" w:hAnsi="Arial" w:cs="Arial"/>
          <w:kern w:val="0"/>
          <w:lang w:eastAsia="en-GB"/>
          <w14:ligatures w14:val="none"/>
        </w:rPr>
        <w:t>predominantly partnerships/JVs and operator greenfield development</w:t>
      </w:r>
      <w:r w:rsidR="008F0931" w:rsidRPr="008F0931">
        <w:rPr>
          <w:rFonts w:ascii="Arial" w:eastAsia="Times New Roman" w:hAnsi="Arial" w:cs="Arial"/>
          <w:kern w:val="0"/>
          <w:lang w:eastAsia="en-GB"/>
          <w14:ligatures w14:val="none"/>
        </w:rPr>
        <w:t xml:space="preserve"> </w:t>
      </w:r>
      <w:r w:rsidRPr="00684E87">
        <w:rPr>
          <w:rFonts w:ascii="Arial" w:eastAsia="Times New Roman" w:hAnsi="Arial" w:cs="Arial"/>
          <w:kern w:val="0"/>
          <w:lang w:eastAsia="en-GB"/>
          <w14:ligatures w14:val="none"/>
        </w:rPr>
        <w:t xml:space="preserve">reflects the technical demands and political realities of global hydrocarbon investment. The international model delivers resource access, diversification, scale and market positioning, but it also requires careful management of political, regulatory and social risks as the firm </w:t>
      </w:r>
      <w:r w:rsidRPr="008F0931">
        <w:rPr>
          <w:rFonts w:ascii="Arial" w:eastAsia="Times New Roman" w:hAnsi="Arial" w:cs="Arial"/>
          <w:kern w:val="0"/>
          <w:lang w:eastAsia="en-GB"/>
          <w14:ligatures w14:val="none"/>
        </w:rPr>
        <w:t>balance’s</w:t>
      </w:r>
      <w:r w:rsidRPr="00684E87">
        <w:rPr>
          <w:rFonts w:ascii="Arial" w:eastAsia="Times New Roman" w:hAnsi="Arial" w:cs="Arial"/>
          <w:kern w:val="0"/>
          <w:lang w:eastAsia="en-GB"/>
          <w14:ligatures w14:val="none"/>
        </w:rPr>
        <w:t xml:space="preserve"> legacy hydrocarbons with evolving lower-carbon opportunities (Exxon Mobil Corporation, 2024; Exxon Mobil Corporation, 2025; Reuters, 2024)</w:t>
      </w:r>
    </w:p>
    <w:p w14:paraId="7FE0DDC7" w14:textId="1FACC531" w:rsidR="00C766C6" w:rsidRPr="00C766C6" w:rsidRDefault="00C766C6" w:rsidP="00C00863">
      <w:pPr>
        <w:spacing w:before="100" w:beforeAutospacing="1" w:after="100" w:afterAutospacing="1" w:line="360" w:lineRule="auto"/>
        <w:ind w:left="360"/>
        <w:jc w:val="both"/>
        <w:rPr>
          <w:rFonts w:ascii="Arial" w:eastAsia="Times New Roman" w:hAnsi="Arial" w:cs="Arial"/>
          <w:kern w:val="0"/>
          <w:lang w:eastAsia="en-GB"/>
          <w14:ligatures w14:val="none"/>
        </w:rPr>
      </w:pPr>
      <w:r w:rsidRPr="00C766C6">
        <w:rPr>
          <w:rFonts w:ascii="Arial" w:eastAsia="Times New Roman" w:hAnsi="Arial" w:cs="Arial"/>
          <w:b/>
          <w:bCs/>
          <w:kern w:val="36"/>
          <w:lang w:eastAsia="en-GB"/>
          <w14:ligatures w14:val="none"/>
        </w:rPr>
        <w:t>Application of the OLI Framework to ExxonMobil’s International Market Entry</w:t>
      </w:r>
    </w:p>
    <w:p w14:paraId="70A90CA8"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ExxonMobil, one of the largest integrated oil and gas companies globally, operates in over 50 countries and exemplifies the strategic decision-making processes associated with multinational enterprises (MNEs). A critical tool to analyse such internationalisation is Dunning’s OLI framework, which identifies Ownership (O), Location (L), and Internalisation (I) advantages as determinants of foreign direct investment (FDI) and market entry strategies (Dunning, 2000). Applying this framework to ExxonMobil’s entry into emerging markets, such as Guyana, illustrates how the company leverages its resources, adapts to local conditions, and chooses suitable entry modes.</w:t>
      </w:r>
    </w:p>
    <w:p w14:paraId="2057827E"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Ownership Advantages</w:t>
      </w:r>
    </w:p>
    <w:p w14:paraId="5835E02F"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 xml:space="preserve">Ownership advantages refer to firm-specific assets that provide a competitive edge in foreign markets. For ExxonMobil, these include advanced technological capabilities in exploration, drilling, and LNG production, as well as proprietary management practices, economies of scale, and a strong brand reputation (Exxon Mobil Corporation, 2025). These assets enable </w:t>
      </w:r>
      <w:r w:rsidRPr="00C766C6">
        <w:rPr>
          <w:rFonts w:ascii="Arial" w:eastAsia="Times New Roman" w:hAnsi="Arial" w:cs="Arial"/>
          <w:kern w:val="0"/>
          <w:lang w:eastAsia="en-GB"/>
          <w14:ligatures w14:val="none"/>
        </w:rPr>
        <w:lastRenderedPageBreak/>
        <w:t>the company to extract and process hydrocarbons more efficiently than local competitors, mitigating risks associated with offshore and deepwater projects.</w:t>
      </w:r>
    </w:p>
    <w:p w14:paraId="25E63EB2"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For example, ExxonMobil’s deepwater operations in the Stabroek Block offshore Guyana rely on proprietary seismic imaging, enhanced oil recovery techniques, and state-of-the-art floating production storage and offloading (FPSO) units. Such technology constitutes a significant ownership advantage, justifying FDI rather than licensing or joint ventures as the entry mode. The company retains control over technical operations to protect its intellectual property and maximise profit, illustrating how ownership-specific advantages shape the choice of entry (Dunning, 2000).</w:t>
      </w:r>
    </w:p>
    <w:p w14:paraId="0D00016B"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Location Advantages</w:t>
      </w:r>
    </w:p>
    <w:p w14:paraId="544315AD"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Location advantages relate to country-specific factors that attract foreign investment, including natural resources, economic conditions, political stability, market potential, and regulatory frameworks. Emerging markets such as Guyana present strong location advantages for ExxonMobil due to significant untapped hydrocarbon reserves, relatively favourable fiscal terms, and proximity to major export markets in North and South America (Reuters, 2024).</w:t>
      </w:r>
    </w:p>
    <w:p w14:paraId="2CA36358"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Moreover, location-specific factors such as infrastructure, local workforce availability, and the legal framework for resource exploitation influence the operational feasibility of foreign investment. ExxonMobil conducts extensive due diligence to assess political and economic risks, environmental standards, and local content requirements, ensuring the location aligns with its strategic objectives. The combination of rich resource endowments and supportive policies makes Guyana an attractive site for FDI, supporting the decision to invest directly rather than pursuing alternative entry modes such as exporting or contract-based agreements (Hill et al., 2014).</w:t>
      </w:r>
    </w:p>
    <w:p w14:paraId="1326E41D"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Internalisation Advantages</w:t>
      </w:r>
    </w:p>
    <w:p w14:paraId="5609E867"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Internalisation advantages occur when a firm prefers to retain ownership and control over its resources and operations rather than outsourcing or licensing them to a third party. In the oil and gas sector, internalisation is crucial due to high capital intensity, technological sensitivity, and the need for operational coordination. ExxonMobil’s internalisation strategy allows it to protect proprietary technology, maintain safety and environmental standards, and optimise long-term profitability (Exxon Mobil Corporation, 2025).</w:t>
      </w:r>
    </w:p>
    <w:p w14:paraId="55259647"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lastRenderedPageBreak/>
        <w:t>For instance, in Guyana, ExxonMobil entered the market through production-sharing agreements (PSAs) with the government while directly managing exploration, drilling, and production operations. This internalisation ensures that sensitive technical processes and intellectual property remain under company control. Furthermore, internalisation reduces risks associated with joint ventures or licensing arrangements, such as opportunistic behaviour by partners or local political interference, which can be significant in emerging markets (Dunning, 2000).</w:t>
      </w:r>
    </w:p>
    <w:p w14:paraId="1E02F9FC"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OLI Factors and Market Entry Mode</w:t>
      </w:r>
    </w:p>
    <w:p w14:paraId="733D0A5E" w14:textId="45EAEB75"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 xml:space="preserve">By integrating the three OLI factors, it becomes evident why ExxonMobil prefers </w:t>
      </w:r>
      <w:r w:rsidRPr="008F0931">
        <w:rPr>
          <w:rFonts w:ascii="Arial" w:eastAsia="Times New Roman" w:hAnsi="Arial" w:cs="Arial"/>
          <w:kern w:val="0"/>
          <w:lang w:eastAsia="en-GB"/>
          <w14:ligatures w14:val="none"/>
        </w:rPr>
        <w:t>wholly owned</w:t>
      </w:r>
      <w:r w:rsidRPr="00C766C6">
        <w:rPr>
          <w:rFonts w:ascii="Arial" w:eastAsia="Times New Roman" w:hAnsi="Arial" w:cs="Arial"/>
          <w:kern w:val="0"/>
          <w:lang w:eastAsia="en-GB"/>
          <w14:ligatures w14:val="none"/>
        </w:rPr>
        <w:t xml:space="preserve"> or controlled FDI for market entry in emerging economies. Ownership advantages in proprietary technology, financial capacity, and brand reputation provide the capability to operate in high-risk environments. Location advantages, such as resource availability and favourable regulatory frameworks, make investment attractive. Internalisation advantages justify the retention of control over operations to protect intellectual property, maintain quality standards, and manage operational complexity.</w:t>
      </w:r>
    </w:p>
    <w:p w14:paraId="07C39F7A"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In Guyana, these factors converge to support a production-sharing agreement with direct operational management, which combines local partnership requirements with internalised control of core activities. The entry mode illustrates the practical application of the OLI framework: technology-intensive and capital-intensive firms like ExxonMobil benefit from FDI in locations where resource availability is high, and internalisation reduces risks and enhances profitability (Hill et al., 2014; Reuters, 2024).</w:t>
      </w:r>
    </w:p>
    <w:p w14:paraId="76C9D160"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Challenges in Applying OLI in Emerging Markets</w:t>
      </w:r>
    </w:p>
    <w:p w14:paraId="377249B6"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Despite its explanatory power, the OLI framework does not fully mitigate the risks associated with emerging markets. Political instability, fluctuating fiscal terms, environmental regulations, and social licence issues can affect returns on investment. In Guyana, ExxonMobil must navigate local content requirements, environmental scrutiny, and potential social unrest, which may increase operational costs or cause delays (Exxon Mobil Corporation, 2025). Moreover, currency fluctuations and limited local infrastructure can impact project economics, highlighting the need to complement OLI analysis with comprehensive risk assessment and stakeholder engagement strategies (Financial Times, 2025).</w:t>
      </w:r>
    </w:p>
    <w:p w14:paraId="36828C15" w14:textId="77777777" w:rsidR="00C766C6" w:rsidRPr="00C766C6" w:rsidRDefault="00C766C6"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766C6">
        <w:rPr>
          <w:rFonts w:ascii="Arial" w:eastAsia="Times New Roman" w:hAnsi="Arial" w:cs="Arial"/>
          <w:b/>
          <w:bCs/>
          <w:kern w:val="0"/>
          <w:lang w:eastAsia="en-GB"/>
          <w14:ligatures w14:val="none"/>
        </w:rPr>
        <w:t>Strategic Implications</w:t>
      </w:r>
    </w:p>
    <w:p w14:paraId="4944C79D"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lastRenderedPageBreak/>
        <w:t>Understanding OLI factors enables ExxonMobil to select appropriate entry modes and manage investment risks in emerging markets. The framework guides decision-making by clarifying where proprietary assets should be deployed, which locations offer optimal returns, and when internalisation is necessary to protect strategic advantages. For MNEs operating in resource-intensive industries, aligning ownership, location, and internalisation considerations ensures that internationalisation strategies maximise profitability while managing regulatory, operational, and geopolitical challenges (Dunning, 2000).</w:t>
      </w:r>
    </w:p>
    <w:p w14:paraId="6EAA9E89" w14:textId="77777777" w:rsidR="00C766C6" w:rsidRPr="00C766C6" w:rsidRDefault="00C766C6" w:rsidP="00394A78">
      <w:pPr>
        <w:spacing w:before="100" w:beforeAutospacing="1" w:after="100" w:afterAutospacing="1" w:line="360" w:lineRule="auto"/>
        <w:jc w:val="both"/>
        <w:rPr>
          <w:rFonts w:ascii="Arial" w:eastAsia="Times New Roman" w:hAnsi="Arial" w:cs="Arial"/>
          <w:kern w:val="0"/>
          <w:lang w:eastAsia="en-GB"/>
          <w14:ligatures w14:val="none"/>
        </w:rPr>
      </w:pPr>
      <w:r w:rsidRPr="00C766C6">
        <w:rPr>
          <w:rFonts w:ascii="Arial" w:eastAsia="Times New Roman" w:hAnsi="Arial" w:cs="Arial"/>
          <w:kern w:val="0"/>
          <w:lang w:eastAsia="en-GB"/>
          <w14:ligatures w14:val="none"/>
        </w:rPr>
        <w:t>In conclusion, the OLI framework provides a robust lens to understand ExxonMobil’s international expansion, particularly into emerging economies like Guyana. Ownership advantages in technology and capital, location advantages in natural resources and policy incentives, and internalisation advantages in operational control collectively determine the selection of market entry mode. While OLI analysis identifies rational entry strategies, firms must also address emerging market risks and contextual challenges to realise the full potential of international operations.</w:t>
      </w:r>
    </w:p>
    <w:p w14:paraId="3BA1A5B3" w14:textId="77777777" w:rsidR="002F65F2" w:rsidRPr="002F65F2" w:rsidRDefault="002F65F2" w:rsidP="00394A78">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2F65F2">
        <w:rPr>
          <w:rFonts w:ascii="Arial" w:eastAsia="Times New Roman" w:hAnsi="Arial" w:cs="Arial"/>
          <w:b/>
          <w:bCs/>
          <w:kern w:val="36"/>
          <w:lang w:eastAsia="en-GB"/>
          <w14:ligatures w14:val="none"/>
        </w:rPr>
        <w:t>Cultural Differences and Their Impact on ExxonMobil’s Market Entry and Success in Emerging Economies</w:t>
      </w:r>
    </w:p>
    <w:p w14:paraId="435E8896"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ExxonMobil, headquartered in the United States, is a leading multinational in the oil and gas sector with operations across multiple continents. When entering emerging economies, cultural differences between the home country and the host nation can significantly influence market entry strategies, operational efficiency, and long-term success. In the case of ExxonMobil’s operations in Guyana, understanding and addressing cultural dimensions is critical for establishing effective partnerships, managing human resources, and building a positive corporate reputation.</w:t>
      </w:r>
    </w:p>
    <w:p w14:paraId="1CAAC40D"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Understanding Cultural Differences</w:t>
      </w:r>
    </w:p>
    <w:p w14:paraId="5E2FED3B"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Cultural differences can be analysed using frameworks such as Hofstede’s cultural dimensions, which examine aspects such as power distance, individualism versus collectivism, uncertainty avoidance, masculinity versus femininity, long-term orientation, and indulgence (Hofstede, 2011). The United States exhibits low power distance, high individualism, moderate uncertainty avoidance, and a results-oriented culture. In contrast, Guyana displays higher power distance, moderate collectivism, and significant community-oriented values, shaped by historical, social, and economic factors (CIA, 2024). These contrasts highlight potential challenges for ExxonMobil in aligning organisational practices with local cultural expectations.</w:t>
      </w:r>
    </w:p>
    <w:p w14:paraId="6FACC759"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lastRenderedPageBreak/>
        <w:t>Impact on Market Entry Strategy</w:t>
      </w:r>
    </w:p>
    <w:p w14:paraId="52689625"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Cultural differences can influence the choice of market entry mode. In high power-distance and collectivist societies such as Guyana, building relationships with government officials, local communities, and national oil companies is crucial. ExxonMobil has relied on production-sharing agreements (PSAs) and local partnerships, which allow the company to align with hierarchical decision-making structures and demonstrate respect for community and governmental authority (Exxon Mobil Corporation, 2025). In contrast, standard U.S.-based corporate approaches that emphasise individual initiative and rapid decision-making may need adaptation to ensure effective negotiation and relationship management in Guyana.</w:t>
      </w:r>
    </w:p>
    <w:p w14:paraId="1154EA2D"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Communication styles also affect market entry strategy. U.S. corporate culture often values direct communication, efficiency, and contractual formalism. In Guyana, indirect communication, relationship-building, and consensus-seeking are culturally preferred (Hofstede, 2011). Misalignment in communication styles could lead to misunderstandings during negotiations, delays in project approvals, or strained relationships with key stakeholders. Therefore, ExxonMobil must integrate culturally sensitive communication strategies, invest in local liaison teams, and employ culturally aware negotiation tactics to enhance project acceptance and regulatory compliance.</w:t>
      </w:r>
    </w:p>
    <w:p w14:paraId="01A886EF"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Human Resource Management Challenges</w:t>
      </w:r>
    </w:p>
    <w:p w14:paraId="394D3659"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Cultural differences also influence human resource practices. U.S. companies often promote merit-based advancement, individual accountability, and performance-driven rewards. In Guyana, employees may place greater emphasis on social cohesion, hierarchical respect, and collective achievement. ExxonMobil must adapt training, leadership development, and performance appraisal systems to reflect local cultural norms while maintaining global corporate standards (Exxon Mobil Corporation, 2025). Failure to recognise these differences could result in reduced employee motivation, higher turnover, and difficulties in knowledge transfer between expatriate and local staff.</w:t>
      </w:r>
    </w:p>
    <w:p w14:paraId="622ABEA9"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Cross-cultural leadership is particularly critical in technical operations such as offshore exploration and production. Expatriate managers must understand local values, norms, and expectations to foster trust and collaboration. Integrating local cultural insights into leadership practices can enhance team cohesion, improve safety compliance, and promote operational efficiency (Hofstede, 2011).</w:t>
      </w:r>
    </w:p>
    <w:p w14:paraId="1CE145E5"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Corporate Social Responsibility and Community Engagement</w:t>
      </w:r>
    </w:p>
    <w:p w14:paraId="09431645"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lastRenderedPageBreak/>
        <w:t>Cultural factors also shape expectations around corporate social responsibility (CSR). In emerging economies, communities often expect foreign investors to contribute tangibly to local development, such as through employment, infrastructure investment, and social programmes. U.S.-based CSR approaches may focus on compliance, environmental stewardship, and global standards. However, in Guyana, ExxonMobil’s success depends on visible contributions to local education, healthcare, and infrastructure projects to secure social licence to operate (Exxon Mobil Corporation, 2025). Ignoring culturally specific expectations for community engagement can generate resistance, protests, or reputational damage.</w:t>
      </w:r>
    </w:p>
    <w:p w14:paraId="6DBA11C2"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Cultural Impact on Risk Management</w:t>
      </w:r>
    </w:p>
    <w:p w14:paraId="16481E44"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Understanding cultural differences is also essential for effective risk management. In societies with high power distance, formal approvals and hierarchical decision-making can slow down operational responses. If ExxonMobil applies U.S.-centric assumptions of swift, decentralised decision-making, delays and conflicts may arise. Conversely, respecting hierarchical and collective decision-making processes can enhance trust, reduce political risk, and improve the predictability of project execution (CIA, 2024).</w:t>
      </w:r>
    </w:p>
    <w:p w14:paraId="67BDC1A3"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Strategic Adaptation for Success</w:t>
      </w:r>
    </w:p>
    <w:p w14:paraId="75BA671F"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To maximise success in emerging economies, ExxonMobil must adopt a culturally adaptive strategy that integrates the following:</w:t>
      </w:r>
    </w:p>
    <w:p w14:paraId="0B131975" w14:textId="77777777" w:rsidR="002F65F2" w:rsidRPr="002F65F2" w:rsidRDefault="002F65F2" w:rsidP="00394A7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Localized Leadership and Governance:</w:t>
      </w:r>
      <w:r w:rsidRPr="002F65F2">
        <w:rPr>
          <w:rFonts w:ascii="Arial" w:eastAsia="Times New Roman" w:hAnsi="Arial" w:cs="Arial"/>
          <w:kern w:val="0"/>
          <w:lang w:eastAsia="en-GB"/>
          <w14:ligatures w14:val="none"/>
        </w:rPr>
        <w:t xml:space="preserve"> Assign local managers in key positions while maintaining oversight from headquarters to balance corporate standards with cultural alignment.</w:t>
      </w:r>
    </w:p>
    <w:p w14:paraId="76C46775" w14:textId="77777777" w:rsidR="002F65F2" w:rsidRPr="002F65F2" w:rsidRDefault="002F65F2" w:rsidP="00394A7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Culturally Sensitive Communication:</w:t>
      </w:r>
      <w:r w:rsidRPr="002F65F2">
        <w:rPr>
          <w:rFonts w:ascii="Arial" w:eastAsia="Times New Roman" w:hAnsi="Arial" w:cs="Arial"/>
          <w:kern w:val="0"/>
          <w:lang w:eastAsia="en-GB"/>
          <w14:ligatures w14:val="none"/>
        </w:rPr>
        <w:t xml:space="preserve"> Train expatriate staff in local norms, emphasising indirect communication, patience, and respect for hierarchy.</w:t>
      </w:r>
    </w:p>
    <w:p w14:paraId="67C1D80E" w14:textId="77777777" w:rsidR="002F65F2" w:rsidRPr="002F65F2" w:rsidRDefault="002F65F2" w:rsidP="00394A7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Community-Centric CSR Initiatives:</w:t>
      </w:r>
      <w:r w:rsidRPr="002F65F2">
        <w:rPr>
          <w:rFonts w:ascii="Arial" w:eastAsia="Times New Roman" w:hAnsi="Arial" w:cs="Arial"/>
          <w:kern w:val="0"/>
          <w:lang w:eastAsia="en-GB"/>
          <w14:ligatures w14:val="none"/>
        </w:rPr>
        <w:t xml:space="preserve"> Develop projects addressing local needs, such as education, healthcare, and employment opportunities, which align with community values and expectations.</w:t>
      </w:r>
    </w:p>
    <w:p w14:paraId="128A884D" w14:textId="77777777" w:rsidR="002F65F2" w:rsidRPr="002F65F2" w:rsidRDefault="002F65F2" w:rsidP="00394A7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Adapted HR Practices:</w:t>
      </w:r>
      <w:r w:rsidRPr="002F65F2">
        <w:rPr>
          <w:rFonts w:ascii="Arial" w:eastAsia="Times New Roman" w:hAnsi="Arial" w:cs="Arial"/>
          <w:kern w:val="0"/>
          <w:lang w:eastAsia="en-GB"/>
          <w14:ligatures w14:val="none"/>
        </w:rPr>
        <w:t xml:space="preserve"> Blend global performance management systems with culturally relevant motivational tools, recognising collective achievements alongside individual performance.</w:t>
      </w:r>
    </w:p>
    <w:p w14:paraId="679BA512" w14:textId="77777777" w:rsidR="002F65F2" w:rsidRPr="002F65F2" w:rsidRDefault="002F65F2" w:rsidP="00394A78">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Relationship Management with Government and Stakeholders:</w:t>
      </w:r>
      <w:r w:rsidRPr="002F65F2">
        <w:rPr>
          <w:rFonts w:ascii="Arial" w:eastAsia="Times New Roman" w:hAnsi="Arial" w:cs="Arial"/>
          <w:kern w:val="0"/>
          <w:lang w:eastAsia="en-GB"/>
          <w14:ligatures w14:val="none"/>
        </w:rPr>
        <w:t xml:space="preserve"> Prioritise trust-building, social networking, and transparency to navigate regulatory, political, and social landscapes effectively.</w:t>
      </w:r>
    </w:p>
    <w:p w14:paraId="209C49B7" w14:textId="56BF207C"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lastRenderedPageBreak/>
        <w:t>By integrating these measures, ExxonMobil can reduce cultural friction, enhance operational efficiency, and strengthen stakeholder trust, which is particularly important in the oil and gas industry where project success depends on regulatory compliance, technical precision, and social acceptance (Exxon Mobil Corporation, 2025).</w:t>
      </w:r>
    </w:p>
    <w:p w14:paraId="26C4BDD6"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Cultural differences between the United States and emerging markets like Guyana significantly impact ExxonMobil’s market entry strategies and potential for success. Differences in power distance, collectivism, communication styles, and social expectations shape negotiation practices, human resource management, CSR initiatives, and stakeholder engagement strategies. Companies that fail to recognise and adapt to these differences risk project delays, operational inefficiencies, and reputational damage. Conversely, culturally adaptive strategies, such as locally integrated leadership, community engagement, and culturally sensitive HR practices, enhance social licence to operate, operational efficiency, and long-term profitability.</w:t>
      </w:r>
    </w:p>
    <w:p w14:paraId="64B371BD" w14:textId="4568A2B3"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8F0931">
        <w:rPr>
          <w:rFonts w:ascii="Arial" w:eastAsia="Times New Roman" w:hAnsi="Arial" w:cs="Arial"/>
          <w:kern w:val="0"/>
          <w:lang w:eastAsia="en-GB"/>
          <w14:ligatures w14:val="none"/>
        </w:rPr>
        <w:t>C</w:t>
      </w:r>
      <w:r w:rsidRPr="002F65F2">
        <w:rPr>
          <w:rFonts w:ascii="Arial" w:eastAsia="Times New Roman" w:hAnsi="Arial" w:cs="Arial"/>
          <w:kern w:val="0"/>
          <w:lang w:eastAsia="en-GB"/>
          <w14:ligatures w14:val="none"/>
        </w:rPr>
        <w:t>ultural awareness and adaptation are not supplementary considerations but central determinants of ExxonMobil’s international market success in emerging economies. By integrating cultural insights into strategic planning, the company can strengthen stakeholder relationships, mitigate risks, and maximise returns from its international investments.</w:t>
      </w:r>
    </w:p>
    <w:p w14:paraId="1461BCFF" w14:textId="77777777" w:rsidR="002F65F2" w:rsidRPr="002F65F2" w:rsidRDefault="002F65F2" w:rsidP="00394A78">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2F65F2">
        <w:rPr>
          <w:rFonts w:ascii="Arial" w:eastAsia="Times New Roman" w:hAnsi="Arial" w:cs="Arial"/>
          <w:b/>
          <w:bCs/>
          <w:kern w:val="36"/>
          <w:lang w:eastAsia="en-GB"/>
          <w14:ligatures w14:val="none"/>
        </w:rPr>
        <w:t>Adjustments to ExxonMobil’s Standard Operating Procedures for Success in Emerging Economies</w:t>
      </w:r>
    </w:p>
    <w:p w14:paraId="049C4939" w14:textId="3AEADA9B"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 xml:space="preserve">ExxonMobil’s international operations in emerging markets, such as Guyana, require careful alignment of corporate practices with the unique economic, political, and cultural environment. While the company’s Standard Operating Procedures (SOPs) reflect global best practices in exploration, production, health and safety, and environmental compliance, these procedures must be adapted to account for local context, OLI factors, and cultural nuances. Failure to adjust SOPs can result in operational inefficiencies, regulatory non-compliance, or social friction, jeopardising project success. This section critically discusses three major adjustments ExxonMobil should consider </w:t>
      </w:r>
      <w:r w:rsidR="008F0931" w:rsidRPr="008F0931">
        <w:rPr>
          <w:rFonts w:ascii="Arial" w:eastAsia="Times New Roman" w:hAnsi="Arial" w:cs="Arial"/>
          <w:kern w:val="0"/>
          <w:lang w:eastAsia="en-GB"/>
          <w14:ligatures w14:val="none"/>
        </w:rPr>
        <w:t>enhancing</w:t>
      </w:r>
      <w:r w:rsidRPr="002F65F2">
        <w:rPr>
          <w:rFonts w:ascii="Arial" w:eastAsia="Times New Roman" w:hAnsi="Arial" w:cs="Arial"/>
          <w:kern w:val="0"/>
          <w:lang w:eastAsia="en-GB"/>
          <w14:ligatures w14:val="none"/>
        </w:rPr>
        <w:t xml:space="preserve"> its operational performance and strategic alignment in Guyana.</w:t>
      </w:r>
    </w:p>
    <w:p w14:paraId="7AB1C73A"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1. Cultural Adaptation of Human Resource and Leadership SOPs</w:t>
      </w:r>
    </w:p>
    <w:p w14:paraId="1134ECC4"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 xml:space="preserve">One major adjustment involves aligning human resource and leadership SOPs with the local cultural context. ExxonMobil’s SOPs, developed primarily in the United States, emphasise merit-based advancement, individual accountability, and direct communication (Exxon Mobil </w:t>
      </w:r>
      <w:r w:rsidRPr="002F65F2">
        <w:rPr>
          <w:rFonts w:ascii="Arial" w:eastAsia="Times New Roman" w:hAnsi="Arial" w:cs="Arial"/>
          <w:kern w:val="0"/>
          <w:lang w:eastAsia="en-GB"/>
          <w14:ligatures w14:val="none"/>
        </w:rPr>
        <w:lastRenderedPageBreak/>
        <w:t>Corporation, 2025). While effective in U.S. operations, these practices may conflict with Guyana’s collectivist culture, higher power distance, and community-oriented social norms (Hofstede, 2011).</w:t>
      </w:r>
    </w:p>
    <w:p w14:paraId="366BD5DF"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Key Adjustments:</w:t>
      </w:r>
    </w:p>
    <w:p w14:paraId="61F8AE77" w14:textId="77777777" w:rsidR="002F65F2" w:rsidRPr="002F65F2" w:rsidRDefault="002F65F2" w:rsidP="00394A78">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Performance Management:</w:t>
      </w:r>
      <w:r w:rsidRPr="002F65F2">
        <w:rPr>
          <w:rFonts w:ascii="Arial" w:eastAsia="Times New Roman" w:hAnsi="Arial" w:cs="Arial"/>
          <w:kern w:val="0"/>
          <w:lang w:eastAsia="en-GB"/>
          <w14:ligatures w14:val="none"/>
        </w:rPr>
        <w:t xml:space="preserve"> SOPs should incorporate collective performance measures alongside individual KPIs. This adjustment recognises the local preference for teamwork and community recognition. For example, team achievements in offshore drilling or refinery operations can be celebrated through group bonuses or recognition programmes, fostering motivation and alignment with cultural expectations.</w:t>
      </w:r>
    </w:p>
    <w:p w14:paraId="1C49FEFF" w14:textId="77777777" w:rsidR="002F65F2" w:rsidRPr="002F65F2" w:rsidRDefault="002F65F2" w:rsidP="00394A78">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Leadership and Decision-Making:</w:t>
      </w:r>
      <w:r w:rsidRPr="002F65F2">
        <w:rPr>
          <w:rFonts w:ascii="Arial" w:eastAsia="Times New Roman" w:hAnsi="Arial" w:cs="Arial"/>
          <w:kern w:val="0"/>
          <w:lang w:eastAsia="en-GB"/>
          <w14:ligatures w14:val="none"/>
        </w:rPr>
        <w:t xml:space="preserve"> Expatriate managers and local staff require guidance in navigating hierarchical structures and indirect communication styles common in Guyana. SOPs should define culturally sensitive leadership practices, including stakeholder consultation processes, consensus-building mechanisms, and respect for local authority figures. This reduces conflict and builds trust with both employees and local regulators.</w:t>
      </w:r>
    </w:p>
    <w:p w14:paraId="5DC84876" w14:textId="77777777" w:rsidR="002F65F2" w:rsidRPr="002F65F2" w:rsidRDefault="002F65F2" w:rsidP="00394A78">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Training and Development:</w:t>
      </w:r>
      <w:r w:rsidRPr="002F65F2">
        <w:rPr>
          <w:rFonts w:ascii="Arial" w:eastAsia="Times New Roman" w:hAnsi="Arial" w:cs="Arial"/>
          <w:kern w:val="0"/>
          <w:lang w:eastAsia="en-GB"/>
          <w14:ligatures w14:val="none"/>
        </w:rPr>
        <w:t xml:space="preserve"> SOPs should formalise cross-cultural training for expatriate and local managers, ensuring understanding of local customs, labour expectations, and workplace norms. This facilitates knowledge transfer and enhances operational cohesion (Hill et al., 2014).</w:t>
      </w:r>
    </w:p>
    <w:p w14:paraId="6790D02D"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Implementing these HR adjustments aligns with both the internalisation advantage of OLI theory and cultural sensitivity considerations. Ownership advantages, such as ExxonMobil’s technical expertise, are preserved while enabling effective local management and employee engagement.</w:t>
      </w:r>
    </w:p>
    <w:p w14:paraId="398F2B1C"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2. Localised Environmental, Health, and Safety (EHS) SOPs</w:t>
      </w:r>
    </w:p>
    <w:p w14:paraId="4475A611"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Oil and gas operations in emerging economies face heightened environmental scrutiny and community expectations. While ExxonMobil’s global EHS SOPs are rigorous, they often assume a baseline level of local infrastructure and regulatory enforcement consistent with developed markets (Exxon Mobil Corporation, 2025). In Guyana, environmental monitoring, spill response, and community health initiatives require modification to meet local conditions and expectations.</w:t>
      </w:r>
    </w:p>
    <w:p w14:paraId="7070AC4B"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Key Adjustments:</w:t>
      </w:r>
    </w:p>
    <w:p w14:paraId="2D8EBC72" w14:textId="77777777" w:rsidR="002F65F2" w:rsidRPr="002F65F2" w:rsidRDefault="002F65F2" w:rsidP="00394A78">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lastRenderedPageBreak/>
        <w:t>Environmental Monitoring:</w:t>
      </w:r>
      <w:r w:rsidRPr="002F65F2">
        <w:rPr>
          <w:rFonts w:ascii="Arial" w:eastAsia="Times New Roman" w:hAnsi="Arial" w:cs="Arial"/>
          <w:kern w:val="0"/>
          <w:lang w:eastAsia="en-GB"/>
          <w14:ligatures w14:val="none"/>
        </w:rPr>
        <w:t xml:space="preserve"> SOPs should incorporate protocols for continuous environmental assessment using both corporate and local standards. For instance, offshore operations near sensitive marine ecosystems may require additional monitoring of water quality, marine life, and sediment disturbance to comply with Guyanese regulations and community expectations.</w:t>
      </w:r>
    </w:p>
    <w:p w14:paraId="57E03D5A" w14:textId="77777777" w:rsidR="002F65F2" w:rsidRPr="002F65F2" w:rsidRDefault="002F65F2" w:rsidP="00394A78">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Emergency Response:</w:t>
      </w:r>
      <w:r w:rsidRPr="002F65F2">
        <w:rPr>
          <w:rFonts w:ascii="Arial" w:eastAsia="Times New Roman" w:hAnsi="Arial" w:cs="Arial"/>
          <w:kern w:val="0"/>
          <w:lang w:eastAsia="en-GB"/>
          <w14:ligatures w14:val="none"/>
        </w:rPr>
        <w:t xml:space="preserve"> SOPs must be adapted to local infrastructure constraints, such as limited availability of emergency medical facilities or logistical challenges in remote areas. Procedures should define contingency plans, local resource coordination, and rapid-response protocols tailored to these conditions.</w:t>
      </w:r>
    </w:p>
    <w:p w14:paraId="509E7AAA" w14:textId="77777777" w:rsidR="002F65F2" w:rsidRPr="002F65F2" w:rsidRDefault="002F65F2" w:rsidP="00394A78">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Community Engagement:</w:t>
      </w:r>
      <w:r w:rsidRPr="002F65F2">
        <w:rPr>
          <w:rFonts w:ascii="Arial" w:eastAsia="Times New Roman" w:hAnsi="Arial" w:cs="Arial"/>
          <w:kern w:val="0"/>
          <w:lang w:eastAsia="en-GB"/>
          <w14:ligatures w14:val="none"/>
        </w:rPr>
        <w:t xml:space="preserve"> SOPs should formalise community liaison procedures, including routine reporting, consultation on environmental mitigation measures, and transparent communication of risks and outcomes. This aligns with the cultural emphasis on collectivism and social responsibility and helps secure the social licence to operate (CIA, 2024).</w:t>
      </w:r>
    </w:p>
    <w:p w14:paraId="6AD4A4D8"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Such EHS adaptations ensure regulatory compliance, enhance community trust, and mitigate reputational risk, which is critical in high-stakes projects where public scrutiny and litigation potential are significant. These changes also support the OLI location advantage, ensuring that the investment in Guyana’s resource-rich environment is sustainable and profitable.</w:t>
      </w:r>
    </w:p>
    <w:p w14:paraId="7AC4F18B"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3. Supply Chain and Procurement SOP Adjustments</w:t>
      </w:r>
    </w:p>
    <w:p w14:paraId="70736418"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International operations in emerging markets expose ExxonMobil to unique supply chain challenges, including infrastructure limitations, local content requirements, and political or economic volatility (Reuters, 2024). While global SOPs emphasise centralised procurement and cost-efficiency, adjustments are necessary to integrate local suppliers and comply with regulatory obligations in Guyana.</w:t>
      </w:r>
    </w:p>
    <w:p w14:paraId="15D3DDA3"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Key Adjustments:</w:t>
      </w:r>
    </w:p>
    <w:p w14:paraId="7BEA85DC" w14:textId="77777777" w:rsidR="002F65F2" w:rsidRPr="002F65F2" w:rsidRDefault="002F65F2" w:rsidP="00394A7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Local Content Compliance:</w:t>
      </w:r>
      <w:r w:rsidRPr="002F65F2">
        <w:rPr>
          <w:rFonts w:ascii="Arial" w:eastAsia="Times New Roman" w:hAnsi="Arial" w:cs="Arial"/>
          <w:kern w:val="0"/>
          <w:lang w:eastAsia="en-GB"/>
          <w14:ligatures w14:val="none"/>
        </w:rPr>
        <w:t xml:space="preserve"> SOPs should incorporate structured procedures for identifying, vetting, and developing local suppliers. This includes establishing metrics for local procurement, training programmes for small and medium-sized enterprises (SMEs), and monitoring compliance with government-mandated local content rules. Integrating local suppliers strengthens community relations and reduces political risk.</w:t>
      </w:r>
    </w:p>
    <w:p w14:paraId="6F1E4C58" w14:textId="77777777" w:rsidR="002F65F2" w:rsidRPr="002F65F2" w:rsidRDefault="002F65F2" w:rsidP="00394A7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Risk Management in Logistics:</w:t>
      </w:r>
      <w:r w:rsidRPr="002F65F2">
        <w:rPr>
          <w:rFonts w:ascii="Arial" w:eastAsia="Times New Roman" w:hAnsi="Arial" w:cs="Arial"/>
          <w:kern w:val="0"/>
          <w:lang w:eastAsia="en-GB"/>
          <w14:ligatures w14:val="none"/>
        </w:rPr>
        <w:t xml:space="preserve"> SOPs should formalise strategies to manage logistical risks, such as delays in shipping, import restrictions, or currency fluctuations. </w:t>
      </w:r>
      <w:r w:rsidRPr="002F65F2">
        <w:rPr>
          <w:rFonts w:ascii="Arial" w:eastAsia="Times New Roman" w:hAnsi="Arial" w:cs="Arial"/>
          <w:kern w:val="0"/>
          <w:lang w:eastAsia="en-GB"/>
          <w14:ligatures w14:val="none"/>
        </w:rPr>
        <w:lastRenderedPageBreak/>
        <w:t>Contingency planning, supplier diversification, and inventory buffers are essential for maintaining operational continuity.</w:t>
      </w:r>
    </w:p>
    <w:p w14:paraId="7863BCE2" w14:textId="77777777" w:rsidR="002F65F2" w:rsidRPr="002F65F2" w:rsidRDefault="002F65F2" w:rsidP="00394A7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Supplier Engagement and Development:</w:t>
      </w:r>
      <w:r w:rsidRPr="002F65F2">
        <w:rPr>
          <w:rFonts w:ascii="Arial" w:eastAsia="Times New Roman" w:hAnsi="Arial" w:cs="Arial"/>
          <w:kern w:val="0"/>
          <w:lang w:eastAsia="en-GB"/>
          <w14:ligatures w14:val="none"/>
        </w:rPr>
        <w:t xml:space="preserve"> SOPs should codify processes for supplier capacity-building, technical training, and quality assurance. By transferring technical expertise to local vendors, ExxonMobil not only meets regulatory expectations but also strengthens operational reliability and fosters goodwill among stakeholders (Hill et al., 2014).</w:t>
      </w:r>
    </w:p>
    <w:p w14:paraId="2552201E"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These supply chain adjustments reflect internalisation advantages by retaining operational oversight while complying with local location-specific regulations. Integrating local content and supplier management into SOPs ensures alignment with both strategic and social objectives.</w:t>
      </w:r>
    </w:p>
    <w:p w14:paraId="5AA6D5AB"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Integrating OLI and Cultural Insights into SOP Adjustments</w:t>
      </w:r>
    </w:p>
    <w:p w14:paraId="4D5FF8DB" w14:textId="227A42EF"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The three proposed SOP adjustments</w:t>
      </w:r>
      <w:r w:rsidR="008F0931" w:rsidRPr="008F0931">
        <w:rPr>
          <w:rFonts w:ascii="Arial" w:eastAsia="Times New Roman" w:hAnsi="Arial" w:cs="Arial"/>
          <w:kern w:val="0"/>
          <w:lang w:eastAsia="en-GB"/>
          <w14:ligatures w14:val="none"/>
        </w:rPr>
        <w:t xml:space="preserve"> </w:t>
      </w:r>
      <w:r w:rsidRPr="002F65F2">
        <w:rPr>
          <w:rFonts w:ascii="Arial" w:eastAsia="Times New Roman" w:hAnsi="Arial" w:cs="Arial"/>
          <w:kern w:val="0"/>
          <w:lang w:eastAsia="en-GB"/>
          <w14:ligatures w14:val="none"/>
        </w:rPr>
        <w:t>cultural adaptation in HR and leadership, EHS localisation, and supply chain adaptation</w:t>
      </w:r>
      <w:r w:rsidR="008F0931" w:rsidRPr="008F0931">
        <w:rPr>
          <w:rFonts w:ascii="Arial" w:eastAsia="Times New Roman" w:hAnsi="Arial" w:cs="Arial"/>
          <w:kern w:val="0"/>
          <w:lang w:eastAsia="en-GB"/>
          <w14:ligatures w14:val="none"/>
        </w:rPr>
        <w:t xml:space="preserve"> </w:t>
      </w:r>
      <w:r w:rsidRPr="002F65F2">
        <w:rPr>
          <w:rFonts w:ascii="Arial" w:eastAsia="Times New Roman" w:hAnsi="Arial" w:cs="Arial"/>
          <w:kern w:val="0"/>
          <w:lang w:eastAsia="en-GB"/>
          <w14:ligatures w14:val="none"/>
        </w:rPr>
        <w:t>demonstrate the interaction between OLI factors and cultural considerations. Ownership advantages, such as technical expertise and operational best practices, are retained through internalised SOPs, while location advantages, including resource availability and regulatory environment in Guyana, are leveraged by aligning SOPs with local conditions. Internalisation is achieved by maintaining central oversight of critical functions while allowing sufficient flexibility to accommodate cultural norms, community expectations, and local market conditions (Dunning, 2000).</w:t>
      </w:r>
    </w:p>
    <w:p w14:paraId="75DACD6F" w14:textId="77777777"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Moreover, these adjustments mitigate risks identified in the cultural analysis. By incorporating collectivist performance measures, respecting hierarchical decision-making, and prioritising community engagement, ExxonMobil enhances social licence to operate. Adapting EHS procedures and supply chain practices ensures regulatory compliance and operational resilience, addressing both operational and reputational risks. Collectively, these SOP modifications enhance ExxonMobil’s capacity to achieve sustainable success in emerging markets.</w:t>
      </w:r>
    </w:p>
    <w:p w14:paraId="66082065" w14:textId="77777777" w:rsidR="002F65F2" w:rsidRPr="002F65F2" w:rsidRDefault="002F65F2"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F65F2">
        <w:rPr>
          <w:rFonts w:ascii="Arial" w:eastAsia="Times New Roman" w:hAnsi="Arial" w:cs="Arial"/>
          <w:b/>
          <w:bCs/>
          <w:kern w:val="0"/>
          <w:lang w:eastAsia="en-GB"/>
          <w14:ligatures w14:val="none"/>
        </w:rPr>
        <w:t>Recommendations</w:t>
      </w:r>
    </w:p>
    <w:p w14:paraId="60CFB34F" w14:textId="77777777" w:rsidR="002F65F2" w:rsidRPr="002F65F2" w:rsidRDefault="002F65F2" w:rsidP="00394A78">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Cultural and HR SOP Enhancement:</w:t>
      </w:r>
      <w:r w:rsidRPr="002F65F2">
        <w:rPr>
          <w:rFonts w:ascii="Arial" w:eastAsia="Times New Roman" w:hAnsi="Arial" w:cs="Arial"/>
          <w:kern w:val="0"/>
          <w:lang w:eastAsia="en-GB"/>
          <w14:ligatures w14:val="none"/>
        </w:rPr>
        <w:t xml:space="preserve"> ExxonMobil should implement formal SOPs for culturally sensitive leadership, collective performance management, and cross-cultural training. This adjustment ensures employee engagement, effective expatriate-local collaboration, and operational efficiency.</w:t>
      </w:r>
    </w:p>
    <w:p w14:paraId="1B1EB7C4" w14:textId="77777777" w:rsidR="002F65F2" w:rsidRPr="002F65F2" w:rsidRDefault="002F65F2" w:rsidP="00394A78">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lastRenderedPageBreak/>
        <w:t>Localized EHS SOPs:</w:t>
      </w:r>
      <w:r w:rsidRPr="002F65F2">
        <w:rPr>
          <w:rFonts w:ascii="Arial" w:eastAsia="Times New Roman" w:hAnsi="Arial" w:cs="Arial"/>
          <w:kern w:val="0"/>
          <w:lang w:eastAsia="en-GB"/>
          <w14:ligatures w14:val="none"/>
        </w:rPr>
        <w:t xml:space="preserve"> SOPs should be tailored to the host country’s environmental, health, and safety context, including enhanced environmental monitoring, emergency response protocols, and structured community engagement. This protects operational assets, regulatory compliance, and corporate reputation.</w:t>
      </w:r>
    </w:p>
    <w:p w14:paraId="047C9A6C" w14:textId="77777777" w:rsidR="002F65F2" w:rsidRPr="002F65F2" w:rsidRDefault="002F65F2" w:rsidP="00394A78">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b/>
          <w:bCs/>
          <w:kern w:val="0"/>
          <w:lang w:eastAsia="en-GB"/>
          <w14:ligatures w14:val="none"/>
        </w:rPr>
        <w:t>Supply Chain and Local Content SOPs:</w:t>
      </w:r>
      <w:r w:rsidRPr="002F65F2">
        <w:rPr>
          <w:rFonts w:ascii="Arial" w:eastAsia="Times New Roman" w:hAnsi="Arial" w:cs="Arial"/>
          <w:kern w:val="0"/>
          <w:lang w:eastAsia="en-GB"/>
          <w14:ligatures w14:val="none"/>
        </w:rPr>
        <w:t xml:space="preserve"> ExxonMobil should codify processes for local supplier integration, risk management in logistics, and capacity-building programs. These adjustments ensure compliance with local content regulations, strengthen community relations, and enhance operational reliability.</w:t>
      </w:r>
    </w:p>
    <w:p w14:paraId="25CD91E8" w14:textId="2E6845AC"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By implementing these three adjustments, ExxonMobil can align its global best practices with the socio-cultural and regulatory realities of Guyana. This strategic alignment maximises operational efficiency, mitigates risk, and supports long-term profitability while ensuring social and environmental sustainability.</w:t>
      </w:r>
    </w:p>
    <w:p w14:paraId="5A633278" w14:textId="23269F5F" w:rsidR="002F65F2" w:rsidRPr="002F65F2" w:rsidRDefault="002F65F2" w:rsidP="00394A78">
      <w:pPr>
        <w:spacing w:before="100" w:beforeAutospacing="1" w:after="100" w:afterAutospacing="1" w:line="360" w:lineRule="auto"/>
        <w:jc w:val="both"/>
        <w:rPr>
          <w:rFonts w:ascii="Arial" w:eastAsia="Times New Roman" w:hAnsi="Arial" w:cs="Arial"/>
          <w:kern w:val="0"/>
          <w:lang w:eastAsia="en-GB"/>
          <w14:ligatures w14:val="none"/>
        </w:rPr>
      </w:pPr>
      <w:r w:rsidRPr="002F65F2">
        <w:rPr>
          <w:rFonts w:ascii="Arial" w:eastAsia="Times New Roman" w:hAnsi="Arial" w:cs="Arial"/>
          <w:kern w:val="0"/>
          <w:lang w:eastAsia="en-GB"/>
          <w14:ligatures w14:val="none"/>
        </w:rPr>
        <w:t>SOP adjustments are critical for ExxonMobil’s success in emerging markets. Cultural differences, regulatory requirements, infrastructure limitations, and social expectations necessitate changes to HR, EHS, and supply chain procedures. Incorporating OLI insights ensures that ownership advantages are leveraged, location advantages are maximised, and internalisation protects core competencies. The recommended adjustments</w:t>
      </w:r>
      <w:r w:rsidR="008F0931" w:rsidRPr="008F0931">
        <w:rPr>
          <w:rFonts w:ascii="Arial" w:eastAsia="Times New Roman" w:hAnsi="Arial" w:cs="Arial"/>
          <w:kern w:val="0"/>
          <w:lang w:eastAsia="en-GB"/>
          <w14:ligatures w14:val="none"/>
        </w:rPr>
        <w:t xml:space="preserve"> </w:t>
      </w:r>
      <w:r w:rsidRPr="002F65F2">
        <w:rPr>
          <w:rFonts w:ascii="Arial" w:eastAsia="Times New Roman" w:hAnsi="Arial" w:cs="Arial"/>
          <w:kern w:val="0"/>
          <w:lang w:eastAsia="en-GB"/>
          <w14:ligatures w14:val="none"/>
        </w:rPr>
        <w:t xml:space="preserve">culturally adaptive HR practices, localized EHS procedures, and supply chain SOPs integrating local </w:t>
      </w:r>
      <w:r w:rsidR="00394A78" w:rsidRPr="002F65F2">
        <w:rPr>
          <w:rFonts w:ascii="Arial" w:eastAsia="Times New Roman" w:hAnsi="Arial" w:cs="Arial"/>
          <w:kern w:val="0"/>
          <w:lang w:eastAsia="en-GB"/>
          <w14:ligatures w14:val="none"/>
        </w:rPr>
        <w:t>content offer</w:t>
      </w:r>
      <w:r w:rsidRPr="002F65F2">
        <w:rPr>
          <w:rFonts w:ascii="Arial" w:eastAsia="Times New Roman" w:hAnsi="Arial" w:cs="Arial"/>
          <w:kern w:val="0"/>
          <w:lang w:eastAsia="en-GB"/>
          <w14:ligatures w14:val="none"/>
        </w:rPr>
        <w:t xml:space="preserve"> a framework for operational success. By integrating these modifications, ExxonMobil can achieve sustainable performance, maintain its competitive advantage, and foster positive relationships with host country stakeholders in Guyana.</w:t>
      </w:r>
    </w:p>
    <w:p w14:paraId="3FFAD2C8" w14:textId="77777777" w:rsidR="009E180F" w:rsidRPr="009E180F" w:rsidRDefault="009E180F" w:rsidP="00394A78">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9E180F">
        <w:rPr>
          <w:rFonts w:ascii="Arial" w:eastAsia="Times New Roman" w:hAnsi="Arial" w:cs="Arial"/>
          <w:b/>
          <w:bCs/>
          <w:kern w:val="0"/>
          <w:lang w:eastAsia="en-GB"/>
          <w14:ligatures w14:val="none"/>
        </w:rPr>
        <w:t>Conclusion</w:t>
      </w:r>
    </w:p>
    <w:p w14:paraId="147528C9" w14:textId="77777777" w:rsidR="009E180F" w:rsidRPr="009E180F" w:rsidRDefault="009E180F" w:rsidP="00394A78">
      <w:pPr>
        <w:spacing w:before="100" w:beforeAutospacing="1" w:after="100" w:afterAutospacing="1" w:line="360" w:lineRule="auto"/>
        <w:jc w:val="both"/>
        <w:rPr>
          <w:rFonts w:ascii="Arial" w:eastAsia="Times New Roman" w:hAnsi="Arial" w:cs="Arial"/>
          <w:kern w:val="0"/>
          <w:lang w:eastAsia="en-GB"/>
          <w14:ligatures w14:val="none"/>
        </w:rPr>
      </w:pPr>
      <w:r w:rsidRPr="009E180F">
        <w:rPr>
          <w:rFonts w:ascii="Arial" w:eastAsia="Times New Roman" w:hAnsi="Arial" w:cs="Arial"/>
          <w:kern w:val="0"/>
          <w:lang w:eastAsia="en-GB"/>
          <w14:ligatures w14:val="none"/>
        </w:rPr>
        <w:t>ExxonMobil’s international operations in emerging economies, such as Guyana, demonstrate the complex interplay of strategic, operational, and cultural factors that shape multinational enterprise (MNE) success. The company’s designation as a multinational corporation is supported by its extensive global presence, substantial foreign direct investment, and ability to leverage proprietary technology and capital across multiple jurisdictions (Exxon Mobil Corporation, 2025). Applying Dunning’s OLI framework reveals that ownership advantages, such as technical expertise and brand reputation, combined with location-specific factors, including resource availability and supportive regulatory conditions, and internalisation of key operations, strongly influence ExxonMobil’s market entry strategy and operational effectiveness (Dunning, 2000).</w:t>
      </w:r>
    </w:p>
    <w:p w14:paraId="6DAA7099" w14:textId="77777777" w:rsidR="009E180F" w:rsidRPr="009E180F" w:rsidRDefault="009E180F" w:rsidP="00394A78">
      <w:pPr>
        <w:spacing w:before="100" w:beforeAutospacing="1" w:after="100" w:afterAutospacing="1" w:line="360" w:lineRule="auto"/>
        <w:jc w:val="both"/>
        <w:rPr>
          <w:rFonts w:ascii="Arial" w:eastAsia="Times New Roman" w:hAnsi="Arial" w:cs="Arial"/>
          <w:kern w:val="0"/>
          <w:lang w:eastAsia="en-GB"/>
          <w14:ligatures w14:val="none"/>
        </w:rPr>
      </w:pPr>
      <w:r w:rsidRPr="009E180F">
        <w:rPr>
          <w:rFonts w:ascii="Arial" w:eastAsia="Times New Roman" w:hAnsi="Arial" w:cs="Arial"/>
          <w:kern w:val="0"/>
          <w:lang w:eastAsia="en-GB"/>
          <w14:ligatures w14:val="none"/>
        </w:rPr>
        <w:lastRenderedPageBreak/>
        <w:t>Cultural differences between the United States and emerging markets like Guyana further affect market entry and operational success. These differences impact leadership, communication, human resource management, and stakeholder engagement, highlighting the need for culturally sensitive strategies that align with local norms and expectations (Hofstede, 2011). Failure to address these differences could lead to operational inefficiencies, stakeholder resistance, and reputational risk.</w:t>
      </w:r>
    </w:p>
    <w:p w14:paraId="3EAE85A8" w14:textId="77777777" w:rsidR="009E180F" w:rsidRPr="009E180F" w:rsidRDefault="009E180F" w:rsidP="00394A78">
      <w:pPr>
        <w:spacing w:before="100" w:beforeAutospacing="1" w:after="100" w:afterAutospacing="1" w:line="360" w:lineRule="auto"/>
        <w:jc w:val="both"/>
        <w:rPr>
          <w:rFonts w:ascii="Arial" w:eastAsia="Times New Roman" w:hAnsi="Arial" w:cs="Arial"/>
          <w:kern w:val="0"/>
          <w:lang w:eastAsia="en-GB"/>
          <w14:ligatures w14:val="none"/>
        </w:rPr>
      </w:pPr>
      <w:r w:rsidRPr="009E180F">
        <w:rPr>
          <w:rFonts w:ascii="Arial" w:eastAsia="Times New Roman" w:hAnsi="Arial" w:cs="Arial"/>
          <w:kern w:val="0"/>
          <w:lang w:eastAsia="en-GB"/>
          <w14:ligatures w14:val="none"/>
        </w:rPr>
        <w:t>The report identifies three key adjustments to ExxonMobil’s Standard Operating Procedures (SOPs) necessary for successful operations in emerging markets: culturally adaptive human resource and leadership practices, localized environmental, health, and safety (EHS) procedures, and supply chain SOPs incorporating local content and risk management. These adjustments align with OLI considerations and cultural insights, enabling the company to maintain operational control, comply with local regulations, and secure a social licence to operate.</w:t>
      </w:r>
    </w:p>
    <w:p w14:paraId="484A6369" w14:textId="77777777" w:rsidR="009E180F" w:rsidRPr="009E180F" w:rsidRDefault="009E180F" w:rsidP="00394A78">
      <w:pPr>
        <w:spacing w:before="100" w:beforeAutospacing="1" w:after="100" w:afterAutospacing="1" w:line="360" w:lineRule="auto"/>
        <w:jc w:val="both"/>
        <w:rPr>
          <w:rFonts w:ascii="Arial" w:eastAsia="Times New Roman" w:hAnsi="Arial" w:cs="Arial"/>
          <w:kern w:val="0"/>
          <w:lang w:eastAsia="en-GB"/>
          <w14:ligatures w14:val="none"/>
        </w:rPr>
      </w:pPr>
      <w:r w:rsidRPr="009E180F">
        <w:rPr>
          <w:rFonts w:ascii="Arial" w:eastAsia="Times New Roman" w:hAnsi="Arial" w:cs="Arial"/>
          <w:kern w:val="0"/>
          <w:lang w:eastAsia="en-GB"/>
          <w14:ligatures w14:val="none"/>
        </w:rPr>
        <w:t>In conclusion, ExxonMobil’s success in emerging markets depends on the integration of global capabilities with local adaptation. By aligning SOPs with OLI factors and cultural realities, the company can enhance operational efficiency, mitigate risks, and achieve sustainable long-term profitability in foreign markets.</w:t>
      </w:r>
    </w:p>
    <w:p w14:paraId="68D483C4" w14:textId="6A8220EC" w:rsidR="009E180F" w:rsidRPr="009E180F" w:rsidRDefault="009E180F" w:rsidP="008F0931">
      <w:pPr>
        <w:spacing w:after="0" w:line="240" w:lineRule="auto"/>
        <w:jc w:val="both"/>
        <w:rPr>
          <w:rFonts w:ascii="Arial" w:eastAsia="Times New Roman" w:hAnsi="Arial" w:cs="Arial"/>
          <w:kern w:val="0"/>
          <w:lang w:eastAsia="en-GB"/>
          <w14:ligatures w14:val="none"/>
        </w:rPr>
      </w:pPr>
    </w:p>
    <w:p w14:paraId="0ADD25B8" w14:textId="77777777" w:rsidR="008F0931" w:rsidRPr="008F0931" w:rsidRDefault="008F0931" w:rsidP="008F0931">
      <w:pPr>
        <w:pStyle w:val="NormalWeb"/>
        <w:jc w:val="both"/>
        <w:rPr>
          <w:rStyle w:val="Strong"/>
          <w:rFonts w:ascii="Arial" w:eastAsiaTheme="majorEastAsia" w:hAnsi="Arial" w:cs="Arial"/>
          <w:sz w:val="22"/>
          <w:szCs w:val="22"/>
        </w:rPr>
      </w:pPr>
    </w:p>
    <w:p w14:paraId="5845AB27" w14:textId="77777777" w:rsidR="008F0931" w:rsidRPr="008F0931" w:rsidRDefault="008F0931" w:rsidP="008F0931">
      <w:pPr>
        <w:pStyle w:val="NormalWeb"/>
        <w:jc w:val="both"/>
        <w:rPr>
          <w:rStyle w:val="Strong"/>
          <w:rFonts w:ascii="Arial" w:eastAsiaTheme="majorEastAsia" w:hAnsi="Arial" w:cs="Arial"/>
          <w:sz w:val="22"/>
          <w:szCs w:val="22"/>
        </w:rPr>
      </w:pPr>
    </w:p>
    <w:p w14:paraId="0B38BFC3" w14:textId="77777777" w:rsidR="008F0931" w:rsidRDefault="008F0931" w:rsidP="009E180F">
      <w:pPr>
        <w:pStyle w:val="NormalWeb"/>
        <w:rPr>
          <w:rStyle w:val="Strong"/>
          <w:rFonts w:eastAsiaTheme="majorEastAsia"/>
        </w:rPr>
      </w:pPr>
    </w:p>
    <w:p w14:paraId="69C412E3" w14:textId="77777777" w:rsidR="008F0931" w:rsidRDefault="008F0931" w:rsidP="009E180F">
      <w:pPr>
        <w:pStyle w:val="NormalWeb"/>
        <w:rPr>
          <w:rStyle w:val="Strong"/>
          <w:rFonts w:eastAsiaTheme="majorEastAsia"/>
        </w:rPr>
      </w:pPr>
    </w:p>
    <w:p w14:paraId="2C717170" w14:textId="77777777" w:rsidR="008F0931" w:rsidRDefault="008F0931" w:rsidP="009E180F">
      <w:pPr>
        <w:pStyle w:val="NormalWeb"/>
        <w:rPr>
          <w:rStyle w:val="Strong"/>
          <w:rFonts w:eastAsiaTheme="majorEastAsia"/>
        </w:rPr>
      </w:pPr>
    </w:p>
    <w:p w14:paraId="4D02BBA6" w14:textId="77777777" w:rsidR="008F0931" w:rsidRDefault="008F0931" w:rsidP="009E180F">
      <w:pPr>
        <w:pStyle w:val="NormalWeb"/>
        <w:rPr>
          <w:rStyle w:val="Strong"/>
          <w:rFonts w:eastAsiaTheme="majorEastAsia"/>
        </w:rPr>
      </w:pPr>
    </w:p>
    <w:p w14:paraId="1321D8F5" w14:textId="77777777" w:rsidR="00C00863" w:rsidRDefault="00C00863" w:rsidP="009E180F">
      <w:pPr>
        <w:pStyle w:val="NormalWeb"/>
        <w:rPr>
          <w:rStyle w:val="Strong"/>
          <w:rFonts w:eastAsiaTheme="majorEastAsia"/>
        </w:rPr>
      </w:pPr>
    </w:p>
    <w:p w14:paraId="7EF87666" w14:textId="77777777" w:rsidR="00C00863" w:rsidRDefault="00C00863" w:rsidP="009E180F">
      <w:pPr>
        <w:pStyle w:val="NormalWeb"/>
        <w:rPr>
          <w:rStyle w:val="Strong"/>
          <w:rFonts w:eastAsiaTheme="majorEastAsia"/>
        </w:rPr>
      </w:pPr>
    </w:p>
    <w:p w14:paraId="521DD872" w14:textId="77777777" w:rsidR="00C00863" w:rsidRDefault="00C00863" w:rsidP="009E180F">
      <w:pPr>
        <w:pStyle w:val="NormalWeb"/>
        <w:rPr>
          <w:rStyle w:val="Strong"/>
          <w:rFonts w:eastAsiaTheme="majorEastAsia"/>
        </w:rPr>
      </w:pPr>
    </w:p>
    <w:p w14:paraId="120906C3" w14:textId="77777777" w:rsidR="00C00863" w:rsidRDefault="00C00863" w:rsidP="009E180F">
      <w:pPr>
        <w:pStyle w:val="NormalWeb"/>
        <w:rPr>
          <w:rStyle w:val="Strong"/>
          <w:rFonts w:eastAsiaTheme="majorEastAsia"/>
        </w:rPr>
      </w:pPr>
    </w:p>
    <w:p w14:paraId="7D89567C" w14:textId="77777777" w:rsidR="00C00863" w:rsidRDefault="00C00863" w:rsidP="009E180F">
      <w:pPr>
        <w:pStyle w:val="NormalWeb"/>
        <w:rPr>
          <w:rStyle w:val="Strong"/>
          <w:rFonts w:eastAsiaTheme="majorEastAsia"/>
        </w:rPr>
      </w:pPr>
    </w:p>
    <w:p w14:paraId="282E85E0" w14:textId="7F551165" w:rsidR="009E180F" w:rsidRPr="00C00863" w:rsidRDefault="009E180F" w:rsidP="009E180F">
      <w:pPr>
        <w:pStyle w:val="NormalWeb"/>
        <w:rPr>
          <w:rFonts w:ascii="Arial" w:hAnsi="Arial" w:cs="Arial"/>
          <w:sz w:val="22"/>
          <w:szCs w:val="22"/>
        </w:rPr>
      </w:pPr>
      <w:r w:rsidRPr="00C00863">
        <w:rPr>
          <w:rStyle w:val="Strong"/>
          <w:rFonts w:ascii="Arial" w:eastAsiaTheme="majorEastAsia" w:hAnsi="Arial" w:cs="Arial"/>
          <w:sz w:val="22"/>
          <w:szCs w:val="22"/>
        </w:rPr>
        <w:lastRenderedPageBreak/>
        <w:t>Reference</w:t>
      </w:r>
      <w:r w:rsidR="008F0931" w:rsidRPr="00C00863">
        <w:rPr>
          <w:rStyle w:val="Strong"/>
          <w:rFonts w:ascii="Arial" w:eastAsiaTheme="majorEastAsia" w:hAnsi="Arial" w:cs="Arial"/>
          <w:sz w:val="22"/>
          <w:szCs w:val="22"/>
        </w:rPr>
        <w:t>s</w:t>
      </w:r>
      <w:r w:rsidRPr="00C00863">
        <w:rPr>
          <w:rStyle w:val="Strong"/>
          <w:rFonts w:ascii="Arial" w:eastAsiaTheme="majorEastAsia" w:hAnsi="Arial" w:cs="Arial"/>
          <w:sz w:val="22"/>
          <w:szCs w:val="22"/>
        </w:rPr>
        <w:t xml:space="preserve"> </w:t>
      </w:r>
    </w:p>
    <w:p w14:paraId="3071C162" w14:textId="2DA114E0" w:rsidR="00D36FCB" w:rsidRDefault="00D36FCB" w:rsidP="00D36FCB">
      <w:pPr>
        <w:pStyle w:val="NormalWeb"/>
      </w:pPr>
      <w:r>
        <w:t xml:space="preserve">CIA (2024) </w:t>
      </w:r>
      <w:r>
        <w:rPr>
          <w:rStyle w:val="Emphasis"/>
          <w:rFonts w:eastAsiaTheme="majorEastAsia"/>
        </w:rPr>
        <w:t>The World Factbook: Guyana</w:t>
      </w:r>
      <w:r>
        <w:t xml:space="preserve">. Washington, DC: Central Intelligence Agency. Available at: </w:t>
      </w:r>
      <w:hyperlink r:id="rId6" w:tgtFrame="_new" w:history="1">
        <w:r>
          <w:rPr>
            <w:rStyle w:val="Hyperlink"/>
            <w:rFonts w:eastAsiaTheme="majorEastAsia"/>
          </w:rPr>
          <w:t>https://www.cia.gov/the-world-factbook/countries/guyana/</w:t>
        </w:r>
      </w:hyperlink>
      <w:r>
        <w:t xml:space="preserve"> (Accessed: </w:t>
      </w:r>
      <w:r w:rsidR="00050EFD">
        <w:t>30</w:t>
      </w:r>
      <w:r>
        <w:t xml:space="preserve"> October 2025).</w:t>
      </w:r>
    </w:p>
    <w:p w14:paraId="17148939" w14:textId="77777777" w:rsidR="00D36FCB" w:rsidRDefault="00D36FCB" w:rsidP="00D36FCB">
      <w:pPr>
        <w:pStyle w:val="NormalWeb"/>
      </w:pPr>
      <w:r>
        <w:t xml:space="preserve">Dunning, J.H. (2000) ‘The Eclectic Paradigm as an Envelope for Economic and Business Theories of MNE Activity’, </w:t>
      </w:r>
      <w:r>
        <w:rPr>
          <w:rStyle w:val="Emphasis"/>
          <w:rFonts w:eastAsiaTheme="majorEastAsia"/>
        </w:rPr>
        <w:t>International Business Review</w:t>
      </w:r>
      <w:r>
        <w:t>, 9(2), pp.163–190.</w:t>
      </w:r>
    </w:p>
    <w:p w14:paraId="09E1012A" w14:textId="09FF636F" w:rsidR="00D36FCB" w:rsidRDefault="00D36FCB" w:rsidP="00D36FCB">
      <w:pPr>
        <w:pStyle w:val="NormalWeb"/>
      </w:pPr>
      <w:r>
        <w:t xml:space="preserve">Exxon Mobil Corporation (2024) </w:t>
      </w:r>
      <w:r>
        <w:rPr>
          <w:rStyle w:val="Emphasis"/>
          <w:rFonts w:eastAsiaTheme="majorEastAsia"/>
        </w:rPr>
        <w:t>Annual report 2023</w:t>
      </w:r>
      <w:r>
        <w:t xml:space="preserve">. Irving, TX: Exxon Mobil Corporation. Available at: </w:t>
      </w:r>
      <w:hyperlink r:id="rId7" w:tgtFrame="_new" w:history="1">
        <w:r>
          <w:rPr>
            <w:rStyle w:val="Hyperlink"/>
            <w:rFonts w:eastAsiaTheme="majorEastAsia"/>
          </w:rPr>
          <w:t>https://investor.exxonmobil.com/sec-filings/annual-reports/content/0001193125-24-092555/0001193125-24-092555.pdf</w:t>
        </w:r>
      </w:hyperlink>
      <w:r>
        <w:t xml:space="preserve"> (Accessed: 2</w:t>
      </w:r>
      <w:r w:rsidR="00050EFD">
        <w:t>8</w:t>
      </w:r>
      <w:r>
        <w:t xml:space="preserve"> October 2025).</w:t>
      </w:r>
    </w:p>
    <w:p w14:paraId="17F6573E" w14:textId="361BB56A" w:rsidR="00D36FCB" w:rsidRDefault="00D36FCB" w:rsidP="00D36FCB">
      <w:pPr>
        <w:pStyle w:val="NormalWeb"/>
      </w:pPr>
      <w:r>
        <w:t xml:space="preserve">Exxon Mobil Corporation (2025) </w:t>
      </w:r>
      <w:r>
        <w:rPr>
          <w:rStyle w:val="Emphasis"/>
          <w:rFonts w:eastAsiaTheme="majorEastAsia"/>
        </w:rPr>
        <w:t>Annual report 2024</w:t>
      </w:r>
      <w:r>
        <w:t xml:space="preserve">. Irving, TX: Exxon Mobil Corporation. Available at: </w:t>
      </w:r>
      <w:hyperlink r:id="rId8" w:tgtFrame="_new" w:history="1">
        <w:r>
          <w:rPr>
            <w:rStyle w:val="Hyperlink"/>
            <w:rFonts w:eastAsiaTheme="majorEastAsia"/>
          </w:rPr>
          <w:t>https://investor.exxonmobil.com/sec-filings/all-sec-filings/content/0000034088-25-000010/0000034088-25-000010.pdf</w:t>
        </w:r>
      </w:hyperlink>
      <w:r>
        <w:t xml:space="preserve"> (Accessed: 1</w:t>
      </w:r>
      <w:r w:rsidR="00F62443">
        <w:t>7</w:t>
      </w:r>
      <w:r>
        <w:t xml:space="preserve"> October 2025).</w:t>
      </w:r>
    </w:p>
    <w:p w14:paraId="607D94BA" w14:textId="69936595" w:rsidR="00D36FCB" w:rsidRDefault="00D36FCB" w:rsidP="00D36FCB">
      <w:pPr>
        <w:pStyle w:val="NormalWeb"/>
      </w:pPr>
      <w:r>
        <w:t xml:space="preserve">Exxon Mobil Corporation (2025) </w:t>
      </w:r>
      <w:r>
        <w:rPr>
          <w:rStyle w:val="Emphasis"/>
          <w:rFonts w:eastAsiaTheme="majorEastAsia"/>
        </w:rPr>
        <w:t>Form 10-K, Fiscal year ended 31 December 2024</w:t>
      </w:r>
      <w:r>
        <w:t xml:space="preserve">. Irving, TX: Exxon Mobil Corporation. Available at: </w:t>
      </w:r>
      <w:hyperlink r:id="rId9" w:tgtFrame="_new" w:history="1">
        <w:r>
          <w:rPr>
            <w:rStyle w:val="Hyperlink"/>
            <w:rFonts w:eastAsiaTheme="majorEastAsia"/>
          </w:rPr>
          <w:t>https://investor.exxonmobil.com/sec-filings/all-sec-filings/content/0000034088-25-000010/0000034088-25-000010.pdf</w:t>
        </w:r>
      </w:hyperlink>
      <w:r>
        <w:t xml:space="preserve"> (Accessed: 2</w:t>
      </w:r>
      <w:r w:rsidR="0054664C">
        <w:t xml:space="preserve">5 </w:t>
      </w:r>
      <w:r>
        <w:t>October 2025).</w:t>
      </w:r>
    </w:p>
    <w:p w14:paraId="4CBF8E0B" w14:textId="1BED7FE8" w:rsidR="00D36FCB" w:rsidRDefault="00D36FCB" w:rsidP="00D36FCB">
      <w:pPr>
        <w:pStyle w:val="NormalWeb"/>
      </w:pPr>
      <w:r>
        <w:t xml:space="preserve">Exxon Mobil Corporation (no date) ‘Global projects’, </w:t>
      </w:r>
      <w:r>
        <w:rPr>
          <w:rStyle w:val="Emphasis"/>
          <w:rFonts w:eastAsiaTheme="majorEastAsia"/>
        </w:rPr>
        <w:t>ExxonMobil – Upstream</w:t>
      </w:r>
      <w:r>
        <w:t xml:space="preserve">. Available at: </w:t>
      </w:r>
      <w:hyperlink r:id="rId10" w:tgtFrame="_new" w:history="1">
        <w:r>
          <w:rPr>
            <w:rStyle w:val="Hyperlink"/>
            <w:rFonts w:eastAsiaTheme="majorEastAsia"/>
          </w:rPr>
          <w:t>https://corporate.exxonmobil.com/who-we-are/our-global-organization/business-divisions/upstream/global-projects</w:t>
        </w:r>
      </w:hyperlink>
      <w:r>
        <w:t xml:space="preserve"> </w:t>
      </w:r>
      <w:r w:rsidR="00F62443">
        <w:t>(</w:t>
      </w:r>
      <w:r>
        <w:t>Accessed: 21 October 2025).</w:t>
      </w:r>
    </w:p>
    <w:p w14:paraId="6BB91A1B" w14:textId="6E5C9C14" w:rsidR="00D36FCB" w:rsidRDefault="00D36FCB" w:rsidP="00D36FCB">
      <w:pPr>
        <w:pStyle w:val="NormalWeb"/>
      </w:pPr>
      <w:r>
        <w:t xml:space="preserve">ExxonMobil (2024) </w:t>
      </w:r>
      <w:r>
        <w:rPr>
          <w:rStyle w:val="Emphasis"/>
          <w:rFonts w:eastAsiaTheme="majorEastAsia"/>
        </w:rPr>
        <w:t>ExxonMobil Annual Report 2023</w:t>
      </w:r>
      <w:r>
        <w:t xml:space="preserve">. Available at: </w:t>
      </w:r>
      <w:hyperlink r:id="rId11" w:tgtFrame="_new" w:history="1">
        <w:r>
          <w:rPr>
            <w:rStyle w:val="Hyperlink"/>
            <w:rFonts w:eastAsiaTheme="majorEastAsia"/>
          </w:rPr>
          <w:t>https://corporate.exxonmobil.com</w:t>
        </w:r>
      </w:hyperlink>
      <w:r>
        <w:t xml:space="preserve"> (Accessed: </w:t>
      </w:r>
      <w:r w:rsidR="00F62443">
        <w:t>30</w:t>
      </w:r>
      <w:r>
        <w:t xml:space="preserve"> October 2025).</w:t>
      </w:r>
    </w:p>
    <w:p w14:paraId="372B5D0B" w14:textId="77777777" w:rsidR="00D36FCB" w:rsidRDefault="00D36FCB" w:rsidP="00D36FCB">
      <w:pPr>
        <w:pStyle w:val="NormalWeb"/>
      </w:pPr>
      <w:r>
        <w:t xml:space="preserve">Financial Times (2025) ‘Exxon escalates attacks on EU’s “high-regulation” climate policies’, </w:t>
      </w:r>
      <w:r>
        <w:rPr>
          <w:rStyle w:val="Emphasis"/>
          <w:rFonts w:eastAsiaTheme="majorEastAsia"/>
        </w:rPr>
        <w:t>Financial Times</w:t>
      </w:r>
      <w:r>
        <w:t xml:space="preserve">, September 2025. Available at: </w:t>
      </w:r>
      <w:hyperlink r:id="rId12" w:tgtFrame="_new" w:history="1">
        <w:r>
          <w:rPr>
            <w:rStyle w:val="Hyperlink"/>
            <w:rFonts w:eastAsiaTheme="majorEastAsia"/>
          </w:rPr>
          <w:t>https://www.ft.com/content/18335e6a-1ffd-4df2-8cd4-e5108da137b1</w:t>
        </w:r>
      </w:hyperlink>
      <w:r>
        <w:t xml:space="preserve"> (Accessed: 21 October 2025).</w:t>
      </w:r>
    </w:p>
    <w:p w14:paraId="159D43BE" w14:textId="77777777" w:rsidR="00D36FCB" w:rsidRDefault="00D36FCB" w:rsidP="00D36FCB">
      <w:pPr>
        <w:pStyle w:val="NormalWeb"/>
      </w:pPr>
      <w:r>
        <w:t xml:space="preserve">Financial Times (2025) ‘ExxonMobil faces local pressure on environmental and social responsibilities in Guyana’, </w:t>
      </w:r>
      <w:r>
        <w:rPr>
          <w:rStyle w:val="Emphasis"/>
          <w:rFonts w:eastAsiaTheme="majorEastAsia"/>
        </w:rPr>
        <w:t>Financial Times</w:t>
      </w:r>
      <w:r>
        <w:t xml:space="preserve">, 21 August 2025. Available at: </w:t>
      </w:r>
      <w:hyperlink r:id="rId13" w:tgtFrame="_new" w:history="1">
        <w:r>
          <w:rPr>
            <w:rStyle w:val="Hyperlink"/>
            <w:rFonts w:eastAsiaTheme="majorEastAsia"/>
          </w:rPr>
          <w:t>https://www.ft.com/content/guyana-exxon-environment</w:t>
        </w:r>
      </w:hyperlink>
      <w:r>
        <w:t xml:space="preserve"> (Accessed: 21 October 2025).</w:t>
      </w:r>
    </w:p>
    <w:p w14:paraId="4D3C9435" w14:textId="77777777" w:rsidR="00D36FCB" w:rsidRDefault="00D36FCB" w:rsidP="00D36FCB">
      <w:pPr>
        <w:pStyle w:val="NormalWeb"/>
      </w:pPr>
      <w:r>
        <w:t xml:space="preserve">Hill, C., Hult, G. and McKaig, T. (2014) </w:t>
      </w:r>
      <w:r>
        <w:rPr>
          <w:rStyle w:val="Emphasis"/>
          <w:rFonts w:eastAsiaTheme="majorEastAsia"/>
        </w:rPr>
        <w:t>International Business: Competing in the Global Marketplace</w:t>
      </w:r>
      <w:r>
        <w:t>. 10th edn. New York: McGraw-Hill.</w:t>
      </w:r>
    </w:p>
    <w:p w14:paraId="280E9A55" w14:textId="77777777" w:rsidR="00D36FCB" w:rsidRDefault="00D36FCB" w:rsidP="00D36FCB">
      <w:pPr>
        <w:pStyle w:val="NormalWeb"/>
      </w:pPr>
      <w:r>
        <w:t xml:space="preserve">Hofstede, G. (2011) ‘Dimensionalizing Cultures: The Hofstede Model in Context’, </w:t>
      </w:r>
      <w:r>
        <w:rPr>
          <w:rStyle w:val="Emphasis"/>
          <w:rFonts w:eastAsiaTheme="majorEastAsia"/>
        </w:rPr>
        <w:t>Online Readings in Psychology and Culture</w:t>
      </w:r>
      <w:r>
        <w:t>, 2(1), pp.1–26.</w:t>
      </w:r>
    </w:p>
    <w:p w14:paraId="534389FE" w14:textId="7049B0FC" w:rsidR="00D36FCB" w:rsidRDefault="00D36FCB" w:rsidP="00D36FCB">
      <w:pPr>
        <w:pStyle w:val="NormalWeb"/>
      </w:pPr>
      <w:r>
        <w:t xml:space="preserve">Reuters (2024) ‘China to start up Guangdong LNG terminal, ExxonMobil has 20-yr access’, </w:t>
      </w:r>
      <w:r>
        <w:rPr>
          <w:rStyle w:val="Emphasis"/>
          <w:rFonts w:eastAsiaTheme="majorEastAsia"/>
        </w:rPr>
        <w:t>Reuters</w:t>
      </w:r>
      <w:r>
        <w:t xml:space="preserve">, 26 September 2024. Available at: </w:t>
      </w:r>
      <w:hyperlink r:id="rId14" w:tgtFrame="_new" w:history="1">
        <w:r>
          <w:rPr>
            <w:rStyle w:val="Hyperlink"/>
            <w:rFonts w:eastAsiaTheme="majorEastAsia"/>
          </w:rPr>
          <w:t>https://www.reuters.com/markets/commodities/china-start-up-guangdong-lng-terminal-exxonmobil-has-20-yr-access-2024-09-26/</w:t>
        </w:r>
      </w:hyperlink>
      <w:r>
        <w:t xml:space="preserve"> (Accessed: 1</w:t>
      </w:r>
      <w:r w:rsidR="004116C2">
        <w:t>8</w:t>
      </w:r>
      <w:r>
        <w:t xml:space="preserve"> October 2025).</w:t>
      </w:r>
    </w:p>
    <w:p w14:paraId="6111AA51" w14:textId="77777777" w:rsidR="00D36FCB" w:rsidRDefault="00D36FCB" w:rsidP="00D36FCB">
      <w:pPr>
        <w:pStyle w:val="NormalWeb"/>
      </w:pPr>
      <w:r>
        <w:lastRenderedPageBreak/>
        <w:t xml:space="preserve">Reuters (2024) ‘Exxon-led consortium in Guyana hits 500 mln barrels of oil production’, </w:t>
      </w:r>
      <w:r>
        <w:rPr>
          <w:rStyle w:val="Emphasis"/>
          <w:rFonts w:eastAsiaTheme="majorEastAsia"/>
        </w:rPr>
        <w:t>Reuters</w:t>
      </w:r>
      <w:r>
        <w:t xml:space="preserve">, 13 November 2024. Available at: </w:t>
      </w:r>
      <w:hyperlink r:id="rId15" w:tgtFrame="_new" w:history="1">
        <w:r>
          <w:rPr>
            <w:rStyle w:val="Hyperlink"/>
            <w:rFonts w:eastAsiaTheme="majorEastAsia"/>
          </w:rPr>
          <w:t>https://www.reuters.com/business/energy/exxon-led-consortium-guyana-hits-500-mln-barrels-oil-production-2024-11-13/</w:t>
        </w:r>
      </w:hyperlink>
      <w:r>
        <w:t xml:space="preserve"> (Accessed: 21 October 2025).</w:t>
      </w:r>
    </w:p>
    <w:p w14:paraId="7DBFC57B" w14:textId="76B79934" w:rsidR="00D36FCB" w:rsidRDefault="00D36FCB" w:rsidP="00D36FCB">
      <w:pPr>
        <w:pStyle w:val="NormalWeb"/>
      </w:pPr>
      <w:r>
        <w:t xml:space="preserve">Reuters (2024) ‘ExxonMobil expands low-carbon business amid energy transition challenges’, </w:t>
      </w:r>
      <w:r>
        <w:rPr>
          <w:rStyle w:val="Emphasis"/>
          <w:rFonts w:eastAsiaTheme="majorEastAsia"/>
        </w:rPr>
        <w:t>Reuters</w:t>
      </w:r>
      <w:r>
        <w:t xml:space="preserve">. Available at: </w:t>
      </w:r>
      <w:hyperlink r:id="rId16" w:tgtFrame="_new" w:history="1">
        <w:r>
          <w:rPr>
            <w:rStyle w:val="Hyperlink"/>
            <w:rFonts w:eastAsiaTheme="majorEastAsia"/>
          </w:rPr>
          <w:t>https://www.reuters.com/business/energy</w:t>
        </w:r>
      </w:hyperlink>
      <w:r>
        <w:t xml:space="preserve"> (Accessed: 1</w:t>
      </w:r>
      <w:r w:rsidR="004116C2">
        <w:t>2</w:t>
      </w:r>
      <w:r>
        <w:t xml:space="preserve"> October 2025).</w:t>
      </w:r>
    </w:p>
    <w:p w14:paraId="4107FAA4" w14:textId="1AF43C35" w:rsidR="00D36FCB" w:rsidRDefault="00D36FCB" w:rsidP="00D36FCB">
      <w:pPr>
        <w:pStyle w:val="NormalWeb"/>
      </w:pPr>
      <w:r>
        <w:t xml:space="preserve">Reuters (2025) ‘ARC Resources to supply Exxon Mobil with LNG’, </w:t>
      </w:r>
      <w:r>
        <w:rPr>
          <w:rStyle w:val="Emphasis"/>
          <w:rFonts w:eastAsiaTheme="majorEastAsia"/>
        </w:rPr>
        <w:t>Reuters</w:t>
      </w:r>
      <w:r>
        <w:t xml:space="preserve">, 11 March 2025. Available at: </w:t>
      </w:r>
      <w:hyperlink r:id="rId17" w:tgtFrame="_new" w:history="1">
        <w:r>
          <w:rPr>
            <w:rStyle w:val="Hyperlink"/>
            <w:rFonts w:eastAsiaTheme="majorEastAsia"/>
          </w:rPr>
          <w:t>https://www.reuters.com/business/energy/arc-resources-supply-exxon-mobil-with-lng-2025-03-11/</w:t>
        </w:r>
      </w:hyperlink>
      <w:r>
        <w:t xml:space="preserve"> (Accessed: 2 October 2025).</w:t>
      </w:r>
    </w:p>
    <w:p w14:paraId="08154CA1" w14:textId="77777777" w:rsidR="000A2290" w:rsidRPr="000A2290" w:rsidRDefault="000A2290">
      <w:pPr>
        <w:rPr>
          <w:b/>
          <w:bCs/>
          <w:color w:val="000000" w:themeColor="text1"/>
          <w:sz w:val="28"/>
          <w:szCs w:val="28"/>
        </w:rPr>
      </w:pPr>
    </w:p>
    <w:sectPr w:rsidR="000A2290" w:rsidRPr="000A22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F2CA0"/>
    <w:multiLevelType w:val="hybridMultilevel"/>
    <w:tmpl w:val="6D5AA4AA"/>
    <w:lvl w:ilvl="0" w:tplc="11CC05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A1B11"/>
    <w:multiLevelType w:val="multilevel"/>
    <w:tmpl w:val="0136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67A4B"/>
    <w:multiLevelType w:val="multilevel"/>
    <w:tmpl w:val="CFB63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8D2E8E"/>
    <w:multiLevelType w:val="hybridMultilevel"/>
    <w:tmpl w:val="A2A65FA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82C2DC0"/>
    <w:multiLevelType w:val="hybridMultilevel"/>
    <w:tmpl w:val="A2A65FA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DA80435"/>
    <w:multiLevelType w:val="multilevel"/>
    <w:tmpl w:val="1A7C5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9D1006"/>
    <w:multiLevelType w:val="hybridMultilevel"/>
    <w:tmpl w:val="CEBA4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2C0768"/>
    <w:multiLevelType w:val="multilevel"/>
    <w:tmpl w:val="B058A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23676A"/>
    <w:multiLevelType w:val="multilevel"/>
    <w:tmpl w:val="269A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0E20F2"/>
    <w:multiLevelType w:val="hybridMultilevel"/>
    <w:tmpl w:val="D3D2A8FA"/>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C41B94"/>
    <w:multiLevelType w:val="multilevel"/>
    <w:tmpl w:val="6882B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345039">
    <w:abstractNumId w:val="7"/>
  </w:num>
  <w:num w:numId="2" w16cid:durableId="1761363864">
    <w:abstractNumId w:val="2"/>
  </w:num>
  <w:num w:numId="3" w16cid:durableId="1612937657">
    <w:abstractNumId w:val="8"/>
  </w:num>
  <w:num w:numId="4" w16cid:durableId="613633414">
    <w:abstractNumId w:val="1"/>
  </w:num>
  <w:num w:numId="5" w16cid:durableId="1774662183">
    <w:abstractNumId w:val="10"/>
  </w:num>
  <w:num w:numId="6" w16cid:durableId="1412847389">
    <w:abstractNumId w:val="5"/>
  </w:num>
  <w:num w:numId="7" w16cid:durableId="658653563">
    <w:abstractNumId w:val="6"/>
  </w:num>
  <w:num w:numId="8" w16cid:durableId="1326325797">
    <w:abstractNumId w:val="4"/>
  </w:num>
  <w:num w:numId="9" w16cid:durableId="918909147">
    <w:abstractNumId w:val="3"/>
  </w:num>
  <w:num w:numId="10" w16cid:durableId="1156609939">
    <w:abstractNumId w:val="0"/>
  </w:num>
  <w:num w:numId="11" w16cid:durableId="15711864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290"/>
    <w:rsid w:val="00045CF5"/>
    <w:rsid w:val="00050EFD"/>
    <w:rsid w:val="000A2290"/>
    <w:rsid w:val="000A5D7E"/>
    <w:rsid w:val="001F15DC"/>
    <w:rsid w:val="00212123"/>
    <w:rsid w:val="00252114"/>
    <w:rsid w:val="002F65F2"/>
    <w:rsid w:val="0030222F"/>
    <w:rsid w:val="00394A78"/>
    <w:rsid w:val="004116C2"/>
    <w:rsid w:val="00484D7C"/>
    <w:rsid w:val="005047BD"/>
    <w:rsid w:val="0054664C"/>
    <w:rsid w:val="0059602E"/>
    <w:rsid w:val="005B62B7"/>
    <w:rsid w:val="0061219C"/>
    <w:rsid w:val="0066120E"/>
    <w:rsid w:val="0066225D"/>
    <w:rsid w:val="00684E87"/>
    <w:rsid w:val="006B0392"/>
    <w:rsid w:val="006F0C78"/>
    <w:rsid w:val="006F3842"/>
    <w:rsid w:val="007A7511"/>
    <w:rsid w:val="00812C90"/>
    <w:rsid w:val="00813663"/>
    <w:rsid w:val="008527F9"/>
    <w:rsid w:val="00855BC1"/>
    <w:rsid w:val="008F0931"/>
    <w:rsid w:val="008F0973"/>
    <w:rsid w:val="00954E6E"/>
    <w:rsid w:val="00957C87"/>
    <w:rsid w:val="00963790"/>
    <w:rsid w:val="009C685C"/>
    <w:rsid w:val="009E180F"/>
    <w:rsid w:val="00B578C2"/>
    <w:rsid w:val="00C00863"/>
    <w:rsid w:val="00C2499C"/>
    <w:rsid w:val="00C766C6"/>
    <w:rsid w:val="00C83247"/>
    <w:rsid w:val="00CB6604"/>
    <w:rsid w:val="00D36FCB"/>
    <w:rsid w:val="00DC3341"/>
    <w:rsid w:val="00EA6DBD"/>
    <w:rsid w:val="00EB29AD"/>
    <w:rsid w:val="00F452A9"/>
    <w:rsid w:val="00F544E1"/>
    <w:rsid w:val="00F62443"/>
    <w:rsid w:val="00F900BB"/>
    <w:rsid w:val="00FF0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F9FE9"/>
  <w15:chartTrackingRefBased/>
  <w15:docId w15:val="{560038C4-4B47-45C1-9CA7-6253C6458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2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22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22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22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22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2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2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22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22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22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22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2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290"/>
    <w:rPr>
      <w:rFonts w:eastAsiaTheme="majorEastAsia" w:cstheme="majorBidi"/>
      <w:color w:val="272727" w:themeColor="text1" w:themeTint="D8"/>
    </w:rPr>
  </w:style>
  <w:style w:type="paragraph" w:styleId="Title">
    <w:name w:val="Title"/>
    <w:basedOn w:val="Normal"/>
    <w:next w:val="Normal"/>
    <w:link w:val="TitleChar"/>
    <w:uiPriority w:val="10"/>
    <w:qFormat/>
    <w:rsid w:val="000A2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290"/>
    <w:pPr>
      <w:spacing w:before="160"/>
      <w:jc w:val="center"/>
    </w:pPr>
    <w:rPr>
      <w:i/>
      <w:iCs/>
      <w:color w:val="404040" w:themeColor="text1" w:themeTint="BF"/>
    </w:rPr>
  </w:style>
  <w:style w:type="character" w:customStyle="1" w:styleId="QuoteChar">
    <w:name w:val="Quote Char"/>
    <w:basedOn w:val="DefaultParagraphFont"/>
    <w:link w:val="Quote"/>
    <w:uiPriority w:val="29"/>
    <w:rsid w:val="000A2290"/>
    <w:rPr>
      <w:i/>
      <w:iCs/>
      <w:color w:val="404040" w:themeColor="text1" w:themeTint="BF"/>
    </w:rPr>
  </w:style>
  <w:style w:type="paragraph" w:styleId="ListParagraph">
    <w:name w:val="List Paragraph"/>
    <w:basedOn w:val="Normal"/>
    <w:uiPriority w:val="34"/>
    <w:qFormat/>
    <w:rsid w:val="000A2290"/>
    <w:pPr>
      <w:ind w:left="720"/>
      <w:contextualSpacing/>
    </w:pPr>
  </w:style>
  <w:style w:type="character" w:styleId="IntenseEmphasis">
    <w:name w:val="Intense Emphasis"/>
    <w:basedOn w:val="DefaultParagraphFont"/>
    <w:uiPriority w:val="21"/>
    <w:qFormat/>
    <w:rsid w:val="000A2290"/>
    <w:rPr>
      <w:i/>
      <w:iCs/>
      <w:color w:val="2F5496" w:themeColor="accent1" w:themeShade="BF"/>
    </w:rPr>
  </w:style>
  <w:style w:type="paragraph" w:styleId="IntenseQuote">
    <w:name w:val="Intense Quote"/>
    <w:basedOn w:val="Normal"/>
    <w:next w:val="Normal"/>
    <w:link w:val="IntenseQuoteChar"/>
    <w:uiPriority w:val="30"/>
    <w:qFormat/>
    <w:rsid w:val="000A22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2290"/>
    <w:rPr>
      <w:i/>
      <w:iCs/>
      <w:color w:val="2F5496" w:themeColor="accent1" w:themeShade="BF"/>
    </w:rPr>
  </w:style>
  <w:style w:type="character" w:styleId="IntenseReference">
    <w:name w:val="Intense Reference"/>
    <w:basedOn w:val="DefaultParagraphFont"/>
    <w:uiPriority w:val="32"/>
    <w:qFormat/>
    <w:rsid w:val="000A2290"/>
    <w:rPr>
      <w:b/>
      <w:bCs/>
      <w:smallCaps/>
      <w:color w:val="2F5496" w:themeColor="accent1" w:themeShade="BF"/>
      <w:spacing w:val="5"/>
    </w:rPr>
  </w:style>
  <w:style w:type="paragraph" w:styleId="NormalWeb">
    <w:name w:val="Normal (Web)"/>
    <w:basedOn w:val="Normal"/>
    <w:uiPriority w:val="99"/>
    <w:unhideWhenUsed/>
    <w:rsid w:val="00C766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766C6"/>
    <w:rPr>
      <w:i/>
      <w:iCs/>
    </w:rPr>
  </w:style>
  <w:style w:type="character" w:styleId="Hyperlink">
    <w:name w:val="Hyperlink"/>
    <w:basedOn w:val="DefaultParagraphFont"/>
    <w:uiPriority w:val="99"/>
    <w:semiHidden/>
    <w:unhideWhenUsed/>
    <w:rsid w:val="00C766C6"/>
    <w:rPr>
      <w:color w:val="0000FF"/>
      <w:u w:val="single"/>
    </w:rPr>
  </w:style>
  <w:style w:type="character" w:styleId="Strong">
    <w:name w:val="Strong"/>
    <w:basedOn w:val="DefaultParagraphFont"/>
    <w:uiPriority w:val="22"/>
    <w:qFormat/>
    <w:rsid w:val="009E18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estor.exxonmobil.com/sec-filings/all-sec-filings/content/0000034088-25-000010/0000034088-25-000010.pdf?utm_source=chatgpt.com" TargetMode="External"/><Relationship Id="rId13" Type="http://schemas.openxmlformats.org/officeDocument/2006/relationships/hyperlink" Target="https://www.ft.com/content/guyana-exxon-environ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vestor.exxonmobil.com/sec-filings/annual-reports/content/0001193125-24-092555/0001193125-24-092555.pdf" TargetMode="External"/><Relationship Id="rId12" Type="http://schemas.openxmlformats.org/officeDocument/2006/relationships/hyperlink" Target="https://www.ft.com/content/18335e6a-1ffd-4df2-8cd4-e5108da137b1?utm_source=chatgpt.com" TargetMode="External"/><Relationship Id="rId17" Type="http://schemas.openxmlformats.org/officeDocument/2006/relationships/hyperlink" Target="https://www.reuters.com/business/energy/arc-resources-supply-exxon-mobil-with-lng-2025-03-11/" TargetMode="External"/><Relationship Id="rId2" Type="http://schemas.openxmlformats.org/officeDocument/2006/relationships/styles" Target="styles.xml"/><Relationship Id="rId16" Type="http://schemas.openxmlformats.org/officeDocument/2006/relationships/hyperlink" Target="https://www.reuters.com/business/energy" TargetMode="External"/><Relationship Id="rId1" Type="http://schemas.openxmlformats.org/officeDocument/2006/relationships/numbering" Target="numbering.xml"/><Relationship Id="rId6" Type="http://schemas.openxmlformats.org/officeDocument/2006/relationships/hyperlink" Target="https://www.cia.gov/the-world-factbook/countries/guyana/" TargetMode="External"/><Relationship Id="rId11" Type="http://schemas.openxmlformats.org/officeDocument/2006/relationships/hyperlink" Target="https://corporate.exxonmobil.com" TargetMode="External"/><Relationship Id="rId5" Type="http://schemas.openxmlformats.org/officeDocument/2006/relationships/image" Target="media/image1.png"/><Relationship Id="rId15" Type="http://schemas.openxmlformats.org/officeDocument/2006/relationships/hyperlink" Target="https://www.reuters.com/business/energy/exxon-led-consortium-guyana-hits-500-mln-barrels-oil-production-2024-11-13/?utm_source=chatgpt.com" TargetMode="External"/><Relationship Id="rId10" Type="http://schemas.openxmlformats.org/officeDocument/2006/relationships/hyperlink" Target="https://corporate.exxonmobil.com/who-we-are/our-global-organization/business-divisions/upstream/global-projec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nvestor.exxonmobil.com/sec-filings/all-sec-filings/content/0000034088-25-000010/0000034088-25-000010.pdf?utm_source=chatgpt.com" TargetMode="External"/><Relationship Id="rId14" Type="http://schemas.openxmlformats.org/officeDocument/2006/relationships/hyperlink" Target="https://www.reuters.com/markets/commodities/china-start-up-guangdong-lng-terminal-exxonmobil-has-20-yr-access-2024-09-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22</Pages>
  <Words>7094</Words>
  <Characters>40436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37</cp:revision>
  <dcterms:created xsi:type="dcterms:W3CDTF">2025-10-21T08:58:00Z</dcterms:created>
  <dcterms:modified xsi:type="dcterms:W3CDTF">2025-10-21T11:42:00Z</dcterms:modified>
</cp:coreProperties>
</file>