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F320E" w14:textId="4EC80C9D" w:rsidR="009C6BCB" w:rsidRDefault="257F2432" w:rsidP="4F14DA1B">
      <w:pPr>
        <w:spacing w:line="360" w:lineRule="auto"/>
        <w:jc w:val="both"/>
        <w:rPr>
          <w:rFonts w:ascii="Times New Roman" w:eastAsia="Times New Roman" w:hAnsi="Times New Roman" w:cs="Times New Roman"/>
          <w:color w:val="000000" w:themeColor="text1"/>
        </w:rPr>
      </w:pPr>
      <w:r>
        <w:rPr>
          <w:noProof/>
        </w:rPr>
        <w:drawing>
          <wp:inline distT="0" distB="0" distL="0" distR="0" wp14:anchorId="614C9D94" wp14:editId="223BCBA5">
            <wp:extent cx="2619375" cy="1171575"/>
            <wp:effectExtent l="0" t="0" r="0" b="0"/>
            <wp:docPr id="12541612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161256" name="Picture 1254161256"/>
                    <pic:cNvPicPr/>
                  </pic:nvPicPr>
                  <pic:blipFill>
                    <a:blip r:embed="rId7">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14:paraId="1C0DF495" w14:textId="06B2D861" w:rsidR="009C6BCB" w:rsidRPr="000144A3" w:rsidRDefault="257F2432" w:rsidP="00FF41CE">
      <w:pPr>
        <w:spacing w:line="360" w:lineRule="auto"/>
        <w:jc w:val="both"/>
        <w:rPr>
          <w:rFonts w:ascii="Arial" w:eastAsia="Segoe UI" w:hAnsi="Arial" w:cs="Arial"/>
          <w:color w:val="000000" w:themeColor="text1"/>
          <w:sz w:val="22"/>
          <w:szCs w:val="22"/>
          <w:lang w:val="en-GB"/>
        </w:rPr>
      </w:pPr>
      <w:r w:rsidRPr="000144A3">
        <w:rPr>
          <w:rFonts w:ascii="Segoe UI" w:eastAsia="Segoe UI" w:hAnsi="Segoe UI" w:cs="Segoe UI"/>
          <w:color w:val="000000" w:themeColor="text1"/>
          <w:sz w:val="20"/>
          <w:szCs w:val="20"/>
          <w:lang w:val="en-GB"/>
        </w:rPr>
        <w:t xml:space="preserve"> </w:t>
      </w:r>
      <w:r w:rsidRPr="000144A3">
        <w:rPr>
          <w:rFonts w:ascii="Arial" w:eastAsia="Arial" w:hAnsi="Arial" w:cs="Arial"/>
          <w:b/>
          <w:bCs/>
          <w:color w:val="000000" w:themeColor="text1"/>
          <w:sz w:val="22"/>
          <w:szCs w:val="22"/>
          <w:lang w:val="en-GB"/>
        </w:rPr>
        <w:t xml:space="preserve">Name: </w:t>
      </w:r>
      <w:r w:rsidR="60435706" w:rsidRPr="000144A3">
        <w:rPr>
          <w:rFonts w:ascii="Arial" w:eastAsia="Arial" w:hAnsi="Arial" w:cs="Arial"/>
          <w:color w:val="000000" w:themeColor="text1"/>
          <w:sz w:val="22"/>
          <w:szCs w:val="22"/>
          <w:lang w:val="en-GB"/>
        </w:rPr>
        <w:t>Viviane G. Binda</w:t>
      </w:r>
    </w:p>
    <w:p w14:paraId="7EBFE8B4" w14:textId="083A400B" w:rsidR="009C6BCB" w:rsidRPr="00FF41CE" w:rsidRDefault="257F2432" w:rsidP="00FF41CE">
      <w:pPr>
        <w:spacing w:line="360" w:lineRule="auto"/>
        <w:jc w:val="both"/>
        <w:rPr>
          <w:rFonts w:ascii="Arial" w:eastAsia="Arial" w:hAnsi="Arial" w:cs="Arial"/>
          <w:color w:val="000000" w:themeColor="text1"/>
          <w:sz w:val="22"/>
          <w:szCs w:val="22"/>
          <w:lang w:val="en-GB"/>
        </w:rPr>
      </w:pPr>
      <w:r w:rsidRPr="000144A3">
        <w:rPr>
          <w:rFonts w:ascii="Arial" w:eastAsia="Arial" w:hAnsi="Arial" w:cs="Arial"/>
          <w:b/>
          <w:bCs/>
          <w:color w:val="000000" w:themeColor="text1"/>
          <w:sz w:val="22"/>
          <w:szCs w:val="22"/>
          <w:lang w:val="en-GB"/>
        </w:rPr>
        <w:t xml:space="preserve">Student ID: </w:t>
      </w:r>
      <w:r w:rsidR="6E052AF9" w:rsidRPr="000144A3">
        <w:rPr>
          <w:rFonts w:ascii="Arial" w:eastAsia="Arial" w:hAnsi="Arial" w:cs="Arial"/>
          <w:color w:val="000000" w:themeColor="text1"/>
          <w:sz w:val="22"/>
          <w:szCs w:val="22"/>
          <w:lang w:val="en-GB"/>
        </w:rPr>
        <w:t>2526140</w:t>
      </w:r>
    </w:p>
    <w:p w14:paraId="1CE70361" w14:textId="1C59A9A5" w:rsidR="009C6BCB" w:rsidRPr="00FF41CE" w:rsidRDefault="257F2432" w:rsidP="00FF41CE">
      <w:pPr>
        <w:spacing w:line="360" w:lineRule="auto"/>
        <w:jc w:val="both"/>
        <w:rPr>
          <w:rFonts w:ascii="Arial" w:eastAsia="Arial" w:hAnsi="Arial" w:cs="Arial"/>
          <w:color w:val="000000" w:themeColor="text1"/>
          <w:sz w:val="22"/>
          <w:szCs w:val="22"/>
          <w:lang w:val="en-GB"/>
        </w:rPr>
      </w:pPr>
      <w:r w:rsidRPr="000144A3">
        <w:rPr>
          <w:rFonts w:ascii="Arial" w:eastAsia="Arial" w:hAnsi="Arial" w:cs="Arial"/>
          <w:b/>
          <w:bCs/>
          <w:color w:val="000000" w:themeColor="text1"/>
          <w:sz w:val="22"/>
          <w:szCs w:val="22"/>
          <w:lang w:val="en-GB"/>
        </w:rPr>
        <w:t xml:space="preserve">Module Code: </w:t>
      </w:r>
      <w:r w:rsidR="6AD00159" w:rsidRPr="000144A3">
        <w:rPr>
          <w:rFonts w:ascii="Arial" w:eastAsia="Arial" w:hAnsi="Arial" w:cs="Arial"/>
          <w:color w:val="000000" w:themeColor="text1"/>
          <w:sz w:val="22"/>
          <w:szCs w:val="22"/>
          <w:lang w:val="en-GB"/>
        </w:rPr>
        <w:t>LCHS4007</w:t>
      </w:r>
    </w:p>
    <w:p w14:paraId="1E5069FE" w14:textId="73632FFC" w:rsidR="009C6BCB" w:rsidRPr="00FF41CE" w:rsidRDefault="257F2432" w:rsidP="00FF41CE">
      <w:pPr>
        <w:spacing w:line="360" w:lineRule="auto"/>
        <w:jc w:val="both"/>
        <w:rPr>
          <w:rFonts w:ascii="Arial" w:eastAsia="Arial" w:hAnsi="Arial" w:cs="Arial"/>
          <w:color w:val="000000" w:themeColor="text1"/>
          <w:sz w:val="22"/>
          <w:szCs w:val="22"/>
          <w:lang w:val="en-GB"/>
        </w:rPr>
      </w:pPr>
      <w:r w:rsidRPr="000144A3">
        <w:rPr>
          <w:rFonts w:ascii="Arial" w:eastAsia="Arial" w:hAnsi="Arial" w:cs="Arial"/>
          <w:b/>
          <w:bCs/>
          <w:color w:val="000000" w:themeColor="text1"/>
          <w:sz w:val="22"/>
          <w:szCs w:val="22"/>
          <w:lang w:val="en-GB"/>
        </w:rPr>
        <w:t xml:space="preserve">Module: </w:t>
      </w:r>
      <w:r w:rsidR="78B4905D" w:rsidRPr="000144A3">
        <w:rPr>
          <w:rFonts w:ascii="Arial" w:eastAsia="Arial" w:hAnsi="Arial" w:cs="Arial"/>
          <w:color w:val="000000" w:themeColor="text1"/>
          <w:sz w:val="22"/>
          <w:szCs w:val="22"/>
          <w:lang w:val="en-GB"/>
        </w:rPr>
        <w:t>Digital Skills and Research Methods</w:t>
      </w:r>
    </w:p>
    <w:p w14:paraId="3159FE56" w14:textId="4EECC636" w:rsidR="009C6BCB" w:rsidRDefault="257F2432" w:rsidP="00FF41CE">
      <w:pPr>
        <w:spacing w:line="360" w:lineRule="auto"/>
        <w:jc w:val="both"/>
        <w:rPr>
          <w:rFonts w:ascii="Arial" w:eastAsia="Arial" w:hAnsi="Arial" w:cs="Arial"/>
          <w:color w:val="000000" w:themeColor="text1"/>
          <w:sz w:val="22"/>
          <w:szCs w:val="22"/>
          <w:lang w:val="en-GB"/>
        </w:rPr>
      </w:pPr>
      <w:r w:rsidRPr="000144A3">
        <w:rPr>
          <w:rFonts w:ascii="Arial" w:eastAsia="Arial" w:hAnsi="Arial" w:cs="Arial"/>
          <w:b/>
          <w:bCs/>
          <w:color w:val="000000" w:themeColor="text1"/>
          <w:sz w:val="22"/>
          <w:szCs w:val="22"/>
          <w:lang w:val="en-GB"/>
        </w:rPr>
        <w:t>Lecturer</w:t>
      </w:r>
      <w:r w:rsidRPr="000144A3">
        <w:rPr>
          <w:rFonts w:ascii="Arial" w:eastAsia="Arial" w:hAnsi="Arial" w:cs="Arial"/>
          <w:color w:val="000000" w:themeColor="text1"/>
          <w:sz w:val="22"/>
          <w:szCs w:val="22"/>
          <w:lang w:val="en-GB"/>
        </w:rPr>
        <w:t>: Justin Okoli</w:t>
      </w:r>
    </w:p>
    <w:p w14:paraId="686B5643" w14:textId="7064D65E" w:rsidR="00EC1C91" w:rsidRPr="000A453F" w:rsidRDefault="00EC1C91" w:rsidP="00FF41CE">
      <w:pPr>
        <w:spacing w:line="360" w:lineRule="auto"/>
        <w:jc w:val="both"/>
        <w:rPr>
          <w:rFonts w:ascii="Arial" w:eastAsia="Arial" w:hAnsi="Arial" w:cs="Arial"/>
          <w:color w:val="000000" w:themeColor="text1"/>
          <w:sz w:val="22"/>
          <w:szCs w:val="22"/>
          <w:lang w:val="en-GB"/>
        </w:rPr>
      </w:pPr>
      <w:r>
        <w:rPr>
          <w:rFonts w:ascii="Arial" w:eastAsia="Arial" w:hAnsi="Arial" w:cs="Arial"/>
          <w:b/>
          <w:bCs/>
          <w:color w:val="000000" w:themeColor="text1"/>
          <w:sz w:val="22"/>
          <w:szCs w:val="22"/>
          <w:lang w:val="en-GB"/>
        </w:rPr>
        <w:t>T</w:t>
      </w:r>
      <w:r w:rsidRPr="006C4F52">
        <w:rPr>
          <w:rFonts w:ascii="Arial" w:eastAsia="Arial" w:hAnsi="Arial" w:cs="Arial"/>
          <w:b/>
          <w:bCs/>
          <w:color w:val="000000" w:themeColor="text1"/>
          <w:sz w:val="22"/>
          <w:szCs w:val="22"/>
          <w:lang w:val="en-GB"/>
        </w:rPr>
        <w:t>ask Title:</w:t>
      </w:r>
      <w:r w:rsidR="004E34BF">
        <w:rPr>
          <w:rFonts w:ascii="Arial" w:eastAsia="Arial" w:hAnsi="Arial" w:cs="Arial"/>
          <w:b/>
          <w:bCs/>
          <w:color w:val="000000" w:themeColor="text1"/>
          <w:sz w:val="22"/>
          <w:szCs w:val="22"/>
          <w:lang w:val="en-GB"/>
        </w:rPr>
        <w:t xml:space="preserve"> </w:t>
      </w:r>
      <w:r w:rsidR="000A453F" w:rsidRPr="000A453F">
        <w:rPr>
          <w:rFonts w:ascii="Arial" w:eastAsia="Arial" w:hAnsi="Arial" w:cs="Arial"/>
          <w:color w:val="000000" w:themeColor="text1"/>
          <w:sz w:val="22"/>
          <w:szCs w:val="22"/>
          <w:lang w:val="en-GB"/>
        </w:rPr>
        <w:t>Research Report</w:t>
      </w:r>
    </w:p>
    <w:p w14:paraId="748BD9EB" w14:textId="77777777" w:rsidR="008C6A66" w:rsidRDefault="008C6A66" w:rsidP="00FF41CE">
      <w:pPr>
        <w:spacing w:line="360" w:lineRule="auto"/>
        <w:jc w:val="both"/>
        <w:rPr>
          <w:rFonts w:ascii="Arial" w:eastAsia="Arial" w:hAnsi="Arial" w:cs="Arial"/>
          <w:b/>
          <w:bCs/>
          <w:color w:val="000000" w:themeColor="text1"/>
          <w:sz w:val="22"/>
          <w:szCs w:val="22"/>
          <w:lang w:val="en-GB"/>
        </w:rPr>
      </w:pPr>
    </w:p>
    <w:p w14:paraId="52B3FD3E" w14:textId="2E0E4578" w:rsidR="00075FCB" w:rsidRPr="002B5657" w:rsidRDefault="002B5657" w:rsidP="00FF41CE">
      <w:pPr>
        <w:spacing w:line="360" w:lineRule="auto"/>
        <w:jc w:val="both"/>
        <w:rPr>
          <w:lang w:val="en-GB"/>
        </w:rPr>
      </w:pPr>
      <w:r w:rsidRPr="002B5657">
        <w:rPr>
          <w:rFonts w:ascii="Arial" w:eastAsia="Arial" w:hAnsi="Arial" w:cs="Arial"/>
          <w:b/>
          <w:bCs/>
          <w:color w:val="000000" w:themeColor="text1"/>
          <w:sz w:val="22"/>
          <w:szCs w:val="22"/>
          <w:lang w:val="en-GB"/>
        </w:rPr>
        <w:t>The Impact of NHS Waiting Times on Patients’ Lives in the UK</w:t>
      </w:r>
      <w:r>
        <w:rPr>
          <w:rFonts w:ascii="Arial" w:eastAsia="Arial" w:hAnsi="Arial" w:cs="Arial"/>
          <w:b/>
          <w:bCs/>
          <w:color w:val="000000" w:themeColor="text1"/>
          <w:sz w:val="22"/>
          <w:szCs w:val="22"/>
          <w:lang w:val="en-GB"/>
        </w:rPr>
        <w:t xml:space="preserve"> </w:t>
      </w:r>
    </w:p>
    <w:p w14:paraId="3E4667F0" w14:textId="77777777" w:rsidR="008C6A66" w:rsidRDefault="008C6A66" w:rsidP="00FF41CE">
      <w:pPr>
        <w:spacing w:after="0" w:line="360" w:lineRule="auto"/>
        <w:jc w:val="both"/>
        <w:rPr>
          <w:rFonts w:ascii="Arial" w:hAnsi="Arial" w:cs="Arial"/>
          <w:b/>
          <w:bCs/>
          <w:sz w:val="22"/>
          <w:szCs w:val="22"/>
          <w:lang w:val="en-GB"/>
        </w:rPr>
      </w:pPr>
    </w:p>
    <w:p w14:paraId="41A5F071" w14:textId="2C39BE4D" w:rsidR="7D6EBF6D" w:rsidRPr="000144A3" w:rsidRDefault="1273FD29" w:rsidP="00FF41CE">
      <w:pPr>
        <w:spacing w:after="0" w:line="360" w:lineRule="auto"/>
        <w:jc w:val="both"/>
        <w:rPr>
          <w:rFonts w:ascii="Arial" w:hAnsi="Arial" w:cs="Arial"/>
          <w:b/>
          <w:bCs/>
          <w:sz w:val="22"/>
          <w:szCs w:val="22"/>
          <w:lang w:val="en-GB"/>
        </w:rPr>
      </w:pPr>
      <w:r w:rsidRPr="000144A3">
        <w:rPr>
          <w:rFonts w:ascii="Arial" w:hAnsi="Arial" w:cs="Arial"/>
          <w:b/>
          <w:bCs/>
          <w:sz w:val="22"/>
          <w:szCs w:val="22"/>
          <w:lang w:val="en-GB"/>
        </w:rPr>
        <w:t>Introduction</w:t>
      </w:r>
    </w:p>
    <w:p w14:paraId="47567B87" w14:textId="77777777" w:rsidR="00C171C5" w:rsidRPr="000144A3" w:rsidRDefault="00C171C5" w:rsidP="00FF41CE">
      <w:pPr>
        <w:spacing w:after="0" w:line="360" w:lineRule="auto"/>
        <w:jc w:val="both"/>
        <w:rPr>
          <w:rFonts w:ascii="Arial" w:hAnsi="Arial" w:cs="Arial"/>
          <w:b/>
          <w:bCs/>
          <w:sz w:val="22"/>
          <w:szCs w:val="22"/>
          <w:lang w:val="en-GB"/>
        </w:rPr>
      </w:pPr>
    </w:p>
    <w:p w14:paraId="1D888B2D" w14:textId="46EA13CE"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The UK's public health system, known as the National Health Service (NHS), is currently facing significant challenges related to increased waiting times for specialist consultations and treatments. In the British model, patients often need to consult a General Practitioner (GP) first before being referred to specialists, which can prolong access to treatment. Recent data indicate that millions of patients are on waiting lists in the NHS (NHS England, 2026). This report will look at the problem of waiting times, discuss who is affected and why it is important, critically assess the credibility of the sources used, explore qualitative research methodology, and look at the importance of primary data collection to understand patients' experience in the health and social care system (The King's Fund,  2025).</w:t>
      </w:r>
    </w:p>
    <w:p w14:paraId="25812B4A" w14:textId="77777777" w:rsidR="00BC0373"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 </w:t>
      </w:r>
    </w:p>
    <w:p w14:paraId="79DF7F27" w14:textId="5A87C443"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b/>
          <w:bCs/>
          <w:sz w:val="22"/>
          <w:szCs w:val="22"/>
          <w:lang w:val="en-GB"/>
        </w:rPr>
        <w:t xml:space="preserve">Task 1 – Selection of the Research Topic </w:t>
      </w:r>
    </w:p>
    <w:p w14:paraId="6A4BF1CE" w14:textId="38C3E003"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One of the main current challenges in the UK healthcare system is the increasing waiting time for specialist consultations and treatments in the NHS. After being seen by a General Practitioner (GP), many patients are referred to </w:t>
      </w:r>
      <w:r w:rsidR="00B17A51" w:rsidRPr="000144A3">
        <w:rPr>
          <w:rFonts w:ascii="Arial" w:eastAsia="Arial" w:hAnsi="Arial" w:cs="Arial"/>
          <w:sz w:val="22"/>
          <w:szCs w:val="22"/>
          <w:lang w:val="en-GB"/>
        </w:rPr>
        <w:t>specialists but</w:t>
      </w:r>
      <w:r w:rsidRPr="000144A3">
        <w:rPr>
          <w:rFonts w:ascii="Arial" w:eastAsia="Arial" w:hAnsi="Arial" w:cs="Arial"/>
          <w:sz w:val="22"/>
          <w:szCs w:val="22"/>
          <w:lang w:val="en-GB"/>
        </w:rPr>
        <w:t xml:space="preserve"> face significant delays due to the high demand for services and limited resources available (The King's Fund, 2025).</w:t>
      </w:r>
    </w:p>
    <w:p w14:paraId="541363EF" w14:textId="0106B8EB"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lastRenderedPageBreak/>
        <w:t>According to NHS England, millions of patients are currently on waiting lists for hospital treatment (NHS England, 2026). This scenario demonstrates that the problem is not temporary, but structural within the health system. In addition, factors such as staff shortages, an aging population, and an increase in chronic diseases contribute to the continued growth of waiting lists (ONS, 2026).</w:t>
      </w:r>
    </w:p>
    <w:p w14:paraId="04DEF2F7" w14:textId="259C1236"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This problem directly affects patients, as delays in treatment can aggravate health conditions and negatively impact emotional well-being. Prolonged waiting can lead to anxiety, uncertainty, and frustration, especially in cases of untreated conditions (BBC News, 2024). Health professionals are also affected, as they face greater pressure due to the overload of the system, which can influence the quality of care provided.</w:t>
      </w:r>
    </w:p>
    <w:p w14:paraId="61E9850D" w14:textId="04FBB599"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This theme is relevant because it highlights structural challenges in the health and social care system and raises questions about equity, access, and quality of services. In addition, understanding this problem directly contributes to professional development, allowing for a more empathetic, patient-</w:t>
      </w:r>
      <w:proofErr w:type="spellStart"/>
      <w:r w:rsidRPr="000144A3">
        <w:rPr>
          <w:rFonts w:ascii="Arial" w:eastAsia="Arial" w:hAnsi="Arial" w:cs="Arial"/>
          <w:sz w:val="22"/>
          <w:szCs w:val="22"/>
          <w:lang w:val="en-GB"/>
        </w:rPr>
        <w:t>centered</w:t>
      </w:r>
      <w:proofErr w:type="spellEnd"/>
      <w:r w:rsidRPr="000144A3">
        <w:rPr>
          <w:rFonts w:ascii="Arial" w:eastAsia="Arial" w:hAnsi="Arial" w:cs="Arial"/>
          <w:sz w:val="22"/>
          <w:szCs w:val="22"/>
          <w:lang w:val="en-GB"/>
        </w:rPr>
        <w:t>, and evidence-based approach in future practice.</w:t>
      </w:r>
    </w:p>
    <w:p w14:paraId="7F864EF5" w14:textId="77777777" w:rsidR="00FF41CE"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 </w:t>
      </w:r>
    </w:p>
    <w:p w14:paraId="7F7F1A4F" w14:textId="4B405EEC"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b/>
          <w:bCs/>
          <w:sz w:val="22"/>
          <w:szCs w:val="22"/>
          <w:lang w:val="en-GB"/>
        </w:rPr>
        <w:t xml:space="preserve">Task 2 – Evaluation and Validation of Sources </w:t>
      </w:r>
    </w:p>
    <w:p w14:paraId="796DBCEA" w14:textId="724F35A5"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To analyse the problem of waiting times in the NHS in an academic way, it is essential to use reliable, up-to-date and relevant sources. In this study, different categories of sources were selected, including official statistics, independent analyses, demographic data, and scientific literature. NHS England was used as the main source of quantitative data. This organization publishes official statistics known as Referral to Treatment (RTT), which follow strict standards of quality, transparency, and </w:t>
      </w:r>
      <w:proofErr w:type="gramStart"/>
      <w:r w:rsidRPr="000144A3">
        <w:rPr>
          <w:rFonts w:ascii="Arial" w:eastAsia="Arial" w:hAnsi="Arial" w:cs="Arial"/>
          <w:sz w:val="22"/>
          <w:szCs w:val="22"/>
          <w:lang w:val="en-GB"/>
        </w:rPr>
        <w:t>up-to-date</w:t>
      </w:r>
      <w:proofErr w:type="gramEnd"/>
      <w:r w:rsidRPr="000144A3">
        <w:rPr>
          <w:rFonts w:ascii="Arial" w:eastAsia="Arial" w:hAnsi="Arial" w:cs="Arial"/>
          <w:sz w:val="22"/>
          <w:szCs w:val="22"/>
          <w:lang w:val="en-GB"/>
        </w:rPr>
        <w:t xml:space="preserve"> (NHS England, 2026). This data is considered reliable because it goes through validation processes and is produced by a government entity responsible for managing the health system. The King's Fund was used to provide a critical analysis of the problem. Unlike NHS England, this organization interprets the data and explains its causes. According to the King's Fund, factors such as a shortage of professionals, increased demand, and the impact of the pandemic contributed to the growth of waiting lists (The King's Fund, 2025). This allows us to understand the problem in more depth. The Office for National Statistics was used to contextualize the problem within population changes. As the UK's leading statistical body, the ONS provides reliable data on population ageing and public health (ONS, 2026). These data demonstrate that the demand for health services tends to increase. In addition to these sources, BBC News was used to present the social impact of the problem. Although it is not an academic source, it contributes to demonstrating how the topic is discussed publicly and how it affects people's lives (BBC News, 2024). To strengthen academic validity, scientific literature was also used. The study by (Rivas et al. 2025) </w:t>
      </w:r>
      <w:r w:rsidRPr="000144A3">
        <w:rPr>
          <w:rFonts w:ascii="Arial" w:eastAsia="Arial" w:hAnsi="Arial" w:cs="Arial"/>
          <w:sz w:val="22"/>
          <w:szCs w:val="22"/>
          <w:lang w:val="en-GB"/>
        </w:rPr>
        <w:lastRenderedPageBreak/>
        <w:t>demonstrates that delays in the health system have a significant impact on patients' quality of life. In addition, authors such as Green and Thorogood (2018) highlight the importance of qualitative research to understand individual experiences, while Kvale and Brinkmann (2009) emphasize the use of interviews as a method of data collection. Mays and Pope (2000) emphasize the need to ensure validity and reliability in qualitative research. Overall, these sources are reliable and complementary. However, the predominance of quantitative data highlights the need to include qualitative approaches to better understand patient experiences.</w:t>
      </w:r>
    </w:p>
    <w:p w14:paraId="3AF3260C" w14:textId="77777777" w:rsidR="00711972"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 </w:t>
      </w:r>
    </w:p>
    <w:p w14:paraId="48D9F979" w14:textId="67762841"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b/>
          <w:bCs/>
          <w:sz w:val="22"/>
          <w:szCs w:val="22"/>
          <w:lang w:val="en-GB"/>
        </w:rPr>
        <w:t xml:space="preserve">Task 3 – Research Methodology </w:t>
      </w:r>
    </w:p>
    <w:p w14:paraId="67254841" w14:textId="2DA991D3"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 Research methodology refers to the strategies used to investigate a problem in a systematic and rigorous way. In the context of health, it is essential to use methods that allow understanding both the dimension of the problem and its impact on the lives of patients. Quantitative research is based on the analysis of numerical data and allows for the identification of patterns and trends, such as the number of patients on waiting lists (NHS England, 2026). However, despite its usefulness, this type of approach does not capture the individual experience of patients. On the other hand, qualitative research focuses on people's experiences, perceptions, and feelings. According to Green and Thorogood (2018), this type of research is essential to understand how individuals interpret their experiences in the health system. Methods such as interviews are particularly effective for collecting detailed data (Kvale and Brinkmann, 2009). In addition, the quality of qualitative research should be evaluated based on criteria such as credibility, reliability, and validity (Mays and Pope, 2000). These criteria ensure that the data is consistent and relevant. Recent studies reinforce this approach. Rivas et al. (2025) demonstrate that delays in the health system significantly affect the quality of life of patients. In this way, the qualitative methodology allows for a deeper, patient-</w:t>
      </w:r>
      <w:proofErr w:type="spellStart"/>
      <w:r w:rsidRPr="000144A3">
        <w:rPr>
          <w:rFonts w:ascii="Arial" w:eastAsia="Arial" w:hAnsi="Arial" w:cs="Arial"/>
          <w:sz w:val="22"/>
          <w:szCs w:val="22"/>
          <w:lang w:val="en-GB"/>
        </w:rPr>
        <w:t>centered</w:t>
      </w:r>
      <w:proofErr w:type="spellEnd"/>
      <w:r w:rsidRPr="000144A3">
        <w:rPr>
          <w:rFonts w:ascii="Arial" w:eastAsia="Arial" w:hAnsi="Arial" w:cs="Arial"/>
          <w:sz w:val="22"/>
          <w:szCs w:val="22"/>
          <w:lang w:val="en-GB"/>
        </w:rPr>
        <w:t xml:space="preserve"> analysis based on scientific evidence.</w:t>
      </w:r>
    </w:p>
    <w:p w14:paraId="3431C72B" w14:textId="77777777" w:rsidR="00F14196"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 </w:t>
      </w:r>
    </w:p>
    <w:p w14:paraId="345CC3CD" w14:textId="25511F7D" w:rsidR="0061098F"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b/>
          <w:bCs/>
          <w:sz w:val="22"/>
          <w:szCs w:val="22"/>
          <w:lang w:val="en-GB"/>
        </w:rPr>
        <w:t xml:space="preserve">Task 4 – Data Collection </w:t>
      </w:r>
    </w:p>
    <w:p w14:paraId="2F3F0E45" w14:textId="291F646F"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Data collection is an essential step in the research process, as it allows you to gather relevant information to answer the problem investigated. In the field of health and social care, it is important to use different types of data to understand both the dimension of the problem and the impact on individuals' lives. The data can be classified into quantitative and qualitative, as well as primary and secondary. Quantitative research involves numerical and statistical </w:t>
      </w:r>
      <w:proofErr w:type="gramStart"/>
      <w:r w:rsidRPr="000144A3">
        <w:rPr>
          <w:rFonts w:ascii="Arial" w:eastAsia="Arial" w:hAnsi="Arial" w:cs="Arial"/>
          <w:sz w:val="22"/>
          <w:szCs w:val="22"/>
          <w:lang w:val="en-GB"/>
        </w:rPr>
        <w:t>data, and</w:t>
      </w:r>
      <w:proofErr w:type="gramEnd"/>
      <w:r w:rsidRPr="000144A3">
        <w:rPr>
          <w:rFonts w:ascii="Arial" w:eastAsia="Arial" w:hAnsi="Arial" w:cs="Arial"/>
          <w:sz w:val="22"/>
          <w:szCs w:val="22"/>
          <w:lang w:val="en-GB"/>
        </w:rPr>
        <w:t xml:space="preserve"> is useful for identifying large-scale patterns and trends. For example, data from NHS England allows us to analyse the number of patients on waiting lists and the average duration </w:t>
      </w:r>
      <w:r w:rsidRPr="000144A3">
        <w:rPr>
          <w:rFonts w:ascii="Arial" w:eastAsia="Arial" w:hAnsi="Arial" w:cs="Arial"/>
          <w:sz w:val="22"/>
          <w:szCs w:val="22"/>
          <w:lang w:val="en-GB"/>
        </w:rPr>
        <w:lastRenderedPageBreak/>
        <w:t xml:space="preserve">of these delays (NHS England, 2026). However, as Mays and Pope (2000) point out, this type of data does not explain how patients experience these situations. On the other hand, qualitative research focuses on people's experiences, perceptions, and feelings. This type of approach allows us to understand the real impact of health problems on the lives of individuals. According to Green and Thorogood (2018), qualitative research is essential to explore the human dimension of health services. Secondary data include information that has already been published, such as official reports and statistics (NHS England, 2026; ONS, 2026). This data is important to understand the scale of the problem. Primary data, on the other hand, are collected directly by the researcher, usually through interviews or reports (Kvale and Brinkmann, 2009). An example of qualitative primary data can be observed through a personal experience. My husband was diagnosed with sleep </w:t>
      </w:r>
      <w:proofErr w:type="spellStart"/>
      <w:r w:rsidRPr="000144A3">
        <w:rPr>
          <w:rFonts w:ascii="Arial" w:eastAsia="Arial" w:hAnsi="Arial" w:cs="Arial"/>
          <w:sz w:val="22"/>
          <w:szCs w:val="22"/>
          <w:lang w:val="en-GB"/>
        </w:rPr>
        <w:t>apnea</w:t>
      </w:r>
      <w:proofErr w:type="spellEnd"/>
      <w:r w:rsidRPr="000144A3">
        <w:rPr>
          <w:rFonts w:ascii="Arial" w:eastAsia="Arial" w:hAnsi="Arial" w:cs="Arial"/>
          <w:sz w:val="22"/>
          <w:szCs w:val="22"/>
          <w:lang w:val="en-GB"/>
        </w:rPr>
        <w:t xml:space="preserve"> and had to wait approximately nine months to start treatment with the CPAP machine. During this time, he experienced constant fatigue, difficulty sleeping, and concern about his health. This report highlights how waiting times affect not only the physical health, but also the emotional well-being of patients, reinforcing the importance of qualitative research to understand these experiences (Rivas et al., 2025).</w:t>
      </w:r>
    </w:p>
    <w:p w14:paraId="62006610" w14:textId="77777777" w:rsidR="006E5DE4" w:rsidRPr="000144A3" w:rsidRDefault="006E5DE4" w:rsidP="00FF41CE">
      <w:pPr>
        <w:spacing w:line="360" w:lineRule="auto"/>
        <w:jc w:val="both"/>
        <w:rPr>
          <w:rFonts w:ascii="Arial" w:hAnsi="Arial" w:cs="Arial"/>
          <w:sz w:val="22"/>
          <w:szCs w:val="22"/>
          <w:lang w:val="en-GB"/>
        </w:rPr>
      </w:pPr>
    </w:p>
    <w:p w14:paraId="0B398665" w14:textId="113965BB"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b/>
          <w:bCs/>
          <w:sz w:val="22"/>
          <w:szCs w:val="22"/>
          <w:lang w:val="en-GB"/>
        </w:rPr>
        <w:t xml:space="preserve">Conclusion </w:t>
      </w:r>
    </w:p>
    <w:p w14:paraId="6E953974" w14:textId="3A3AD599"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In conclusion, long waiting times in the NHS pose a significant challenge to the UK healthcare system. This problem affects patients, professionals, and health organizations, and is influenced by factors such as increased demand, shortage of professionals, and demographic changes (ONS, 2026; The King's Fund, 2025). The evidence </w:t>
      </w:r>
      <w:r w:rsidR="00FA2757" w:rsidRPr="000144A3">
        <w:rPr>
          <w:rFonts w:ascii="Arial" w:eastAsia="Arial" w:hAnsi="Arial" w:cs="Arial"/>
          <w:sz w:val="22"/>
          <w:szCs w:val="22"/>
          <w:lang w:val="en-GB"/>
        </w:rPr>
        <w:t>analysed</w:t>
      </w:r>
      <w:r w:rsidRPr="000144A3">
        <w:rPr>
          <w:rFonts w:ascii="Arial" w:eastAsia="Arial" w:hAnsi="Arial" w:cs="Arial"/>
          <w:sz w:val="22"/>
          <w:szCs w:val="22"/>
          <w:lang w:val="en-GB"/>
        </w:rPr>
        <w:t xml:space="preserve"> demonstrates that, although quantitative data are important to understand the dimension of the problem, they are not enough to explain its impact on people's lives. Qualitative research plays an essential role in enabling a deeper understanding of patients' experiences (Rivas et al., 2025). Therefore, the combination of different research approaches is critical to improving access to health services, promoting more effective care, and supporting the development of patient-</w:t>
      </w:r>
      <w:proofErr w:type="spellStart"/>
      <w:r w:rsidRPr="000144A3">
        <w:rPr>
          <w:rFonts w:ascii="Arial" w:eastAsia="Arial" w:hAnsi="Arial" w:cs="Arial"/>
          <w:sz w:val="22"/>
          <w:szCs w:val="22"/>
          <w:lang w:val="en-GB"/>
        </w:rPr>
        <w:t>centered</w:t>
      </w:r>
      <w:proofErr w:type="spellEnd"/>
      <w:r w:rsidRPr="000144A3">
        <w:rPr>
          <w:rFonts w:ascii="Arial" w:eastAsia="Arial" w:hAnsi="Arial" w:cs="Arial"/>
          <w:sz w:val="22"/>
          <w:szCs w:val="22"/>
          <w:lang w:val="en-GB"/>
        </w:rPr>
        <w:t xml:space="preserve"> practices in the health and social care system.</w:t>
      </w:r>
    </w:p>
    <w:p w14:paraId="059C7CE8" w14:textId="4BBFCF4D" w:rsidR="7D6EBF6D" w:rsidRPr="000144A3" w:rsidRDefault="712D4C67" w:rsidP="00FF41CE">
      <w:pPr>
        <w:spacing w:line="360" w:lineRule="auto"/>
        <w:jc w:val="both"/>
        <w:rPr>
          <w:rFonts w:ascii="Arial" w:hAnsi="Arial" w:cs="Arial"/>
          <w:sz w:val="22"/>
          <w:szCs w:val="22"/>
          <w:lang w:val="en-GB"/>
        </w:rPr>
      </w:pPr>
      <w:r w:rsidRPr="000144A3">
        <w:rPr>
          <w:rFonts w:ascii="Arial" w:eastAsia="Arial" w:hAnsi="Arial" w:cs="Arial"/>
          <w:sz w:val="22"/>
          <w:szCs w:val="22"/>
          <w:lang w:val="en-GB"/>
        </w:rPr>
        <w:t xml:space="preserve"> </w:t>
      </w:r>
    </w:p>
    <w:p w14:paraId="62EAE075" w14:textId="77777777" w:rsidR="000144A3" w:rsidRDefault="000144A3" w:rsidP="00FF41CE">
      <w:pPr>
        <w:spacing w:line="360" w:lineRule="auto"/>
        <w:jc w:val="both"/>
        <w:rPr>
          <w:rFonts w:ascii="Arial" w:eastAsia="Arial" w:hAnsi="Arial" w:cs="Arial"/>
          <w:b/>
          <w:bCs/>
          <w:sz w:val="22"/>
          <w:szCs w:val="22"/>
          <w:lang w:val="en-GB"/>
        </w:rPr>
      </w:pPr>
    </w:p>
    <w:p w14:paraId="2EC35EBB" w14:textId="77777777" w:rsidR="000144A3" w:rsidRDefault="000144A3" w:rsidP="00FF41CE">
      <w:pPr>
        <w:spacing w:line="360" w:lineRule="auto"/>
        <w:jc w:val="both"/>
        <w:rPr>
          <w:rFonts w:ascii="Arial" w:eastAsia="Arial" w:hAnsi="Arial" w:cs="Arial"/>
          <w:b/>
          <w:bCs/>
          <w:sz w:val="22"/>
          <w:szCs w:val="22"/>
          <w:lang w:val="en-GB"/>
        </w:rPr>
      </w:pPr>
    </w:p>
    <w:p w14:paraId="1C6A56D3" w14:textId="77777777" w:rsidR="000144A3" w:rsidRDefault="000144A3" w:rsidP="00FF41CE">
      <w:pPr>
        <w:spacing w:line="360" w:lineRule="auto"/>
        <w:jc w:val="both"/>
        <w:rPr>
          <w:rFonts w:ascii="Arial" w:eastAsia="Arial" w:hAnsi="Arial" w:cs="Arial"/>
          <w:b/>
          <w:bCs/>
          <w:sz w:val="22"/>
          <w:szCs w:val="22"/>
          <w:lang w:val="en-GB"/>
        </w:rPr>
      </w:pPr>
    </w:p>
    <w:p w14:paraId="5666A7F2" w14:textId="77777777" w:rsidR="00FA2757" w:rsidRDefault="00FA2757" w:rsidP="00FF41CE">
      <w:pPr>
        <w:spacing w:line="360" w:lineRule="auto"/>
        <w:jc w:val="both"/>
        <w:rPr>
          <w:rFonts w:ascii="Arial" w:eastAsia="Arial" w:hAnsi="Arial" w:cs="Arial"/>
          <w:b/>
          <w:bCs/>
          <w:sz w:val="22"/>
          <w:szCs w:val="22"/>
          <w:lang w:val="en-GB"/>
        </w:rPr>
      </w:pPr>
    </w:p>
    <w:p w14:paraId="6E1072F8" w14:textId="7E21166F" w:rsidR="7D6EBF6D" w:rsidRPr="000144A3" w:rsidRDefault="712D4C67" w:rsidP="00FF41CE">
      <w:pPr>
        <w:spacing w:line="360" w:lineRule="auto"/>
        <w:jc w:val="both"/>
        <w:rPr>
          <w:rFonts w:ascii="Arial" w:eastAsia="Arial" w:hAnsi="Arial" w:cs="Arial"/>
          <w:b/>
          <w:bCs/>
          <w:sz w:val="22"/>
          <w:szCs w:val="22"/>
          <w:lang w:val="en-GB"/>
        </w:rPr>
      </w:pPr>
      <w:r w:rsidRPr="000144A3">
        <w:rPr>
          <w:rFonts w:ascii="Arial" w:eastAsia="Arial" w:hAnsi="Arial" w:cs="Arial"/>
          <w:b/>
          <w:bCs/>
          <w:sz w:val="22"/>
          <w:szCs w:val="22"/>
          <w:lang w:val="en-GB"/>
        </w:rPr>
        <w:lastRenderedPageBreak/>
        <w:t>Reference List</w:t>
      </w:r>
    </w:p>
    <w:p w14:paraId="2F209798" w14:textId="77777777"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BBC News</w:t>
      </w:r>
      <w:r w:rsidRPr="000144A3">
        <w:rPr>
          <w:rFonts w:ascii="Arial" w:eastAsia="Times New Roman" w:hAnsi="Arial" w:cs="Arial"/>
          <w:sz w:val="22"/>
          <w:szCs w:val="22"/>
          <w:lang w:val="en-GB" w:eastAsia="en-GB"/>
        </w:rPr>
        <w:t xml:space="preserve"> (2024) </w:t>
      </w:r>
      <w:r w:rsidRPr="000144A3">
        <w:rPr>
          <w:rFonts w:ascii="Arial" w:eastAsia="Times New Roman" w:hAnsi="Arial" w:cs="Arial"/>
          <w:i/>
          <w:iCs/>
          <w:sz w:val="22"/>
          <w:szCs w:val="22"/>
          <w:lang w:val="en-GB" w:eastAsia="en-GB"/>
        </w:rPr>
        <w:t>NHS waiting lists and healthcare pressure</w:t>
      </w:r>
      <w:r w:rsidRPr="000144A3">
        <w:rPr>
          <w:rFonts w:ascii="Arial" w:eastAsia="Times New Roman" w:hAnsi="Arial" w:cs="Arial"/>
          <w:sz w:val="22"/>
          <w:szCs w:val="22"/>
          <w:lang w:val="en-GB" w:eastAsia="en-GB"/>
        </w:rPr>
        <w:t xml:space="preserve">. Available at: </w:t>
      </w:r>
      <w:hyperlink r:id="rId8" w:tgtFrame="_new" w:history="1">
        <w:r w:rsidRPr="000144A3">
          <w:rPr>
            <w:rFonts w:ascii="Arial" w:eastAsia="Times New Roman" w:hAnsi="Arial" w:cs="Arial"/>
            <w:color w:val="0000FF"/>
            <w:sz w:val="22"/>
            <w:szCs w:val="22"/>
            <w:u w:val="single"/>
            <w:lang w:val="en-GB" w:eastAsia="en-GB"/>
          </w:rPr>
          <w:t>https://www.bbc.com/news/health</w:t>
        </w:r>
      </w:hyperlink>
      <w:r w:rsidRPr="000144A3">
        <w:rPr>
          <w:rFonts w:ascii="Arial" w:eastAsia="Times New Roman" w:hAnsi="Arial" w:cs="Arial"/>
          <w:sz w:val="22"/>
          <w:szCs w:val="22"/>
          <w:lang w:val="en-GB" w:eastAsia="en-GB"/>
        </w:rPr>
        <w:br/>
        <w:t>(Accessed: 20 March 2026).</w:t>
      </w:r>
    </w:p>
    <w:p w14:paraId="7543B34E" w14:textId="77777777"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Green, J. and Thorogood, N.</w:t>
      </w:r>
      <w:r w:rsidRPr="000144A3">
        <w:rPr>
          <w:rFonts w:ascii="Arial" w:eastAsia="Times New Roman" w:hAnsi="Arial" w:cs="Arial"/>
          <w:sz w:val="22"/>
          <w:szCs w:val="22"/>
          <w:lang w:val="en-GB" w:eastAsia="en-GB"/>
        </w:rPr>
        <w:t xml:space="preserve"> (2018) </w:t>
      </w:r>
      <w:r w:rsidRPr="000144A3">
        <w:rPr>
          <w:rFonts w:ascii="Arial" w:eastAsia="Times New Roman" w:hAnsi="Arial" w:cs="Arial"/>
          <w:i/>
          <w:iCs/>
          <w:sz w:val="22"/>
          <w:szCs w:val="22"/>
          <w:lang w:val="en-GB" w:eastAsia="en-GB"/>
        </w:rPr>
        <w:t>Qualitative Methods for Health Research</w:t>
      </w:r>
      <w:r w:rsidRPr="000144A3">
        <w:rPr>
          <w:rFonts w:ascii="Arial" w:eastAsia="Times New Roman" w:hAnsi="Arial" w:cs="Arial"/>
          <w:sz w:val="22"/>
          <w:szCs w:val="22"/>
          <w:lang w:val="en-GB" w:eastAsia="en-GB"/>
        </w:rPr>
        <w:t xml:space="preserve">. 4th </w:t>
      </w:r>
      <w:proofErr w:type="spellStart"/>
      <w:r w:rsidRPr="000144A3">
        <w:rPr>
          <w:rFonts w:ascii="Arial" w:eastAsia="Times New Roman" w:hAnsi="Arial" w:cs="Arial"/>
          <w:sz w:val="22"/>
          <w:szCs w:val="22"/>
          <w:lang w:val="en-GB" w:eastAsia="en-GB"/>
        </w:rPr>
        <w:t>edn</w:t>
      </w:r>
      <w:proofErr w:type="spellEnd"/>
      <w:r w:rsidRPr="000144A3">
        <w:rPr>
          <w:rFonts w:ascii="Arial" w:eastAsia="Times New Roman" w:hAnsi="Arial" w:cs="Arial"/>
          <w:sz w:val="22"/>
          <w:szCs w:val="22"/>
          <w:lang w:val="en-GB" w:eastAsia="en-GB"/>
        </w:rPr>
        <w:t>. London: SAGE. Available at: https://books.google.com/books?id=6h9QDwAAQBAJ(Accessed: 20 March 2026).</w:t>
      </w:r>
    </w:p>
    <w:p w14:paraId="37851B16" w14:textId="77777777"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Kvale, S. and Brinkmann, S.</w:t>
      </w:r>
      <w:r w:rsidRPr="000144A3">
        <w:rPr>
          <w:rFonts w:ascii="Arial" w:eastAsia="Times New Roman" w:hAnsi="Arial" w:cs="Arial"/>
          <w:sz w:val="22"/>
          <w:szCs w:val="22"/>
          <w:lang w:val="en-GB" w:eastAsia="en-GB"/>
        </w:rPr>
        <w:t xml:space="preserve"> (2009) </w:t>
      </w:r>
      <w:proofErr w:type="spellStart"/>
      <w:r w:rsidRPr="000144A3">
        <w:rPr>
          <w:rFonts w:ascii="Arial" w:eastAsia="Times New Roman" w:hAnsi="Arial" w:cs="Arial"/>
          <w:i/>
          <w:iCs/>
          <w:sz w:val="22"/>
          <w:szCs w:val="22"/>
          <w:lang w:val="en-GB" w:eastAsia="en-GB"/>
        </w:rPr>
        <w:t>InterViews</w:t>
      </w:r>
      <w:proofErr w:type="spellEnd"/>
      <w:r w:rsidRPr="000144A3">
        <w:rPr>
          <w:rFonts w:ascii="Arial" w:eastAsia="Times New Roman" w:hAnsi="Arial" w:cs="Arial"/>
          <w:i/>
          <w:iCs/>
          <w:sz w:val="22"/>
          <w:szCs w:val="22"/>
          <w:lang w:val="en-GB" w:eastAsia="en-GB"/>
        </w:rPr>
        <w:t>: Learning the Craft of Qualitative Research Interviewing</w:t>
      </w:r>
      <w:r w:rsidRPr="000144A3">
        <w:rPr>
          <w:rFonts w:ascii="Arial" w:eastAsia="Times New Roman" w:hAnsi="Arial" w:cs="Arial"/>
          <w:sz w:val="22"/>
          <w:szCs w:val="22"/>
          <w:lang w:val="en-GB" w:eastAsia="en-GB"/>
        </w:rPr>
        <w:t xml:space="preserve">. 2nd </w:t>
      </w:r>
      <w:proofErr w:type="spellStart"/>
      <w:r w:rsidRPr="000144A3">
        <w:rPr>
          <w:rFonts w:ascii="Arial" w:eastAsia="Times New Roman" w:hAnsi="Arial" w:cs="Arial"/>
          <w:sz w:val="22"/>
          <w:szCs w:val="22"/>
          <w:lang w:val="en-GB" w:eastAsia="en-GB"/>
        </w:rPr>
        <w:t>edn</w:t>
      </w:r>
      <w:proofErr w:type="spellEnd"/>
      <w:r w:rsidRPr="000144A3">
        <w:rPr>
          <w:rFonts w:ascii="Arial" w:eastAsia="Times New Roman" w:hAnsi="Arial" w:cs="Arial"/>
          <w:sz w:val="22"/>
          <w:szCs w:val="22"/>
          <w:lang w:val="en-GB" w:eastAsia="en-GB"/>
        </w:rPr>
        <w:t>. London: SAGE. Available at: https://books.google.com/books?id=F4W1BwAAQBAJ(Accessed: 20 March 2026).</w:t>
      </w:r>
    </w:p>
    <w:p w14:paraId="53DD24E0" w14:textId="15B5FB6E"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Mays, N. and Pope, C.</w:t>
      </w:r>
      <w:r w:rsidRPr="000144A3">
        <w:rPr>
          <w:rFonts w:ascii="Arial" w:eastAsia="Times New Roman" w:hAnsi="Arial" w:cs="Arial"/>
          <w:sz w:val="22"/>
          <w:szCs w:val="22"/>
          <w:lang w:val="en-GB" w:eastAsia="en-GB"/>
        </w:rPr>
        <w:t xml:space="preserve"> (2000) ‘Assessing quality in qualitative research’, </w:t>
      </w:r>
      <w:r w:rsidRPr="000144A3">
        <w:rPr>
          <w:rFonts w:ascii="Arial" w:eastAsia="Times New Roman" w:hAnsi="Arial" w:cs="Arial"/>
          <w:i/>
          <w:iCs/>
          <w:sz w:val="22"/>
          <w:szCs w:val="22"/>
          <w:lang w:val="en-GB" w:eastAsia="en-GB"/>
        </w:rPr>
        <w:t>BMJ</w:t>
      </w:r>
      <w:r w:rsidRPr="000144A3">
        <w:rPr>
          <w:rFonts w:ascii="Arial" w:eastAsia="Times New Roman" w:hAnsi="Arial" w:cs="Arial"/>
          <w:sz w:val="22"/>
          <w:szCs w:val="22"/>
          <w:lang w:val="en-GB" w:eastAsia="en-GB"/>
        </w:rPr>
        <w:t>, 320(7226), pp. 50–</w:t>
      </w:r>
      <w:proofErr w:type="gramStart"/>
      <w:r w:rsidRPr="000144A3">
        <w:rPr>
          <w:rFonts w:ascii="Arial" w:eastAsia="Times New Roman" w:hAnsi="Arial" w:cs="Arial"/>
          <w:sz w:val="22"/>
          <w:szCs w:val="22"/>
          <w:lang w:val="en-GB" w:eastAsia="en-GB"/>
        </w:rPr>
        <w:t>52.Available</w:t>
      </w:r>
      <w:proofErr w:type="gramEnd"/>
      <w:r w:rsidRPr="000144A3">
        <w:rPr>
          <w:rFonts w:ascii="Arial" w:eastAsia="Times New Roman" w:hAnsi="Arial" w:cs="Arial"/>
          <w:sz w:val="22"/>
          <w:szCs w:val="22"/>
          <w:lang w:val="en-GB" w:eastAsia="en-GB"/>
        </w:rPr>
        <w:t xml:space="preserve"> at: https://www.bmj.com/content/320/7226/50(Accessed: 20 March 2026).</w:t>
      </w:r>
    </w:p>
    <w:p w14:paraId="5590A398" w14:textId="77777777"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NHS England</w:t>
      </w:r>
      <w:r w:rsidRPr="000144A3">
        <w:rPr>
          <w:rFonts w:ascii="Arial" w:eastAsia="Times New Roman" w:hAnsi="Arial" w:cs="Arial"/>
          <w:sz w:val="22"/>
          <w:szCs w:val="22"/>
          <w:lang w:val="en-GB" w:eastAsia="en-GB"/>
        </w:rPr>
        <w:t xml:space="preserve"> (2026) </w:t>
      </w:r>
      <w:r w:rsidRPr="000144A3">
        <w:rPr>
          <w:rFonts w:ascii="Arial" w:eastAsia="Times New Roman" w:hAnsi="Arial" w:cs="Arial"/>
          <w:i/>
          <w:iCs/>
          <w:sz w:val="22"/>
          <w:szCs w:val="22"/>
          <w:lang w:val="en-GB" w:eastAsia="en-GB"/>
        </w:rPr>
        <w:t>Referral to Treatment (RTT) Waiting Times</w:t>
      </w:r>
      <w:r w:rsidRPr="000144A3">
        <w:rPr>
          <w:rFonts w:ascii="Arial" w:eastAsia="Times New Roman" w:hAnsi="Arial" w:cs="Arial"/>
          <w:sz w:val="22"/>
          <w:szCs w:val="22"/>
          <w:lang w:val="en-GB" w:eastAsia="en-GB"/>
        </w:rPr>
        <w:t xml:space="preserve">. Available at: </w:t>
      </w:r>
      <w:hyperlink r:id="rId9" w:tgtFrame="_new" w:history="1">
        <w:r w:rsidRPr="000144A3">
          <w:rPr>
            <w:rFonts w:ascii="Arial" w:eastAsia="Times New Roman" w:hAnsi="Arial" w:cs="Arial"/>
            <w:color w:val="0000FF"/>
            <w:sz w:val="22"/>
            <w:szCs w:val="22"/>
            <w:u w:val="single"/>
            <w:lang w:val="en-GB" w:eastAsia="en-GB"/>
          </w:rPr>
          <w:t>https://www.england.nhs.uk/statistics/statistical-work-areas/rtt-waiting-times/</w:t>
        </w:r>
      </w:hyperlink>
      <w:r w:rsidRPr="000144A3">
        <w:rPr>
          <w:rFonts w:ascii="Arial" w:eastAsia="Times New Roman" w:hAnsi="Arial" w:cs="Arial"/>
          <w:sz w:val="22"/>
          <w:szCs w:val="22"/>
          <w:lang w:val="en-GB" w:eastAsia="en-GB"/>
        </w:rPr>
        <w:br/>
        <w:t>(Accessed: 20 March 2026).</w:t>
      </w:r>
    </w:p>
    <w:p w14:paraId="5526A51C" w14:textId="77777777"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Office for National Statistics</w:t>
      </w:r>
      <w:r w:rsidRPr="000144A3">
        <w:rPr>
          <w:rFonts w:ascii="Arial" w:eastAsia="Times New Roman" w:hAnsi="Arial" w:cs="Arial"/>
          <w:sz w:val="22"/>
          <w:szCs w:val="22"/>
          <w:lang w:val="en-GB" w:eastAsia="en-GB"/>
        </w:rPr>
        <w:t xml:space="preserve"> (2026) </w:t>
      </w:r>
      <w:r w:rsidRPr="000144A3">
        <w:rPr>
          <w:rFonts w:ascii="Arial" w:eastAsia="Times New Roman" w:hAnsi="Arial" w:cs="Arial"/>
          <w:i/>
          <w:iCs/>
          <w:sz w:val="22"/>
          <w:szCs w:val="22"/>
          <w:lang w:val="en-GB" w:eastAsia="en-GB"/>
        </w:rPr>
        <w:t>Health and social care</w:t>
      </w:r>
      <w:r w:rsidRPr="000144A3">
        <w:rPr>
          <w:rFonts w:ascii="Arial" w:eastAsia="Times New Roman" w:hAnsi="Arial" w:cs="Arial"/>
          <w:sz w:val="22"/>
          <w:szCs w:val="22"/>
          <w:lang w:val="en-GB" w:eastAsia="en-GB"/>
        </w:rPr>
        <w:t xml:space="preserve">. Available at: </w:t>
      </w:r>
      <w:hyperlink r:id="rId10" w:tgtFrame="_new" w:history="1">
        <w:r w:rsidRPr="000144A3">
          <w:rPr>
            <w:rFonts w:ascii="Arial" w:eastAsia="Times New Roman" w:hAnsi="Arial" w:cs="Arial"/>
            <w:color w:val="0000FF"/>
            <w:sz w:val="22"/>
            <w:szCs w:val="22"/>
            <w:u w:val="single"/>
            <w:lang w:val="en-GB" w:eastAsia="en-GB"/>
          </w:rPr>
          <w:t>https://www.ons.gov.uk/peoplepopulationandcommunity/healthandsocialcare</w:t>
        </w:r>
      </w:hyperlink>
      <w:r w:rsidRPr="000144A3">
        <w:rPr>
          <w:rFonts w:ascii="Arial" w:eastAsia="Times New Roman" w:hAnsi="Arial" w:cs="Arial"/>
          <w:sz w:val="22"/>
          <w:szCs w:val="22"/>
          <w:lang w:val="en-GB" w:eastAsia="en-GB"/>
        </w:rPr>
        <w:br/>
        <w:t>(Accessed: 20 March 2026).</w:t>
      </w:r>
    </w:p>
    <w:p w14:paraId="79F7E22D" w14:textId="14DC610E"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Rivas, C. et al.</w:t>
      </w:r>
      <w:r w:rsidRPr="000144A3">
        <w:rPr>
          <w:rFonts w:ascii="Arial" w:eastAsia="Times New Roman" w:hAnsi="Arial" w:cs="Arial"/>
          <w:sz w:val="22"/>
          <w:szCs w:val="22"/>
          <w:lang w:val="en-GB" w:eastAsia="en-GB"/>
        </w:rPr>
        <w:t xml:space="preserve"> (2025) ‘Qualitative perspectives on waiting lists, deferrals and backlogs in health and social care’, </w:t>
      </w:r>
      <w:r w:rsidRPr="000144A3">
        <w:rPr>
          <w:rFonts w:ascii="Arial" w:eastAsia="Times New Roman" w:hAnsi="Arial" w:cs="Arial"/>
          <w:i/>
          <w:iCs/>
          <w:sz w:val="22"/>
          <w:szCs w:val="22"/>
          <w:lang w:val="en-GB" w:eastAsia="en-GB"/>
        </w:rPr>
        <w:t>BMJ Open</w:t>
      </w:r>
      <w:r w:rsidRPr="000144A3">
        <w:rPr>
          <w:rFonts w:ascii="Arial" w:eastAsia="Times New Roman" w:hAnsi="Arial" w:cs="Arial"/>
          <w:sz w:val="22"/>
          <w:szCs w:val="22"/>
          <w:lang w:val="en-GB" w:eastAsia="en-GB"/>
        </w:rPr>
        <w:t xml:space="preserve">, 15(4). Available at: </w:t>
      </w:r>
      <w:hyperlink r:id="rId11" w:tgtFrame="_new" w:history="1">
        <w:r w:rsidRPr="000144A3">
          <w:rPr>
            <w:rFonts w:ascii="Arial" w:eastAsia="Times New Roman" w:hAnsi="Arial" w:cs="Arial"/>
            <w:color w:val="0000FF"/>
            <w:sz w:val="22"/>
            <w:szCs w:val="22"/>
            <w:u w:val="single"/>
            <w:lang w:val="en-GB" w:eastAsia="en-GB"/>
          </w:rPr>
          <w:t>https://bmjopen.bmj.com/content/15/4/e091182</w:t>
        </w:r>
      </w:hyperlink>
      <w:r w:rsidRPr="000144A3">
        <w:rPr>
          <w:rFonts w:ascii="Arial" w:eastAsia="Times New Roman" w:hAnsi="Arial" w:cs="Arial"/>
          <w:sz w:val="22"/>
          <w:szCs w:val="22"/>
          <w:lang w:val="en-GB" w:eastAsia="en-GB"/>
        </w:rPr>
        <w:br/>
        <w:t>(Accessed: 20 March 2026).</w:t>
      </w:r>
    </w:p>
    <w:p w14:paraId="41C31924" w14:textId="77777777" w:rsidR="007C4CA6" w:rsidRPr="007C4CA6" w:rsidRDefault="007C4CA6" w:rsidP="006E5DE4">
      <w:pPr>
        <w:spacing w:before="100" w:beforeAutospacing="1" w:after="100" w:afterAutospacing="1" w:line="360" w:lineRule="auto"/>
        <w:rPr>
          <w:rFonts w:ascii="Arial" w:eastAsia="Times New Roman" w:hAnsi="Arial" w:cs="Arial"/>
          <w:sz w:val="22"/>
          <w:szCs w:val="22"/>
          <w:lang w:val="en-GB" w:eastAsia="en-GB"/>
        </w:rPr>
      </w:pPr>
      <w:r w:rsidRPr="000144A3">
        <w:rPr>
          <w:rFonts w:ascii="Arial" w:eastAsia="Times New Roman" w:hAnsi="Arial" w:cs="Arial"/>
          <w:b/>
          <w:bCs/>
          <w:sz w:val="22"/>
          <w:szCs w:val="22"/>
          <w:lang w:val="en-GB" w:eastAsia="en-GB"/>
        </w:rPr>
        <w:t>The King’s Fund</w:t>
      </w:r>
      <w:r w:rsidRPr="000144A3">
        <w:rPr>
          <w:rFonts w:ascii="Arial" w:eastAsia="Times New Roman" w:hAnsi="Arial" w:cs="Arial"/>
          <w:sz w:val="22"/>
          <w:szCs w:val="22"/>
          <w:lang w:val="en-GB" w:eastAsia="en-GB"/>
        </w:rPr>
        <w:t xml:space="preserve"> (2025) </w:t>
      </w:r>
      <w:r w:rsidRPr="000144A3">
        <w:rPr>
          <w:rFonts w:ascii="Arial" w:eastAsia="Times New Roman" w:hAnsi="Arial" w:cs="Arial"/>
          <w:i/>
          <w:iCs/>
          <w:sz w:val="22"/>
          <w:szCs w:val="22"/>
          <w:lang w:val="en-GB" w:eastAsia="en-GB"/>
        </w:rPr>
        <w:t>Waiting times for elective (non-urgent) treatment</w:t>
      </w:r>
      <w:r w:rsidRPr="000144A3">
        <w:rPr>
          <w:rFonts w:ascii="Arial" w:eastAsia="Times New Roman" w:hAnsi="Arial" w:cs="Arial"/>
          <w:sz w:val="22"/>
          <w:szCs w:val="22"/>
          <w:lang w:val="en-GB" w:eastAsia="en-GB"/>
        </w:rPr>
        <w:t xml:space="preserve">. Available at: </w:t>
      </w:r>
      <w:hyperlink r:id="rId12" w:tgtFrame="_new" w:history="1">
        <w:r w:rsidRPr="000144A3">
          <w:rPr>
            <w:rFonts w:ascii="Arial" w:eastAsia="Times New Roman" w:hAnsi="Arial" w:cs="Arial"/>
            <w:color w:val="0000FF"/>
            <w:sz w:val="22"/>
            <w:szCs w:val="22"/>
            <w:u w:val="single"/>
            <w:lang w:val="en-GB" w:eastAsia="en-GB"/>
          </w:rPr>
          <w:t>https://www.kingsfund.org.uk/insight-and-analysis/data-and-charts/waiting-times-non-urgent-treatment</w:t>
        </w:r>
      </w:hyperlink>
      <w:r w:rsidRPr="000144A3">
        <w:rPr>
          <w:rFonts w:ascii="Arial" w:eastAsia="Times New Roman" w:hAnsi="Arial" w:cs="Arial"/>
          <w:sz w:val="22"/>
          <w:szCs w:val="22"/>
          <w:lang w:val="en-GB" w:eastAsia="en-GB"/>
        </w:rPr>
        <w:br/>
        <w:t>(Accessed: 20 March 2026).</w:t>
      </w:r>
    </w:p>
    <w:p w14:paraId="3B747E85" w14:textId="4D33942B" w:rsidR="007C4CA6" w:rsidRPr="00FF41CE" w:rsidRDefault="007C4CA6" w:rsidP="006E5DE4">
      <w:pPr>
        <w:spacing w:line="360" w:lineRule="auto"/>
        <w:rPr>
          <w:rFonts w:ascii="Arial" w:hAnsi="Arial" w:cs="Arial"/>
          <w:sz w:val="22"/>
          <w:szCs w:val="22"/>
          <w:lang w:val="en-GB"/>
        </w:rPr>
      </w:pPr>
    </w:p>
    <w:sectPr w:rsidR="007C4CA6" w:rsidRPr="00FF41CE">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36BF7" w14:textId="77777777" w:rsidR="00651E24" w:rsidRDefault="00651E24" w:rsidP="000144A3">
      <w:pPr>
        <w:spacing w:after="0" w:line="240" w:lineRule="auto"/>
      </w:pPr>
      <w:r>
        <w:separator/>
      </w:r>
    </w:p>
  </w:endnote>
  <w:endnote w:type="continuationSeparator" w:id="0">
    <w:p w14:paraId="4AB406FD" w14:textId="77777777" w:rsidR="00651E24" w:rsidRDefault="00651E24" w:rsidP="00014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44314"/>
      <w:docPartObj>
        <w:docPartGallery w:val="Page Numbers (Bottom of Page)"/>
        <w:docPartUnique/>
      </w:docPartObj>
    </w:sdtPr>
    <w:sdtEndPr>
      <w:rPr>
        <w:noProof/>
      </w:rPr>
    </w:sdtEndPr>
    <w:sdtContent>
      <w:p w14:paraId="7FCE1EB7" w14:textId="18E75D11" w:rsidR="000144A3" w:rsidRDefault="000144A3">
        <w:pPr>
          <w:pStyle w:val="Footer"/>
        </w:pPr>
        <w:r>
          <w:fldChar w:fldCharType="begin"/>
        </w:r>
        <w:r>
          <w:instrText xml:space="preserve"> PAGE   \* MERGEFORMAT </w:instrText>
        </w:r>
        <w:r>
          <w:fldChar w:fldCharType="separate"/>
        </w:r>
        <w:r>
          <w:rPr>
            <w:noProof/>
          </w:rPr>
          <w:t>2</w:t>
        </w:r>
        <w:r>
          <w:rPr>
            <w:noProof/>
          </w:rPr>
          <w:fldChar w:fldCharType="end"/>
        </w:r>
      </w:p>
    </w:sdtContent>
  </w:sdt>
  <w:p w14:paraId="130BB1B7" w14:textId="77777777" w:rsidR="000144A3" w:rsidRDefault="00014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66B5" w14:textId="77777777" w:rsidR="00651E24" w:rsidRDefault="00651E24" w:rsidP="000144A3">
      <w:pPr>
        <w:spacing w:after="0" w:line="240" w:lineRule="auto"/>
      </w:pPr>
      <w:r>
        <w:separator/>
      </w:r>
    </w:p>
  </w:footnote>
  <w:footnote w:type="continuationSeparator" w:id="0">
    <w:p w14:paraId="1639EEE7" w14:textId="77777777" w:rsidR="00651E24" w:rsidRDefault="00651E24" w:rsidP="000144A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g9J6WEcbw4gpg" int2:id="oUvN7fmN">
      <int2:state int2:value="Rejected" int2:type="spell"/>
    </int2:textHash>
    <int2:textHash int2:hashCode="dgGDTlSVsufBJF" int2:id="igH8kaEi">
      <int2:state int2:value="Rejected" int2:type="spell"/>
    </int2:textHash>
    <int2:textHash int2:hashCode="ULBlQxzfmMKwFQ" int2:id="rPhToty7">
      <int2:state int2:value="Rejected" int2:type="spell"/>
    </int2:textHash>
    <int2:textHash int2:hashCode="go0zipsEIhycvi" int2:id="GjtbNiwV">
      <int2:state int2:value="Rejected" int2:type="spell"/>
    </int2:textHash>
    <int2:textHash int2:hashCode="1tIHbOOG0QZ7Tl" int2:id="2pa6GdW8">
      <int2:state int2:value="Rejected" int2:type="spell"/>
    </int2:textHash>
    <int2:textHash int2:hashCode="UMB4j1tMD1swr/" int2:id="xHcapQT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12EA"/>
    <w:multiLevelType w:val="hybridMultilevel"/>
    <w:tmpl w:val="1A2696BA"/>
    <w:lvl w:ilvl="0" w:tplc="EE582E82">
      <w:start w:val="4"/>
      <w:numFmt w:val="decimal"/>
      <w:lvlText w:val="%1."/>
      <w:lvlJc w:val="left"/>
      <w:pPr>
        <w:ind w:left="720" w:hanging="360"/>
      </w:pPr>
      <w:rPr>
        <w:rFonts w:ascii="Arial" w:hAnsi="Arial" w:hint="default"/>
      </w:rPr>
    </w:lvl>
    <w:lvl w:ilvl="1" w:tplc="82B03D00">
      <w:start w:val="1"/>
      <w:numFmt w:val="lowerLetter"/>
      <w:lvlText w:val="%2."/>
      <w:lvlJc w:val="left"/>
      <w:pPr>
        <w:ind w:left="1440" w:hanging="360"/>
      </w:pPr>
    </w:lvl>
    <w:lvl w:ilvl="2" w:tplc="96CCBB72">
      <w:start w:val="1"/>
      <w:numFmt w:val="lowerRoman"/>
      <w:lvlText w:val="%3."/>
      <w:lvlJc w:val="right"/>
      <w:pPr>
        <w:ind w:left="2160" w:hanging="180"/>
      </w:pPr>
    </w:lvl>
    <w:lvl w:ilvl="3" w:tplc="8F483044">
      <w:start w:val="1"/>
      <w:numFmt w:val="decimal"/>
      <w:lvlText w:val="%4."/>
      <w:lvlJc w:val="left"/>
      <w:pPr>
        <w:ind w:left="2880" w:hanging="360"/>
      </w:pPr>
    </w:lvl>
    <w:lvl w:ilvl="4" w:tplc="0BD659D4">
      <w:start w:val="1"/>
      <w:numFmt w:val="lowerLetter"/>
      <w:lvlText w:val="%5."/>
      <w:lvlJc w:val="left"/>
      <w:pPr>
        <w:ind w:left="3600" w:hanging="360"/>
      </w:pPr>
    </w:lvl>
    <w:lvl w:ilvl="5" w:tplc="6D3CFFD8">
      <w:start w:val="1"/>
      <w:numFmt w:val="lowerRoman"/>
      <w:lvlText w:val="%6."/>
      <w:lvlJc w:val="right"/>
      <w:pPr>
        <w:ind w:left="4320" w:hanging="180"/>
      </w:pPr>
    </w:lvl>
    <w:lvl w:ilvl="6" w:tplc="B89E1160">
      <w:start w:val="1"/>
      <w:numFmt w:val="decimal"/>
      <w:lvlText w:val="%7."/>
      <w:lvlJc w:val="left"/>
      <w:pPr>
        <w:ind w:left="5040" w:hanging="360"/>
      </w:pPr>
    </w:lvl>
    <w:lvl w:ilvl="7" w:tplc="E7C8638C">
      <w:start w:val="1"/>
      <w:numFmt w:val="lowerLetter"/>
      <w:lvlText w:val="%8."/>
      <w:lvlJc w:val="left"/>
      <w:pPr>
        <w:ind w:left="5760" w:hanging="360"/>
      </w:pPr>
    </w:lvl>
    <w:lvl w:ilvl="8" w:tplc="4A30883E">
      <w:start w:val="1"/>
      <w:numFmt w:val="lowerRoman"/>
      <w:lvlText w:val="%9."/>
      <w:lvlJc w:val="right"/>
      <w:pPr>
        <w:ind w:left="6480" w:hanging="180"/>
      </w:pPr>
    </w:lvl>
  </w:abstractNum>
  <w:abstractNum w:abstractNumId="1" w15:restartNumberingAfterBreak="0">
    <w:nsid w:val="3E159761"/>
    <w:multiLevelType w:val="hybridMultilevel"/>
    <w:tmpl w:val="159A1516"/>
    <w:lvl w:ilvl="0" w:tplc="416E99D4">
      <w:start w:val="3"/>
      <w:numFmt w:val="decimal"/>
      <w:lvlText w:val="%1."/>
      <w:lvlJc w:val="left"/>
      <w:pPr>
        <w:ind w:left="720" w:hanging="360"/>
      </w:pPr>
      <w:rPr>
        <w:rFonts w:ascii="Arial" w:hAnsi="Arial" w:hint="default"/>
      </w:rPr>
    </w:lvl>
    <w:lvl w:ilvl="1" w:tplc="C14C0B96">
      <w:start w:val="1"/>
      <w:numFmt w:val="lowerLetter"/>
      <w:lvlText w:val="%2."/>
      <w:lvlJc w:val="left"/>
      <w:pPr>
        <w:ind w:left="1440" w:hanging="360"/>
      </w:pPr>
    </w:lvl>
    <w:lvl w:ilvl="2" w:tplc="B46C35F8">
      <w:start w:val="1"/>
      <w:numFmt w:val="lowerRoman"/>
      <w:lvlText w:val="%3."/>
      <w:lvlJc w:val="right"/>
      <w:pPr>
        <w:ind w:left="2160" w:hanging="180"/>
      </w:pPr>
    </w:lvl>
    <w:lvl w:ilvl="3" w:tplc="DB0855BE">
      <w:start w:val="1"/>
      <w:numFmt w:val="decimal"/>
      <w:lvlText w:val="%4."/>
      <w:lvlJc w:val="left"/>
      <w:pPr>
        <w:ind w:left="2880" w:hanging="360"/>
      </w:pPr>
    </w:lvl>
    <w:lvl w:ilvl="4" w:tplc="D9D67058">
      <w:start w:val="1"/>
      <w:numFmt w:val="lowerLetter"/>
      <w:lvlText w:val="%5."/>
      <w:lvlJc w:val="left"/>
      <w:pPr>
        <w:ind w:left="3600" w:hanging="360"/>
      </w:pPr>
    </w:lvl>
    <w:lvl w:ilvl="5" w:tplc="3A065400">
      <w:start w:val="1"/>
      <w:numFmt w:val="lowerRoman"/>
      <w:lvlText w:val="%6."/>
      <w:lvlJc w:val="right"/>
      <w:pPr>
        <w:ind w:left="4320" w:hanging="180"/>
      </w:pPr>
    </w:lvl>
    <w:lvl w:ilvl="6" w:tplc="F264AB96">
      <w:start w:val="1"/>
      <w:numFmt w:val="decimal"/>
      <w:lvlText w:val="%7."/>
      <w:lvlJc w:val="left"/>
      <w:pPr>
        <w:ind w:left="5040" w:hanging="360"/>
      </w:pPr>
    </w:lvl>
    <w:lvl w:ilvl="7" w:tplc="36DE4124">
      <w:start w:val="1"/>
      <w:numFmt w:val="lowerLetter"/>
      <w:lvlText w:val="%8."/>
      <w:lvlJc w:val="left"/>
      <w:pPr>
        <w:ind w:left="5760" w:hanging="360"/>
      </w:pPr>
    </w:lvl>
    <w:lvl w:ilvl="8" w:tplc="4D0E8B1C">
      <w:start w:val="1"/>
      <w:numFmt w:val="lowerRoman"/>
      <w:lvlText w:val="%9."/>
      <w:lvlJc w:val="right"/>
      <w:pPr>
        <w:ind w:left="6480" w:hanging="180"/>
      </w:pPr>
    </w:lvl>
  </w:abstractNum>
  <w:abstractNum w:abstractNumId="2" w15:restartNumberingAfterBreak="0">
    <w:nsid w:val="46E5395B"/>
    <w:multiLevelType w:val="hybridMultilevel"/>
    <w:tmpl w:val="CE1CC5E6"/>
    <w:lvl w:ilvl="0" w:tplc="C4544012">
      <w:start w:val="5"/>
      <w:numFmt w:val="decimal"/>
      <w:lvlText w:val="%1."/>
      <w:lvlJc w:val="left"/>
      <w:pPr>
        <w:ind w:left="720" w:hanging="360"/>
      </w:pPr>
      <w:rPr>
        <w:rFonts w:ascii="Arial" w:hAnsi="Arial" w:hint="default"/>
      </w:rPr>
    </w:lvl>
    <w:lvl w:ilvl="1" w:tplc="5158F2C4">
      <w:start w:val="1"/>
      <w:numFmt w:val="lowerLetter"/>
      <w:lvlText w:val="%2."/>
      <w:lvlJc w:val="left"/>
      <w:pPr>
        <w:ind w:left="1440" w:hanging="360"/>
      </w:pPr>
    </w:lvl>
    <w:lvl w:ilvl="2" w:tplc="E60A8BC0">
      <w:start w:val="1"/>
      <w:numFmt w:val="lowerRoman"/>
      <w:lvlText w:val="%3."/>
      <w:lvlJc w:val="right"/>
      <w:pPr>
        <w:ind w:left="2160" w:hanging="180"/>
      </w:pPr>
    </w:lvl>
    <w:lvl w:ilvl="3" w:tplc="B6AEDDA2">
      <w:start w:val="1"/>
      <w:numFmt w:val="decimal"/>
      <w:lvlText w:val="%4."/>
      <w:lvlJc w:val="left"/>
      <w:pPr>
        <w:ind w:left="2880" w:hanging="360"/>
      </w:pPr>
    </w:lvl>
    <w:lvl w:ilvl="4" w:tplc="2812B06E">
      <w:start w:val="1"/>
      <w:numFmt w:val="lowerLetter"/>
      <w:lvlText w:val="%5."/>
      <w:lvlJc w:val="left"/>
      <w:pPr>
        <w:ind w:left="3600" w:hanging="360"/>
      </w:pPr>
    </w:lvl>
    <w:lvl w:ilvl="5" w:tplc="FA82D95A">
      <w:start w:val="1"/>
      <w:numFmt w:val="lowerRoman"/>
      <w:lvlText w:val="%6."/>
      <w:lvlJc w:val="right"/>
      <w:pPr>
        <w:ind w:left="4320" w:hanging="180"/>
      </w:pPr>
    </w:lvl>
    <w:lvl w:ilvl="6" w:tplc="FF703A3E">
      <w:start w:val="1"/>
      <w:numFmt w:val="decimal"/>
      <w:lvlText w:val="%7."/>
      <w:lvlJc w:val="left"/>
      <w:pPr>
        <w:ind w:left="5040" w:hanging="360"/>
      </w:pPr>
    </w:lvl>
    <w:lvl w:ilvl="7" w:tplc="CF5459C0">
      <w:start w:val="1"/>
      <w:numFmt w:val="lowerLetter"/>
      <w:lvlText w:val="%8."/>
      <w:lvlJc w:val="left"/>
      <w:pPr>
        <w:ind w:left="5760" w:hanging="360"/>
      </w:pPr>
    </w:lvl>
    <w:lvl w:ilvl="8" w:tplc="A55C3F72">
      <w:start w:val="1"/>
      <w:numFmt w:val="lowerRoman"/>
      <w:lvlText w:val="%9."/>
      <w:lvlJc w:val="right"/>
      <w:pPr>
        <w:ind w:left="6480" w:hanging="180"/>
      </w:pPr>
    </w:lvl>
  </w:abstractNum>
  <w:abstractNum w:abstractNumId="3" w15:restartNumberingAfterBreak="0">
    <w:nsid w:val="5605C899"/>
    <w:multiLevelType w:val="hybridMultilevel"/>
    <w:tmpl w:val="63B8FB22"/>
    <w:lvl w:ilvl="0" w:tplc="CF325166">
      <w:start w:val="1"/>
      <w:numFmt w:val="decimal"/>
      <w:lvlText w:val="%1."/>
      <w:lvlJc w:val="left"/>
      <w:pPr>
        <w:ind w:left="720" w:hanging="360"/>
      </w:pPr>
      <w:rPr>
        <w:rFonts w:ascii="Arial" w:hAnsi="Arial" w:hint="default"/>
      </w:rPr>
    </w:lvl>
    <w:lvl w:ilvl="1" w:tplc="1362F980">
      <w:start w:val="1"/>
      <w:numFmt w:val="lowerLetter"/>
      <w:lvlText w:val="%2."/>
      <w:lvlJc w:val="left"/>
      <w:pPr>
        <w:ind w:left="1440" w:hanging="360"/>
      </w:pPr>
    </w:lvl>
    <w:lvl w:ilvl="2" w:tplc="4D423210">
      <w:start w:val="1"/>
      <w:numFmt w:val="lowerRoman"/>
      <w:lvlText w:val="%3."/>
      <w:lvlJc w:val="right"/>
      <w:pPr>
        <w:ind w:left="2160" w:hanging="180"/>
      </w:pPr>
    </w:lvl>
    <w:lvl w:ilvl="3" w:tplc="1E9C9554">
      <w:start w:val="1"/>
      <w:numFmt w:val="decimal"/>
      <w:lvlText w:val="%4."/>
      <w:lvlJc w:val="left"/>
      <w:pPr>
        <w:ind w:left="2880" w:hanging="360"/>
      </w:pPr>
    </w:lvl>
    <w:lvl w:ilvl="4" w:tplc="5DAAC890">
      <w:start w:val="1"/>
      <w:numFmt w:val="lowerLetter"/>
      <w:lvlText w:val="%5."/>
      <w:lvlJc w:val="left"/>
      <w:pPr>
        <w:ind w:left="3600" w:hanging="360"/>
      </w:pPr>
    </w:lvl>
    <w:lvl w:ilvl="5" w:tplc="BCD48724">
      <w:start w:val="1"/>
      <w:numFmt w:val="lowerRoman"/>
      <w:lvlText w:val="%6."/>
      <w:lvlJc w:val="right"/>
      <w:pPr>
        <w:ind w:left="4320" w:hanging="180"/>
      </w:pPr>
    </w:lvl>
    <w:lvl w:ilvl="6" w:tplc="01A43BAE">
      <w:start w:val="1"/>
      <w:numFmt w:val="decimal"/>
      <w:lvlText w:val="%7."/>
      <w:lvlJc w:val="left"/>
      <w:pPr>
        <w:ind w:left="5040" w:hanging="360"/>
      </w:pPr>
    </w:lvl>
    <w:lvl w:ilvl="7" w:tplc="F4C60E60">
      <w:start w:val="1"/>
      <w:numFmt w:val="lowerLetter"/>
      <w:lvlText w:val="%8."/>
      <w:lvlJc w:val="left"/>
      <w:pPr>
        <w:ind w:left="5760" w:hanging="360"/>
      </w:pPr>
    </w:lvl>
    <w:lvl w:ilvl="8" w:tplc="E794B510">
      <w:start w:val="1"/>
      <w:numFmt w:val="lowerRoman"/>
      <w:lvlText w:val="%9."/>
      <w:lvlJc w:val="right"/>
      <w:pPr>
        <w:ind w:left="6480" w:hanging="180"/>
      </w:pPr>
    </w:lvl>
  </w:abstractNum>
  <w:abstractNum w:abstractNumId="4" w15:restartNumberingAfterBreak="0">
    <w:nsid w:val="67A32BA3"/>
    <w:multiLevelType w:val="hybridMultilevel"/>
    <w:tmpl w:val="00A03AA8"/>
    <w:lvl w:ilvl="0" w:tplc="CA1AFA06">
      <w:start w:val="6"/>
      <w:numFmt w:val="decimal"/>
      <w:lvlText w:val="%1."/>
      <w:lvlJc w:val="left"/>
      <w:pPr>
        <w:ind w:left="720" w:hanging="360"/>
      </w:pPr>
      <w:rPr>
        <w:rFonts w:ascii="Arial" w:hAnsi="Arial" w:hint="default"/>
      </w:rPr>
    </w:lvl>
    <w:lvl w:ilvl="1" w:tplc="49DC0AD0">
      <w:start w:val="1"/>
      <w:numFmt w:val="lowerLetter"/>
      <w:lvlText w:val="%2."/>
      <w:lvlJc w:val="left"/>
      <w:pPr>
        <w:ind w:left="1440" w:hanging="360"/>
      </w:pPr>
    </w:lvl>
    <w:lvl w:ilvl="2" w:tplc="2BA6C50C">
      <w:start w:val="1"/>
      <w:numFmt w:val="lowerRoman"/>
      <w:lvlText w:val="%3."/>
      <w:lvlJc w:val="right"/>
      <w:pPr>
        <w:ind w:left="2160" w:hanging="180"/>
      </w:pPr>
    </w:lvl>
    <w:lvl w:ilvl="3" w:tplc="19180396">
      <w:start w:val="1"/>
      <w:numFmt w:val="decimal"/>
      <w:lvlText w:val="%4."/>
      <w:lvlJc w:val="left"/>
      <w:pPr>
        <w:ind w:left="2880" w:hanging="360"/>
      </w:pPr>
    </w:lvl>
    <w:lvl w:ilvl="4" w:tplc="F76804B8">
      <w:start w:val="1"/>
      <w:numFmt w:val="lowerLetter"/>
      <w:lvlText w:val="%5."/>
      <w:lvlJc w:val="left"/>
      <w:pPr>
        <w:ind w:left="3600" w:hanging="360"/>
      </w:pPr>
    </w:lvl>
    <w:lvl w:ilvl="5" w:tplc="552AC630">
      <w:start w:val="1"/>
      <w:numFmt w:val="lowerRoman"/>
      <w:lvlText w:val="%6."/>
      <w:lvlJc w:val="right"/>
      <w:pPr>
        <w:ind w:left="4320" w:hanging="180"/>
      </w:pPr>
    </w:lvl>
    <w:lvl w:ilvl="6" w:tplc="91806E7A">
      <w:start w:val="1"/>
      <w:numFmt w:val="decimal"/>
      <w:lvlText w:val="%7."/>
      <w:lvlJc w:val="left"/>
      <w:pPr>
        <w:ind w:left="5040" w:hanging="360"/>
      </w:pPr>
    </w:lvl>
    <w:lvl w:ilvl="7" w:tplc="B846D4B8">
      <w:start w:val="1"/>
      <w:numFmt w:val="lowerLetter"/>
      <w:lvlText w:val="%8."/>
      <w:lvlJc w:val="left"/>
      <w:pPr>
        <w:ind w:left="5760" w:hanging="360"/>
      </w:pPr>
    </w:lvl>
    <w:lvl w:ilvl="8" w:tplc="58BA3B42">
      <w:start w:val="1"/>
      <w:numFmt w:val="lowerRoman"/>
      <w:lvlText w:val="%9."/>
      <w:lvlJc w:val="right"/>
      <w:pPr>
        <w:ind w:left="6480" w:hanging="180"/>
      </w:pPr>
    </w:lvl>
  </w:abstractNum>
  <w:abstractNum w:abstractNumId="5" w15:restartNumberingAfterBreak="0">
    <w:nsid w:val="6B66B542"/>
    <w:multiLevelType w:val="hybridMultilevel"/>
    <w:tmpl w:val="5E30DBC2"/>
    <w:lvl w:ilvl="0" w:tplc="4E14BDC4">
      <w:start w:val="2"/>
      <w:numFmt w:val="decimal"/>
      <w:lvlText w:val="%1."/>
      <w:lvlJc w:val="left"/>
      <w:pPr>
        <w:ind w:left="720" w:hanging="360"/>
      </w:pPr>
      <w:rPr>
        <w:rFonts w:ascii="Arial" w:hAnsi="Arial" w:hint="default"/>
      </w:rPr>
    </w:lvl>
    <w:lvl w:ilvl="1" w:tplc="91562DD8">
      <w:start w:val="1"/>
      <w:numFmt w:val="lowerLetter"/>
      <w:lvlText w:val="%2."/>
      <w:lvlJc w:val="left"/>
      <w:pPr>
        <w:ind w:left="1440" w:hanging="360"/>
      </w:pPr>
    </w:lvl>
    <w:lvl w:ilvl="2" w:tplc="3CB08FD8">
      <w:start w:val="1"/>
      <w:numFmt w:val="lowerRoman"/>
      <w:lvlText w:val="%3."/>
      <w:lvlJc w:val="right"/>
      <w:pPr>
        <w:ind w:left="2160" w:hanging="180"/>
      </w:pPr>
    </w:lvl>
    <w:lvl w:ilvl="3" w:tplc="C52822FC">
      <w:start w:val="1"/>
      <w:numFmt w:val="decimal"/>
      <w:lvlText w:val="%4."/>
      <w:lvlJc w:val="left"/>
      <w:pPr>
        <w:ind w:left="2880" w:hanging="360"/>
      </w:pPr>
    </w:lvl>
    <w:lvl w:ilvl="4" w:tplc="82F69102">
      <w:start w:val="1"/>
      <w:numFmt w:val="lowerLetter"/>
      <w:lvlText w:val="%5."/>
      <w:lvlJc w:val="left"/>
      <w:pPr>
        <w:ind w:left="3600" w:hanging="360"/>
      </w:pPr>
    </w:lvl>
    <w:lvl w:ilvl="5" w:tplc="96B06614">
      <w:start w:val="1"/>
      <w:numFmt w:val="lowerRoman"/>
      <w:lvlText w:val="%6."/>
      <w:lvlJc w:val="right"/>
      <w:pPr>
        <w:ind w:left="4320" w:hanging="180"/>
      </w:pPr>
    </w:lvl>
    <w:lvl w:ilvl="6" w:tplc="8B5250C6">
      <w:start w:val="1"/>
      <w:numFmt w:val="decimal"/>
      <w:lvlText w:val="%7."/>
      <w:lvlJc w:val="left"/>
      <w:pPr>
        <w:ind w:left="5040" w:hanging="360"/>
      </w:pPr>
    </w:lvl>
    <w:lvl w:ilvl="7" w:tplc="29F4E146">
      <w:start w:val="1"/>
      <w:numFmt w:val="lowerLetter"/>
      <w:lvlText w:val="%8."/>
      <w:lvlJc w:val="left"/>
      <w:pPr>
        <w:ind w:left="5760" w:hanging="360"/>
      </w:pPr>
    </w:lvl>
    <w:lvl w:ilvl="8" w:tplc="FF26E1F2">
      <w:start w:val="1"/>
      <w:numFmt w:val="lowerRoman"/>
      <w:lvlText w:val="%9."/>
      <w:lvlJc w:val="right"/>
      <w:pPr>
        <w:ind w:left="6480" w:hanging="180"/>
      </w:pPr>
    </w:lvl>
  </w:abstractNum>
  <w:num w:numId="1" w16cid:durableId="1779762744">
    <w:abstractNumId w:val="4"/>
  </w:num>
  <w:num w:numId="2" w16cid:durableId="309795503">
    <w:abstractNumId w:val="2"/>
  </w:num>
  <w:num w:numId="3" w16cid:durableId="1327630715">
    <w:abstractNumId w:val="0"/>
  </w:num>
  <w:num w:numId="4" w16cid:durableId="386732036">
    <w:abstractNumId w:val="1"/>
  </w:num>
  <w:num w:numId="5" w16cid:durableId="2027051708">
    <w:abstractNumId w:val="5"/>
  </w:num>
  <w:num w:numId="6" w16cid:durableId="1093937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491048"/>
    <w:rsid w:val="000144A3"/>
    <w:rsid w:val="00075FCB"/>
    <w:rsid w:val="00092589"/>
    <w:rsid w:val="000A453F"/>
    <w:rsid w:val="000F0328"/>
    <w:rsid w:val="00134C3F"/>
    <w:rsid w:val="001C7BBE"/>
    <w:rsid w:val="002B5657"/>
    <w:rsid w:val="00327319"/>
    <w:rsid w:val="0033141D"/>
    <w:rsid w:val="00457FF3"/>
    <w:rsid w:val="004E34BF"/>
    <w:rsid w:val="00571A4D"/>
    <w:rsid w:val="005F7E0A"/>
    <w:rsid w:val="0061098F"/>
    <w:rsid w:val="0063227F"/>
    <w:rsid w:val="00651E24"/>
    <w:rsid w:val="006904AB"/>
    <w:rsid w:val="006C4F52"/>
    <w:rsid w:val="006C66FE"/>
    <w:rsid w:val="006E5DE4"/>
    <w:rsid w:val="00711972"/>
    <w:rsid w:val="0074197C"/>
    <w:rsid w:val="0074F96C"/>
    <w:rsid w:val="007C4CA6"/>
    <w:rsid w:val="00870171"/>
    <w:rsid w:val="008C6A66"/>
    <w:rsid w:val="008F13D8"/>
    <w:rsid w:val="008F5E40"/>
    <w:rsid w:val="0098326A"/>
    <w:rsid w:val="00994FBD"/>
    <w:rsid w:val="009C6BCB"/>
    <w:rsid w:val="009E03E1"/>
    <w:rsid w:val="00B17A51"/>
    <w:rsid w:val="00B72D1D"/>
    <w:rsid w:val="00B9111B"/>
    <w:rsid w:val="00BC0373"/>
    <w:rsid w:val="00C171C5"/>
    <w:rsid w:val="00D079A5"/>
    <w:rsid w:val="00D11641"/>
    <w:rsid w:val="00DD491A"/>
    <w:rsid w:val="00EC1C91"/>
    <w:rsid w:val="00EF3E46"/>
    <w:rsid w:val="00F14196"/>
    <w:rsid w:val="00F70793"/>
    <w:rsid w:val="00FA2757"/>
    <w:rsid w:val="00FF41CE"/>
    <w:rsid w:val="02229EE6"/>
    <w:rsid w:val="027E6AB0"/>
    <w:rsid w:val="02B52423"/>
    <w:rsid w:val="04C6295D"/>
    <w:rsid w:val="0521F3D6"/>
    <w:rsid w:val="05F24E07"/>
    <w:rsid w:val="06F86106"/>
    <w:rsid w:val="07D64BD3"/>
    <w:rsid w:val="091D7D9F"/>
    <w:rsid w:val="0B99ACFC"/>
    <w:rsid w:val="0D4593D8"/>
    <w:rsid w:val="0DC3E667"/>
    <w:rsid w:val="10A90FE3"/>
    <w:rsid w:val="10B180A7"/>
    <w:rsid w:val="1273FD29"/>
    <w:rsid w:val="12C38F8D"/>
    <w:rsid w:val="1682CAA3"/>
    <w:rsid w:val="16CC01FB"/>
    <w:rsid w:val="17AF6C58"/>
    <w:rsid w:val="1A43D964"/>
    <w:rsid w:val="1BB5B627"/>
    <w:rsid w:val="1BB83068"/>
    <w:rsid w:val="2186FB4C"/>
    <w:rsid w:val="2334561F"/>
    <w:rsid w:val="2434D6FB"/>
    <w:rsid w:val="257F2432"/>
    <w:rsid w:val="282B82C9"/>
    <w:rsid w:val="29056EFA"/>
    <w:rsid w:val="2B782344"/>
    <w:rsid w:val="303E6BE6"/>
    <w:rsid w:val="359686A8"/>
    <w:rsid w:val="359B7B2E"/>
    <w:rsid w:val="36B1DB5C"/>
    <w:rsid w:val="39B69D1E"/>
    <w:rsid w:val="39BDC587"/>
    <w:rsid w:val="3A330101"/>
    <w:rsid w:val="3AA834EA"/>
    <w:rsid w:val="3AD69E84"/>
    <w:rsid w:val="3F8AA800"/>
    <w:rsid w:val="419B4D80"/>
    <w:rsid w:val="41C979C3"/>
    <w:rsid w:val="44E26D73"/>
    <w:rsid w:val="4509DD41"/>
    <w:rsid w:val="4658D0CD"/>
    <w:rsid w:val="4773A6C9"/>
    <w:rsid w:val="4819A4A8"/>
    <w:rsid w:val="48491048"/>
    <w:rsid w:val="4905885D"/>
    <w:rsid w:val="49830D84"/>
    <w:rsid w:val="4BF432F6"/>
    <w:rsid w:val="4CE98D66"/>
    <w:rsid w:val="4F14DA1B"/>
    <w:rsid w:val="5094A9F7"/>
    <w:rsid w:val="51CBFD85"/>
    <w:rsid w:val="51E9D575"/>
    <w:rsid w:val="542BA2D7"/>
    <w:rsid w:val="56107248"/>
    <w:rsid w:val="563943F0"/>
    <w:rsid w:val="59E85BCC"/>
    <w:rsid w:val="5BD905A3"/>
    <w:rsid w:val="5CE58497"/>
    <w:rsid w:val="5F98F9A9"/>
    <w:rsid w:val="60435706"/>
    <w:rsid w:val="623418C4"/>
    <w:rsid w:val="6234D0BB"/>
    <w:rsid w:val="639BAE51"/>
    <w:rsid w:val="65D5C4C1"/>
    <w:rsid w:val="66F67825"/>
    <w:rsid w:val="692B101A"/>
    <w:rsid w:val="69E57F28"/>
    <w:rsid w:val="6A4A527C"/>
    <w:rsid w:val="6A88D5C3"/>
    <w:rsid w:val="6AD00159"/>
    <w:rsid w:val="6C7EFA74"/>
    <w:rsid w:val="6E052AF9"/>
    <w:rsid w:val="6E31EAC3"/>
    <w:rsid w:val="6E9E7B59"/>
    <w:rsid w:val="6EB09B07"/>
    <w:rsid w:val="7016DF20"/>
    <w:rsid w:val="712D4C67"/>
    <w:rsid w:val="71816FAF"/>
    <w:rsid w:val="728A3CCB"/>
    <w:rsid w:val="741E2FA1"/>
    <w:rsid w:val="7463904D"/>
    <w:rsid w:val="77FAC453"/>
    <w:rsid w:val="7811780F"/>
    <w:rsid w:val="784EE53A"/>
    <w:rsid w:val="7865D77C"/>
    <w:rsid w:val="78B4905D"/>
    <w:rsid w:val="7D6EBF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91048"/>
  <w15:chartTrackingRefBased/>
  <w15:docId w15:val="{185C2916-2074-4B03-9B67-ED3D2EC56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AA834EA"/>
    <w:pPr>
      <w:ind w:left="720"/>
      <w:contextualSpacing/>
    </w:pPr>
  </w:style>
  <w:style w:type="character" w:styleId="Hyperlink">
    <w:name w:val="Hyperlink"/>
    <w:basedOn w:val="DefaultParagraphFont"/>
    <w:uiPriority w:val="99"/>
    <w:unhideWhenUsed/>
    <w:rsid w:val="4773A6C9"/>
    <w:rPr>
      <w:color w:val="467886"/>
      <w:u w:val="single"/>
    </w:rPr>
  </w:style>
  <w:style w:type="character" w:styleId="PlaceholderText">
    <w:name w:val="Placeholder Text"/>
    <w:basedOn w:val="DefaultParagraphFont"/>
    <w:uiPriority w:val="99"/>
    <w:semiHidden/>
    <w:rsid w:val="000144A3"/>
    <w:rPr>
      <w:color w:val="666666"/>
    </w:rPr>
  </w:style>
  <w:style w:type="paragraph" w:styleId="Header">
    <w:name w:val="header"/>
    <w:basedOn w:val="Normal"/>
    <w:link w:val="HeaderChar"/>
    <w:uiPriority w:val="99"/>
    <w:unhideWhenUsed/>
    <w:rsid w:val="000144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4A3"/>
  </w:style>
  <w:style w:type="paragraph" w:styleId="Footer">
    <w:name w:val="footer"/>
    <w:basedOn w:val="Normal"/>
    <w:link w:val="FooterChar"/>
    <w:uiPriority w:val="99"/>
    <w:unhideWhenUsed/>
    <w:rsid w:val="000144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healt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kingsfund.org.uk/insight-and-analysis/data-and-charts/waiting-times-non-urgent-treatment?utm_source=chatgpt.com"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mjopen.bmj.com/content/15/4/e09118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ns.gov.uk/peoplepopulationandcommunity/healthandsocialcare?utm_source=chatgpt.com" TargetMode="External"/><Relationship Id="rId4" Type="http://schemas.openxmlformats.org/officeDocument/2006/relationships/webSettings" Target="webSettings.xml"/><Relationship Id="rId9" Type="http://schemas.openxmlformats.org/officeDocument/2006/relationships/hyperlink" Target="https://www.england.nhs.uk/statistics/statistical-work-areas/rtt-waiting-times/?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1726</Words>
  <Characters>9841</Characters>
  <Application>Microsoft Office Word</Application>
  <DocSecurity>0</DocSecurity>
  <Lines>82</Lines>
  <Paragraphs>23</Paragraphs>
  <ScaleCrop>false</ScaleCrop>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Binda</dc:creator>
  <cp:keywords/>
  <dc:description/>
  <cp:lastModifiedBy>Viviane Binda</cp:lastModifiedBy>
  <cp:revision>17</cp:revision>
  <dcterms:created xsi:type="dcterms:W3CDTF">2026-03-13T12:19:00Z</dcterms:created>
  <dcterms:modified xsi:type="dcterms:W3CDTF">2026-03-23T19:46:00Z</dcterms:modified>
</cp:coreProperties>
</file>