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F4ADB" w14:textId="2E9B8199" w:rsidR="008A7536" w:rsidRPr="008A7536" w:rsidRDefault="008A7536" w:rsidP="008A7536">
      <w:pPr>
        <w:spacing w:before="100" w:beforeAutospacing="1" w:after="100" w:afterAutospacing="1" w:line="360" w:lineRule="auto"/>
        <w:rPr>
          <w:rFonts w:ascii="Arial Narrow" w:eastAsia="Times New Roman" w:hAnsi="Arial Narrow" w:cs="Arial"/>
          <w:i/>
          <w:iCs/>
          <w:color w:val="000000"/>
          <w:sz w:val="36"/>
          <w:szCs w:val="36"/>
        </w:rPr>
      </w:pPr>
      <w:r w:rsidRPr="008A7536">
        <w:rPr>
          <w:rFonts w:ascii="Arial Narrow" w:eastAsia="Times New Roman" w:hAnsi="Arial Narrow" w:cs="Arial"/>
          <w:b/>
          <w:bCs/>
          <w:i/>
          <w:iCs/>
          <w:color w:val="000000"/>
          <w:sz w:val="36"/>
          <w:szCs w:val="36"/>
        </w:rPr>
        <w:t>Module Title:</w:t>
      </w:r>
      <w:r w:rsidRPr="008A7536">
        <w:rPr>
          <w:rFonts w:ascii="Arial Narrow" w:eastAsia="Times New Roman" w:hAnsi="Arial Narrow" w:cs="Arial"/>
          <w:i/>
          <w:iCs/>
          <w:color w:val="000000"/>
          <w:sz w:val="36"/>
          <w:szCs w:val="36"/>
        </w:rPr>
        <w:t xml:space="preserve"> </w:t>
      </w:r>
      <w:r w:rsidRPr="008A7536">
        <w:rPr>
          <w:rFonts w:ascii="Arial Narrow" w:eastAsia="Times New Roman" w:hAnsi="Arial Narrow" w:cs="Arial"/>
          <w:i/>
          <w:iCs/>
          <w:color w:val="000000"/>
          <w:sz w:val="36"/>
          <w:szCs w:val="36"/>
        </w:rPr>
        <w:t>Psychology in Health and Social Care</w:t>
      </w:r>
      <w:r w:rsidRPr="008A7536">
        <w:rPr>
          <w:rFonts w:ascii="Arial Narrow" w:eastAsia="Times New Roman" w:hAnsi="Arial Narrow" w:cs="Arial"/>
          <w:i/>
          <w:iCs/>
          <w:color w:val="000000"/>
          <w:sz w:val="36"/>
          <w:szCs w:val="36"/>
        </w:rPr>
        <w:t xml:space="preserve"> </w:t>
      </w:r>
    </w:p>
    <w:p w14:paraId="19878981" w14:textId="0E793D84" w:rsidR="008A7536" w:rsidRPr="008A7536" w:rsidRDefault="008A7536" w:rsidP="008A7536">
      <w:pPr>
        <w:pStyle w:val="p1"/>
        <w:spacing w:line="360" w:lineRule="auto"/>
        <w:rPr>
          <w:rFonts w:ascii="Arial Narrow" w:hAnsi="Arial Narrow"/>
          <w:i/>
          <w:iCs/>
          <w:sz w:val="36"/>
          <w:szCs w:val="36"/>
        </w:rPr>
      </w:pPr>
      <w:r w:rsidRPr="008A7536">
        <w:rPr>
          <w:rFonts w:ascii="Arial Narrow" w:hAnsi="Arial Narrow"/>
          <w:b/>
          <w:bCs/>
          <w:i/>
          <w:iCs/>
          <w:sz w:val="36"/>
          <w:szCs w:val="36"/>
        </w:rPr>
        <w:t>Assignment 2:</w:t>
      </w:r>
      <w:r w:rsidRPr="008A7536">
        <w:rPr>
          <w:rFonts w:ascii="Arial Narrow" w:hAnsi="Arial Narrow"/>
          <w:i/>
          <w:iCs/>
          <w:sz w:val="36"/>
          <w:szCs w:val="36"/>
        </w:rPr>
        <w:t xml:space="preserve"> </w:t>
      </w:r>
      <w:r w:rsidRPr="008A7536">
        <w:rPr>
          <w:rFonts w:ascii="Arial Narrow" w:hAnsi="Arial Narrow"/>
          <w:i/>
          <w:iCs/>
          <w:sz w:val="36"/>
          <w:szCs w:val="36"/>
        </w:rPr>
        <w:t>Bibliography &amp; Report</w:t>
      </w:r>
    </w:p>
    <w:p w14:paraId="7FB2DA73" w14:textId="2BE36D37" w:rsidR="008A7536" w:rsidRPr="008A7536" w:rsidRDefault="008A7536" w:rsidP="008A7536">
      <w:pPr>
        <w:spacing w:before="100" w:beforeAutospacing="1" w:after="100" w:afterAutospacing="1" w:line="360" w:lineRule="auto"/>
        <w:rPr>
          <w:rFonts w:ascii="Arial Narrow" w:eastAsia="Times New Roman" w:hAnsi="Arial Narrow" w:cs="Arial"/>
          <w:i/>
          <w:iCs/>
          <w:color w:val="000000"/>
          <w:sz w:val="36"/>
          <w:szCs w:val="36"/>
        </w:rPr>
      </w:pPr>
      <w:r w:rsidRPr="008A7536">
        <w:rPr>
          <w:rFonts w:ascii="Arial Narrow" w:eastAsia="Times New Roman" w:hAnsi="Arial Narrow" w:cs="Arial"/>
          <w:b/>
          <w:bCs/>
          <w:i/>
          <w:iCs/>
          <w:color w:val="000000"/>
          <w:sz w:val="36"/>
          <w:szCs w:val="36"/>
        </w:rPr>
        <w:t>Module:</w:t>
      </w:r>
      <w:r w:rsidRPr="008A7536">
        <w:rPr>
          <w:rFonts w:ascii="Arial Narrow" w:eastAsia="Times New Roman" w:hAnsi="Arial Narrow" w:cs="Arial"/>
          <w:i/>
          <w:iCs/>
          <w:color w:val="000000"/>
          <w:sz w:val="36"/>
          <w:szCs w:val="36"/>
        </w:rPr>
        <w:t xml:space="preserve"> LCHS 40</w:t>
      </w:r>
      <w:r w:rsidRPr="008A7536">
        <w:rPr>
          <w:rFonts w:ascii="Arial Narrow" w:eastAsia="Times New Roman" w:hAnsi="Arial Narrow" w:cs="Arial"/>
          <w:i/>
          <w:iCs/>
          <w:color w:val="000000"/>
          <w:sz w:val="36"/>
          <w:szCs w:val="36"/>
        </w:rPr>
        <w:t>10</w:t>
      </w:r>
      <w:r w:rsidRPr="008A7536">
        <w:rPr>
          <w:rFonts w:ascii="Arial Narrow" w:eastAsia="Times New Roman" w:hAnsi="Arial Narrow" w:cs="Arial"/>
          <w:i/>
          <w:iCs/>
          <w:color w:val="000000"/>
          <w:sz w:val="36"/>
          <w:szCs w:val="36"/>
        </w:rPr>
        <w:t xml:space="preserve"> (LON) </w:t>
      </w:r>
    </w:p>
    <w:p w14:paraId="0B735DA6" w14:textId="77777777" w:rsidR="008A7536" w:rsidRPr="008A7536" w:rsidRDefault="008A7536" w:rsidP="008A7536">
      <w:pPr>
        <w:spacing w:before="100" w:beforeAutospacing="1" w:after="100" w:afterAutospacing="1" w:line="360" w:lineRule="auto"/>
        <w:rPr>
          <w:rFonts w:ascii="Arial Narrow" w:hAnsi="Arial Narrow" w:cs="Arial"/>
          <w:i/>
          <w:iCs/>
          <w:color w:val="000000"/>
          <w:sz w:val="36"/>
          <w:szCs w:val="36"/>
        </w:rPr>
      </w:pPr>
      <w:r w:rsidRPr="008A7536">
        <w:rPr>
          <w:rFonts w:ascii="Arial Narrow" w:eastAsia="Times New Roman" w:hAnsi="Arial Narrow" w:cs="Arial"/>
          <w:b/>
          <w:bCs/>
          <w:i/>
          <w:iCs/>
          <w:color w:val="000000"/>
          <w:sz w:val="36"/>
          <w:szCs w:val="36"/>
        </w:rPr>
        <w:t>Student Name:</w:t>
      </w:r>
      <w:r w:rsidRPr="008A7536">
        <w:rPr>
          <w:rFonts w:ascii="Arial Narrow" w:eastAsia="Times New Roman" w:hAnsi="Arial Narrow" w:cs="Arial"/>
          <w:i/>
          <w:iCs/>
          <w:color w:val="000000"/>
          <w:sz w:val="36"/>
          <w:szCs w:val="36"/>
        </w:rPr>
        <w:t xml:space="preserve"> Vania Batista, Student ID:</w:t>
      </w:r>
      <w:r w:rsidRPr="008A7536">
        <w:rPr>
          <w:rFonts w:ascii="Arial Narrow" w:eastAsiaTheme="minorEastAsia" w:hAnsi="Arial Narrow" w:cs="Arial"/>
          <w:i/>
          <w:iCs/>
          <w:color w:val="FFFFFF"/>
          <w:kern w:val="24"/>
          <w:sz w:val="36"/>
          <w:szCs w:val="36"/>
        </w:rPr>
        <w:t xml:space="preserve"> </w:t>
      </w:r>
      <w:r w:rsidRPr="008A7536">
        <w:rPr>
          <w:rFonts w:ascii="Arial Narrow" w:hAnsi="Arial Narrow" w:cs="Arial"/>
          <w:i/>
          <w:iCs/>
          <w:color w:val="000000"/>
          <w:sz w:val="36"/>
          <w:szCs w:val="36"/>
        </w:rPr>
        <w:t>(2439410)</w:t>
      </w:r>
    </w:p>
    <w:p w14:paraId="63DC641F" w14:textId="7FB50067" w:rsidR="008A7536" w:rsidRPr="008A7536" w:rsidRDefault="008A7536" w:rsidP="008A7536">
      <w:pPr>
        <w:spacing w:before="100" w:beforeAutospacing="1" w:after="100" w:afterAutospacing="1" w:line="360" w:lineRule="auto"/>
        <w:rPr>
          <w:rFonts w:ascii="Arial Narrow" w:eastAsia="Times New Roman" w:hAnsi="Arial Narrow" w:cs="Arial"/>
          <w:i/>
          <w:iCs/>
          <w:color w:val="000000"/>
          <w:sz w:val="36"/>
          <w:szCs w:val="36"/>
        </w:rPr>
      </w:pPr>
      <w:r w:rsidRPr="008A7536">
        <w:rPr>
          <w:rFonts w:ascii="Arial Narrow" w:eastAsia="Times New Roman" w:hAnsi="Arial Narrow" w:cs="Arial"/>
          <w:b/>
          <w:bCs/>
          <w:i/>
          <w:iCs/>
          <w:color w:val="000000"/>
          <w:sz w:val="36"/>
          <w:szCs w:val="36"/>
        </w:rPr>
        <w:t>Lecturer:</w:t>
      </w:r>
      <w:r w:rsidRPr="008A7536">
        <w:rPr>
          <w:rFonts w:ascii="Arial Narrow" w:eastAsia="Times New Roman" w:hAnsi="Arial Narrow" w:cs="Arial"/>
          <w:i/>
          <w:iCs/>
          <w:color w:val="000000"/>
          <w:sz w:val="36"/>
          <w:szCs w:val="36"/>
        </w:rPr>
        <w:t xml:space="preserve"> </w:t>
      </w:r>
      <w:r w:rsidRPr="008A7536">
        <w:rPr>
          <w:rFonts w:ascii="Arial Narrow" w:eastAsia="Times New Roman" w:hAnsi="Arial Narrow" w:cs="Arial"/>
          <w:i/>
          <w:iCs/>
          <w:color w:val="000000"/>
          <w:sz w:val="36"/>
          <w:szCs w:val="36"/>
        </w:rPr>
        <w:t>Farah Wiita</w:t>
      </w:r>
    </w:p>
    <w:p w14:paraId="18F9E9A8" w14:textId="77777777" w:rsidR="008A7536" w:rsidRPr="008A7536" w:rsidRDefault="008A7536" w:rsidP="008A7536">
      <w:pPr>
        <w:rPr>
          <w:rFonts w:ascii="Arial Narrow" w:hAnsi="Arial Narrow" w:cs="Arial"/>
          <w:i/>
          <w:iCs/>
          <w:color w:val="000000" w:themeColor="text1"/>
          <w:sz w:val="36"/>
          <w:szCs w:val="36"/>
          <w:u w:val="single"/>
        </w:rPr>
      </w:pPr>
    </w:p>
    <w:p w14:paraId="46859731" w14:textId="77777777" w:rsidR="008A7536" w:rsidRPr="008A7536" w:rsidRDefault="008A7536" w:rsidP="008A7536">
      <w:pPr>
        <w:rPr>
          <w:rFonts w:ascii="Arial Narrow" w:hAnsi="Arial Narrow" w:cs="Arial"/>
          <w:i/>
          <w:iCs/>
          <w:color w:val="000000" w:themeColor="text1"/>
          <w:sz w:val="36"/>
          <w:szCs w:val="36"/>
        </w:rPr>
      </w:pPr>
    </w:p>
    <w:p w14:paraId="0E05FF62" w14:textId="77777777" w:rsidR="008A7536" w:rsidRPr="008A7536" w:rsidRDefault="008A7536" w:rsidP="008A7536">
      <w:pPr>
        <w:rPr>
          <w:rFonts w:ascii="Arial Narrow" w:hAnsi="Arial Narrow" w:cs="Arial"/>
          <w:i/>
          <w:iCs/>
          <w:color w:val="000000" w:themeColor="text1"/>
          <w:sz w:val="36"/>
          <w:szCs w:val="36"/>
        </w:rPr>
      </w:pPr>
    </w:p>
    <w:p w14:paraId="1722F825" w14:textId="77777777" w:rsidR="008A7536" w:rsidRPr="008A7536" w:rsidRDefault="008A7536" w:rsidP="008A7536">
      <w:pPr>
        <w:rPr>
          <w:rFonts w:ascii="Arial Narrow" w:hAnsi="Arial Narrow" w:cs="Arial"/>
          <w:i/>
          <w:iCs/>
          <w:color w:val="000000" w:themeColor="text1"/>
          <w:sz w:val="36"/>
          <w:szCs w:val="36"/>
        </w:rPr>
      </w:pPr>
    </w:p>
    <w:p w14:paraId="339656FE" w14:textId="77777777" w:rsidR="008A7536" w:rsidRPr="008A7536" w:rsidRDefault="008A7536" w:rsidP="008A7536">
      <w:pPr>
        <w:rPr>
          <w:rFonts w:ascii="Arial Narrow" w:hAnsi="Arial Narrow" w:cs="Arial"/>
          <w:i/>
          <w:iCs/>
          <w:color w:val="000000" w:themeColor="text1"/>
          <w:sz w:val="36"/>
          <w:szCs w:val="36"/>
        </w:rPr>
      </w:pPr>
    </w:p>
    <w:p w14:paraId="299426EA" w14:textId="77777777" w:rsidR="008A7536" w:rsidRPr="008A7536" w:rsidRDefault="008A7536" w:rsidP="008A7536">
      <w:pPr>
        <w:rPr>
          <w:rFonts w:ascii="Arial Narrow" w:hAnsi="Arial Narrow" w:cs="Arial"/>
          <w:i/>
          <w:iCs/>
          <w:color w:val="000000" w:themeColor="text1"/>
          <w:sz w:val="36"/>
          <w:szCs w:val="36"/>
        </w:rPr>
      </w:pPr>
    </w:p>
    <w:p w14:paraId="33A5B447" w14:textId="77777777" w:rsidR="008A7536" w:rsidRPr="008A7536" w:rsidRDefault="008A7536" w:rsidP="008A7536">
      <w:pPr>
        <w:rPr>
          <w:rFonts w:ascii="Arial Narrow" w:hAnsi="Arial Narrow" w:cs="Arial"/>
          <w:i/>
          <w:iCs/>
          <w:color w:val="000000" w:themeColor="text1"/>
          <w:sz w:val="36"/>
          <w:szCs w:val="36"/>
        </w:rPr>
      </w:pPr>
      <w:r w:rsidRPr="008A7536">
        <w:rPr>
          <w:rFonts w:ascii="Arial Narrow" w:hAnsi="Arial Narrow" w:cs="Arial"/>
          <w:i/>
          <w:iCs/>
          <w:color w:val="000000" w:themeColor="text1"/>
          <w:sz w:val="36"/>
          <w:szCs w:val="36"/>
        </w:rPr>
        <w:t xml:space="preserve">Acknowledgement of AI use: I confirm that I have used AI to </w:t>
      </w:r>
      <w:r w:rsidRPr="008A7536">
        <w:rPr>
          <w:rFonts w:ascii="Arial Narrow" w:hAnsi="Arial Narrow" w:cs="Arial"/>
          <w:i/>
          <w:iCs/>
          <w:color w:val="000000" w:themeColor="text1"/>
          <w:sz w:val="36"/>
          <w:szCs w:val="36"/>
          <w:lang w:val="en-US"/>
        </w:rPr>
        <w:t>to check that I have done what is required and to proofread</w:t>
      </w:r>
      <w:r w:rsidRPr="008A7536">
        <w:rPr>
          <w:rFonts w:ascii="Arial Narrow" w:hAnsi="Arial Narrow" w:cs="Arial"/>
          <w:i/>
          <w:iCs/>
          <w:color w:val="000000" w:themeColor="text1"/>
          <w:sz w:val="36"/>
          <w:szCs w:val="36"/>
        </w:rPr>
        <w:t>. I used ChatGPT</w:t>
      </w:r>
    </w:p>
    <w:p w14:paraId="50C8A137" w14:textId="77777777" w:rsidR="008A7536" w:rsidRDefault="008A7536" w:rsidP="008A753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40D394BE" w14:textId="77777777" w:rsidR="008A7536" w:rsidRDefault="008A7536" w:rsidP="008A753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21FC4B3E" w14:textId="77777777" w:rsidR="008A7536" w:rsidRDefault="008A7536" w:rsidP="008A753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2169EA2D" w14:textId="77777777" w:rsidR="008A7536" w:rsidRDefault="008A7536" w:rsidP="008A753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5BFAE8A3" w14:textId="77777777" w:rsidR="008A7536" w:rsidRDefault="008A7536" w:rsidP="008A753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0EA24FCB" w14:textId="77777777" w:rsidR="008A7536" w:rsidRDefault="008A7536" w:rsidP="008A753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10DCBEAB" w14:textId="15C3BD30" w:rsidR="008A7536" w:rsidRDefault="008A7536" w:rsidP="008A7536">
      <w:pPr>
        <w:spacing w:before="100" w:beforeAutospacing="1" w:after="100" w:afterAutospacing="1" w:line="360" w:lineRule="auto"/>
        <w:jc w:val="center"/>
        <w:outlineLvl w:val="1"/>
        <w:rPr>
          <w:rFonts w:ascii="Arial Narrow" w:eastAsia="Times New Roman" w:hAnsi="Arial Narrow" w:cs="Times New Roman"/>
          <w:b/>
          <w:bCs/>
          <w:i/>
          <w:iCs/>
          <w:color w:val="000000"/>
          <w:kern w:val="0"/>
          <w:sz w:val="40"/>
          <w:szCs w:val="40"/>
          <w:lang w:eastAsia="en-GB"/>
          <w14:ligatures w14:val="none"/>
        </w:rPr>
      </w:pPr>
      <w:r w:rsidRPr="008A7536">
        <w:rPr>
          <w:rFonts w:ascii="Arial Narrow" w:eastAsia="Times New Roman" w:hAnsi="Arial Narrow" w:cs="Times New Roman"/>
          <w:b/>
          <w:bCs/>
          <w:i/>
          <w:iCs/>
          <w:color w:val="000000"/>
          <w:kern w:val="0"/>
          <w:sz w:val="40"/>
          <w:szCs w:val="40"/>
          <w:lang w:eastAsia="en-GB"/>
          <w14:ligatures w14:val="none"/>
        </w:rPr>
        <w:lastRenderedPageBreak/>
        <w:t>Annotated Bibliography</w:t>
      </w:r>
    </w:p>
    <w:p w14:paraId="01485D12" w14:textId="77777777" w:rsidR="008A7536" w:rsidRPr="008A7536" w:rsidRDefault="008A7536" w:rsidP="008A7536">
      <w:pPr>
        <w:spacing w:before="100" w:beforeAutospacing="1" w:after="100" w:afterAutospacing="1" w:line="360" w:lineRule="auto"/>
        <w:jc w:val="center"/>
        <w:outlineLvl w:val="1"/>
        <w:rPr>
          <w:rFonts w:ascii="Arial Narrow" w:eastAsia="Times New Roman" w:hAnsi="Arial Narrow" w:cs="Times New Roman"/>
          <w:b/>
          <w:bCs/>
          <w:i/>
          <w:iCs/>
          <w:color w:val="000000"/>
          <w:kern w:val="0"/>
          <w:sz w:val="40"/>
          <w:szCs w:val="40"/>
          <w:lang w:eastAsia="en-GB"/>
          <w14:ligatures w14:val="none"/>
        </w:rPr>
      </w:pPr>
    </w:p>
    <w:p w14:paraId="23DCB3A7" w14:textId="77777777" w:rsidR="008A7536" w:rsidRDefault="008A7536" w:rsidP="008A7536">
      <w:pPr>
        <w:spacing w:before="100" w:beforeAutospacing="1" w:after="100" w:afterAutospacing="1" w:line="360" w:lineRule="auto"/>
        <w:jc w:val="both"/>
        <w:outlineLvl w:val="2"/>
        <w:rPr>
          <w:rFonts w:ascii="Arial Narrow" w:eastAsia="Times New Roman" w:hAnsi="Arial Narrow" w:cs="Times New Roman"/>
          <w:b/>
          <w:bCs/>
          <w:i/>
          <w:iCs/>
          <w:color w:val="000000"/>
          <w:kern w:val="0"/>
          <w:sz w:val="32"/>
          <w:szCs w:val="32"/>
          <w:lang w:eastAsia="en-GB"/>
          <w14:ligatures w14:val="none"/>
        </w:rPr>
      </w:pPr>
      <w:r w:rsidRPr="008A7536">
        <w:rPr>
          <w:rFonts w:ascii="Arial Narrow" w:eastAsia="Times New Roman" w:hAnsi="Arial Narrow" w:cs="Times New Roman"/>
          <w:b/>
          <w:bCs/>
          <w:i/>
          <w:iCs/>
          <w:color w:val="000000"/>
          <w:kern w:val="0"/>
          <w:sz w:val="32"/>
          <w:szCs w:val="32"/>
          <w:lang w:eastAsia="en-GB"/>
          <w14:ligatures w14:val="none"/>
        </w:rPr>
        <w:t>Erikson’s Psychosocial Theory</w:t>
      </w:r>
      <w:r>
        <w:rPr>
          <w:rFonts w:ascii="Arial Narrow" w:eastAsia="Times New Roman" w:hAnsi="Arial Narrow" w:cs="Times New Roman"/>
          <w:b/>
          <w:bCs/>
          <w:i/>
          <w:iCs/>
          <w:color w:val="000000"/>
          <w:kern w:val="0"/>
          <w:sz w:val="32"/>
          <w:szCs w:val="32"/>
          <w:lang w:eastAsia="en-GB"/>
          <w14:ligatures w14:val="none"/>
        </w:rPr>
        <w:t xml:space="preserve"> </w:t>
      </w:r>
    </w:p>
    <w:p w14:paraId="3FA4E699" w14:textId="77777777" w:rsidR="008A7536" w:rsidRDefault="008A7536" w:rsidP="008A7536">
      <w:pPr>
        <w:spacing w:before="100" w:beforeAutospacing="1" w:after="100" w:afterAutospacing="1" w:line="360" w:lineRule="auto"/>
        <w:jc w:val="both"/>
        <w:outlineLvl w:val="2"/>
        <w:rPr>
          <w:rFonts w:ascii="Arial Narrow" w:eastAsia="Times New Roman" w:hAnsi="Arial Narrow" w:cs="Times New Roman"/>
          <w:b/>
          <w:bCs/>
          <w:i/>
          <w:iCs/>
          <w:color w:val="000000"/>
          <w:kern w:val="0"/>
          <w:sz w:val="32"/>
          <w:szCs w:val="32"/>
          <w:lang w:eastAsia="en-GB"/>
          <w14:ligatures w14:val="none"/>
        </w:rPr>
      </w:pPr>
    </w:p>
    <w:p w14:paraId="1E8C04AE" w14:textId="41B108A1" w:rsidR="008A7536" w:rsidRPr="008A7536" w:rsidRDefault="008A7536" w:rsidP="008A7536">
      <w:pPr>
        <w:spacing w:before="100" w:beforeAutospacing="1" w:after="100" w:afterAutospacing="1" w:line="360" w:lineRule="auto"/>
        <w:jc w:val="both"/>
        <w:outlineLvl w:val="2"/>
        <w:rPr>
          <w:rFonts w:ascii="Arial Narrow" w:eastAsia="Times New Roman" w:hAnsi="Arial Narrow" w:cs="Times New Roman"/>
          <w:b/>
          <w:bCs/>
          <w:i/>
          <w:iCs/>
          <w:color w:val="000000"/>
          <w:kern w:val="0"/>
          <w:sz w:val="32"/>
          <w:szCs w:val="32"/>
          <w:lang w:eastAsia="en-GB"/>
          <w14:ligatures w14:val="none"/>
        </w:rPr>
      </w:pPr>
      <w:r w:rsidRPr="008A7536">
        <w:rPr>
          <w:rFonts w:ascii="Arial Narrow" w:eastAsia="Times New Roman" w:hAnsi="Arial Narrow" w:cs="Times New Roman"/>
          <w:b/>
          <w:bCs/>
          <w:color w:val="000000"/>
          <w:kern w:val="0"/>
          <w:sz w:val="28"/>
          <w:szCs w:val="28"/>
          <w:lang w:eastAsia="en-GB"/>
          <w14:ligatures w14:val="none"/>
        </w:rPr>
        <w:t>Newman, B.M. and Newman, P.R. (2020) Development Through Life: A Psychosocial Approach. 13th edn. Boston: Cengage Learning.</w:t>
      </w:r>
    </w:p>
    <w:p w14:paraId="7C9C52F6"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Newman and Newman (2020) revisit Erikson’s theory by focusing on how identity continues to develop in later life. They describe ego integrity versus despair as a stage where individuals look back on their experiences and attempt to make sense of them. This is not presented as a fixed outcome, but as a gradual process influenced by personal history and relationships.</w:t>
      </w:r>
    </w:p>
    <w:p w14:paraId="142799B6"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In health and social care, this perspective is particularly useful when working with older adults experiencing major life changes. Entering a care environment, for instance, can affect how individuals understand their role and identity. In these situations, reflecting on past experiences becomes more common, and discussing personal history can support emotional well-being and help maintain a sense of self (Newman and Newman, 2020). This highlights the importance of recognising emotional needs alongside physical care.</w:t>
      </w:r>
    </w:p>
    <w:p w14:paraId="4E4095A3"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A strength of this source lies in its clear relevance to practice. At the same time, the stage-based model can be restrictive. It assumes a relatively linear pattern of development, which does not reflect the complexity of many individuals’ lives. This can significantly limit its use in practice, particularly when supporting individuals whose experiences have been complex or disrupted.</w:t>
      </w:r>
    </w:p>
    <w:p w14:paraId="1EB962BC" w14:textId="2B2DC3F8" w:rsidR="008A7536" w:rsidRPr="008A7536" w:rsidRDefault="008A7536" w:rsidP="008A7536">
      <w:pPr>
        <w:snapToGrid w:val="0"/>
        <w:spacing w:after="0" w:line="360" w:lineRule="auto"/>
        <w:contextualSpacing/>
        <w:jc w:val="both"/>
        <w:rPr>
          <w:rFonts w:ascii="Arial Narrow" w:eastAsia="Times New Roman" w:hAnsi="Arial Narrow" w:cs="Times New Roman"/>
          <w:kern w:val="0"/>
          <w:lang w:eastAsia="en-GB"/>
          <w14:ligatures w14:val="none"/>
        </w:rPr>
      </w:pPr>
    </w:p>
    <w:p w14:paraId="490D9BF1" w14:textId="77777777" w:rsidR="008A7536" w:rsidRPr="008A7536" w:rsidRDefault="008A7536" w:rsidP="008A7536">
      <w:pPr>
        <w:snapToGrid w:val="0"/>
        <w:spacing w:after="0" w:line="360" w:lineRule="auto"/>
        <w:contextualSpacing/>
        <w:jc w:val="both"/>
        <w:rPr>
          <w:rFonts w:ascii="Arial Narrow" w:eastAsia="Times New Roman" w:hAnsi="Arial Narrow" w:cs="Times New Roman"/>
          <w:b/>
          <w:bCs/>
          <w:color w:val="000000"/>
          <w:kern w:val="0"/>
          <w:sz w:val="28"/>
          <w:szCs w:val="28"/>
          <w:lang w:eastAsia="en-GB"/>
          <w14:ligatures w14:val="none"/>
        </w:rPr>
      </w:pPr>
      <w:r w:rsidRPr="008A7536">
        <w:rPr>
          <w:rFonts w:ascii="Arial Narrow" w:eastAsia="Times New Roman" w:hAnsi="Arial Narrow" w:cs="Times New Roman"/>
          <w:b/>
          <w:bCs/>
          <w:color w:val="000000"/>
          <w:kern w:val="0"/>
          <w:sz w:val="28"/>
          <w:szCs w:val="28"/>
          <w:lang w:eastAsia="en-GB"/>
          <w14:ligatures w14:val="none"/>
        </w:rPr>
        <w:t>Westerhof, G.J. and Bohlmeijer, E.T. (2020) ‘The role of meaning in life in positive ageing’, The Journals of Gerontology: Series B, 75(2), pp. 211–219.</w:t>
      </w:r>
    </w:p>
    <w:p w14:paraId="2A2437A1"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Westerhof and Bohlmeijer (2020) focus on the role of meaning in later life and its connection to well-being. Their findings indicate that individuals who experience a sense of meaning tend to report better emotional outcomes, even when facing physical challenges. Meaning is described as something that develops through reflection, relationships, and everyday experiences.</w:t>
      </w:r>
    </w:p>
    <w:p w14:paraId="4A76F57A"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lastRenderedPageBreak/>
        <w:t>In care practice, this helps explain why approaches such as life story work are widely used. Providing space for individuals to share their experiences and values can support emotional stability and reinforce identity (Westerhof and Bohlmeijer, 2020). This shows how meaning-making processes can be supported in everyday care.</w:t>
      </w:r>
    </w:p>
    <w:p w14:paraId="50B428EE"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A clear strength of this study is its empirical basis, which strengthens its relevance to practice. However, its focus on positive ageing narrows its scope. It gives limited attention to individuals who struggle to find meaning due to difficult or unresolved life experiences. This can reduce its relevance in care environments, where not all individuals are able to engage in reflection in a positive or structured way.</w:t>
      </w:r>
    </w:p>
    <w:p w14:paraId="2A93039C" w14:textId="447081BB" w:rsidR="008A7536" w:rsidRPr="008A7536" w:rsidRDefault="008A7536" w:rsidP="008A7536">
      <w:pPr>
        <w:snapToGrid w:val="0"/>
        <w:spacing w:after="0" w:line="360" w:lineRule="auto"/>
        <w:contextualSpacing/>
        <w:jc w:val="both"/>
        <w:rPr>
          <w:rFonts w:ascii="Arial Narrow" w:eastAsia="Times New Roman" w:hAnsi="Arial Narrow" w:cs="Times New Roman"/>
          <w:kern w:val="0"/>
          <w:lang w:eastAsia="en-GB"/>
          <w14:ligatures w14:val="none"/>
        </w:rPr>
      </w:pPr>
    </w:p>
    <w:p w14:paraId="27281443" w14:textId="77777777" w:rsidR="008A7536" w:rsidRDefault="008A7536" w:rsidP="008A7536">
      <w:pPr>
        <w:snapToGrid w:val="0"/>
        <w:spacing w:after="0" w:line="360" w:lineRule="auto"/>
        <w:contextualSpacing/>
        <w:jc w:val="both"/>
        <w:outlineLvl w:val="2"/>
        <w:rPr>
          <w:rFonts w:ascii="Arial Narrow" w:eastAsia="Times New Roman" w:hAnsi="Arial Narrow" w:cs="Times New Roman"/>
          <w:b/>
          <w:bCs/>
          <w:i/>
          <w:iCs/>
          <w:color w:val="000000"/>
          <w:kern w:val="0"/>
          <w:sz w:val="32"/>
          <w:szCs w:val="32"/>
          <w:lang w:eastAsia="en-GB"/>
          <w14:ligatures w14:val="none"/>
        </w:rPr>
      </w:pPr>
      <w:r w:rsidRPr="008A7536">
        <w:rPr>
          <w:rFonts w:ascii="Arial Narrow" w:eastAsia="Times New Roman" w:hAnsi="Arial Narrow" w:cs="Times New Roman"/>
          <w:b/>
          <w:bCs/>
          <w:i/>
          <w:iCs/>
          <w:color w:val="000000"/>
          <w:kern w:val="0"/>
          <w:sz w:val="32"/>
          <w:szCs w:val="32"/>
          <w:lang w:eastAsia="en-GB"/>
          <w14:ligatures w14:val="none"/>
        </w:rPr>
        <w:t>Activity Theory of Ageing</w:t>
      </w:r>
    </w:p>
    <w:p w14:paraId="1456997D" w14:textId="77777777" w:rsidR="008A7536" w:rsidRDefault="008A7536" w:rsidP="008A7536">
      <w:pPr>
        <w:snapToGrid w:val="0"/>
        <w:spacing w:after="0" w:line="360" w:lineRule="auto"/>
        <w:contextualSpacing/>
        <w:jc w:val="both"/>
        <w:outlineLvl w:val="2"/>
        <w:rPr>
          <w:rFonts w:ascii="Arial Narrow" w:eastAsia="Times New Roman" w:hAnsi="Arial Narrow" w:cs="Times New Roman"/>
          <w:b/>
          <w:bCs/>
          <w:i/>
          <w:iCs/>
          <w:color w:val="000000"/>
          <w:kern w:val="0"/>
          <w:sz w:val="32"/>
          <w:szCs w:val="32"/>
          <w:lang w:eastAsia="en-GB"/>
          <w14:ligatures w14:val="none"/>
        </w:rPr>
      </w:pPr>
    </w:p>
    <w:p w14:paraId="09E91304" w14:textId="479E05F0" w:rsidR="008A7536" w:rsidRPr="008A7536" w:rsidRDefault="008A7536" w:rsidP="008A7536">
      <w:pPr>
        <w:snapToGrid w:val="0"/>
        <w:spacing w:after="0" w:line="360" w:lineRule="auto"/>
        <w:contextualSpacing/>
        <w:jc w:val="both"/>
        <w:outlineLvl w:val="2"/>
        <w:rPr>
          <w:rFonts w:ascii="Arial Narrow" w:eastAsia="Times New Roman" w:hAnsi="Arial Narrow" w:cs="Times New Roman"/>
          <w:b/>
          <w:bCs/>
          <w:i/>
          <w:iCs/>
          <w:color w:val="000000"/>
          <w:kern w:val="0"/>
          <w:sz w:val="32"/>
          <w:szCs w:val="32"/>
          <w:lang w:eastAsia="en-GB"/>
          <w14:ligatures w14:val="none"/>
        </w:rPr>
      </w:pPr>
      <w:r w:rsidRPr="008A7536">
        <w:rPr>
          <w:rFonts w:ascii="Arial Narrow" w:eastAsia="Times New Roman" w:hAnsi="Arial Narrow" w:cs="Times New Roman"/>
          <w:b/>
          <w:bCs/>
          <w:color w:val="000000"/>
          <w:kern w:val="0"/>
          <w:sz w:val="28"/>
          <w:szCs w:val="28"/>
          <w:lang w:eastAsia="en-GB"/>
          <w14:ligatures w14:val="none"/>
        </w:rPr>
        <w:t>Bengtson, V.L. and Settersten, R.A. (2016) Handbook of Theories of Aging. 3rd edn. New York: Springer.</w:t>
      </w:r>
    </w:p>
    <w:p w14:paraId="4D8B4995"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Activity Theory is presented by Bengtson and Settersten (2016) as an approach that emphasises continued engagement in later life. Rather than viewing ageing as a period of withdrawal, the theory suggests that staying active in social roles and daily activities supports both identity and well-being.</w:t>
      </w:r>
    </w:p>
    <w:p w14:paraId="7392BDC1"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This perspective is widely reflected in health and social care practice. Encouraging individuals to remain socially and physically engaged is associated with reduced isolation and improved mental health outcomes (Bengtson and Settersten, 2016). As a result, activity-based approaches are commonly used across different care contexts.</w:t>
      </w:r>
    </w:p>
    <w:p w14:paraId="5F869324"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Despite this, the theory is based on broad assumptions. It does not fully account for individual differences such as personal preference, cultural background, or physical ability. This can lead to activities being applied in a standardised way, rather than adapted to individual needs, which may limit their effectiveness.</w:t>
      </w:r>
    </w:p>
    <w:p w14:paraId="48C7B9D9" w14:textId="48497093" w:rsidR="008A7536" w:rsidRPr="008A7536" w:rsidRDefault="008A7536" w:rsidP="008A7536">
      <w:pPr>
        <w:snapToGrid w:val="0"/>
        <w:spacing w:after="0" w:line="360" w:lineRule="auto"/>
        <w:contextualSpacing/>
        <w:jc w:val="both"/>
        <w:rPr>
          <w:rFonts w:ascii="Arial Narrow" w:eastAsia="Times New Roman" w:hAnsi="Arial Narrow" w:cs="Times New Roman"/>
          <w:kern w:val="0"/>
          <w:lang w:eastAsia="en-GB"/>
          <w14:ligatures w14:val="none"/>
        </w:rPr>
      </w:pPr>
    </w:p>
    <w:p w14:paraId="313197A5" w14:textId="77777777" w:rsidR="008A7536" w:rsidRPr="008A7536" w:rsidRDefault="008A7536" w:rsidP="008A7536">
      <w:pPr>
        <w:snapToGrid w:val="0"/>
        <w:spacing w:after="0" w:line="360" w:lineRule="auto"/>
        <w:contextualSpacing/>
        <w:jc w:val="both"/>
        <w:rPr>
          <w:rFonts w:ascii="Arial Narrow" w:eastAsia="Times New Roman" w:hAnsi="Arial Narrow" w:cs="Times New Roman"/>
          <w:b/>
          <w:bCs/>
          <w:color w:val="000000"/>
          <w:kern w:val="0"/>
          <w:sz w:val="28"/>
          <w:szCs w:val="28"/>
          <w:lang w:eastAsia="en-GB"/>
          <w14:ligatures w14:val="none"/>
        </w:rPr>
      </w:pPr>
      <w:r w:rsidRPr="008A7536">
        <w:rPr>
          <w:rFonts w:ascii="Arial Narrow" w:eastAsia="Times New Roman" w:hAnsi="Arial Narrow" w:cs="Times New Roman"/>
          <w:b/>
          <w:bCs/>
          <w:color w:val="000000"/>
          <w:kern w:val="0"/>
          <w:sz w:val="28"/>
          <w:szCs w:val="28"/>
          <w:lang w:eastAsia="en-GB"/>
          <w14:ligatures w14:val="none"/>
        </w:rPr>
        <w:t>Fancourt, D. and Steptoe, A. (2020) ‘Physical and social activity and wellbeing in older adults’, The Lancet Public Health, 5(8), pp. e431–e440.</w:t>
      </w:r>
    </w:p>
    <w:p w14:paraId="5693584D"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Fancourt and Steptoe (2020) examine the relationship between activity and well-being in older adults. Their findings suggest that both social and physical engagement are associated with improved mental health, including lower levels of depression. They also highlight the importance of regular participation.</w:t>
      </w:r>
    </w:p>
    <w:p w14:paraId="6DAF6720"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lastRenderedPageBreak/>
        <w:t>These findings help explain why structured activities are used in care practice. Providing consistent opportunities for engagement can help reduce isolation and support emotional well-being (Fancourt and Steptoe, 2020).</w:t>
      </w:r>
    </w:p>
    <w:p w14:paraId="0704A8C1" w14:textId="0FB19E98" w:rsid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At the same time, the study focuses mainly on measurable outcomes and gives less attention to individual experience. This can limit understanding of how activities are perceived by individuals, which is important when applying person-centred care.</w:t>
      </w:r>
    </w:p>
    <w:p w14:paraId="124A5271"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p>
    <w:p w14:paraId="58CAB53A" w14:textId="4AAD75CF" w:rsidR="008A7536" w:rsidRPr="008A7536" w:rsidRDefault="008A7536" w:rsidP="008A7536">
      <w:pPr>
        <w:snapToGrid w:val="0"/>
        <w:spacing w:after="0" w:line="360" w:lineRule="auto"/>
        <w:contextualSpacing/>
        <w:jc w:val="center"/>
        <w:outlineLvl w:val="1"/>
        <w:rPr>
          <w:rFonts w:ascii="Arial Narrow" w:eastAsia="Times New Roman" w:hAnsi="Arial Narrow" w:cs="Times New Roman"/>
          <w:b/>
          <w:bCs/>
          <w:i/>
          <w:iCs/>
          <w:color w:val="000000"/>
          <w:kern w:val="0"/>
          <w:sz w:val="40"/>
          <w:szCs w:val="40"/>
          <w:lang w:eastAsia="en-GB"/>
          <w14:ligatures w14:val="none"/>
        </w:rPr>
      </w:pPr>
      <w:r>
        <w:rPr>
          <w:rFonts w:ascii="Arial Narrow" w:eastAsia="Times New Roman" w:hAnsi="Arial Narrow" w:cs="Times New Roman"/>
          <w:b/>
          <w:bCs/>
          <w:i/>
          <w:iCs/>
          <w:color w:val="000000"/>
          <w:kern w:val="0"/>
          <w:sz w:val="40"/>
          <w:szCs w:val="40"/>
          <w:lang w:eastAsia="en-GB"/>
          <w14:ligatures w14:val="none"/>
        </w:rPr>
        <w:t xml:space="preserve">Short </w:t>
      </w:r>
      <w:r w:rsidRPr="008A7536">
        <w:rPr>
          <w:rFonts w:ascii="Arial Narrow" w:eastAsia="Times New Roman" w:hAnsi="Arial Narrow" w:cs="Times New Roman"/>
          <w:b/>
          <w:bCs/>
          <w:i/>
          <w:iCs/>
          <w:color w:val="000000"/>
          <w:kern w:val="0"/>
          <w:sz w:val="40"/>
          <w:szCs w:val="40"/>
          <w:lang w:eastAsia="en-GB"/>
          <w14:ligatures w14:val="none"/>
        </w:rPr>
        <w:t>Report</w:t>
      </w:r>
    </w:p>
    <w:p w14:paraId="739745FD"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This report focuses on Erikson’s psychosocial theory, particularly the stage of ego integrity versus despair, which relates to later life. This stage explains how older adults reflect on past experiences and develop a sense of acceptance or dissatisfaction. A sense of ego integrity is associated with better psychological outcomes, while unresolved reflection is linked to lower life satisfaction (Newman and Newman, 2020).</w:t>
      </w:r>
    </w:p>
    <w:p w14:paraId="0D64E589"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In care home environments, this theory is relevant because older adults often experience significant life changes. Moving into a care home can involve loss of independence, changes in social roles, and separation from familiar surroundings. These changes can increase the need for reflection. Supporting this process is important, as it is linked to emotional adjustment and maintaining a sense of identity (Westerhof and Bohlmeijer, 2020).</w:t>
      </w:r>
    </w:p>
    <w:p w14:paraId="72C67E86"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A practical example can be seen in a care home where an 82-year-old resident, recently admitted, begins to withdraw from group activities and frequently expresses regret about past family relationships. At first, this behaviour may appear as disengagement. When considered through Erikson’s theory, it can instead be understood as part of a reflective process. The individual may be trying to make sense of past experiences in relation to their current situation.</w:t>
      </w:r>
    </w:p>
    <w:p w14:paraId="43F0DF01"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A care worker might respond by organising one-to-one sessions focused on life review, using photographs or personal objects to guide discussion. This approach reflects Erikson’s focus on reflection, as reminiscence-based interventions provide structure for revisiting past experiences. Evidence suggests that these approaches are associated with improvements in mood and life satisfaction in older adults (Westerhof and Bohlmeijer, 2020; Woods et al., 2018).</w:t>
      </w:r>
    </w:p>
    <w:p w14:paraId="0AA7FAAA"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One challenge in applying this theory is that reflection does not always lead to positive outcomes. Some individuals may focus on regret or unresolved issues, which can increase emotional distress, particularly if reflection is not guided.</w:t>
      </w:r>
    </w:p>
    <w:p w14:paraId="6948024E"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 xml:space="preserve">An evidence-based response is reminiscence therapy, which has been widely studied in older adults (Westerhof and Bohlmeijer, 2020; Woods et al., 2018). This approach uses structured activities to support </w:t>
      </w:r>
      <w:r w:rsidRPr="008A7536">
        <w:rPr>
          <w:rFonts w:ascii="Arial Narrow" w:eastAsia="Times New Roman" w:hAnsi="Arial Narrow" w:cs="Times New Roman"/>
          <w:color w:val="000000"/>
          <w:kern w:val="0"/>
          <w:lang w:eastAsia="en-GB"/>
          <w14:ligatures w14:val="none"/>
        </w:rPr>
        <w:lastRenderedPageBreak/>
        <w:t>reflection in a controlled and supportive way. Evidence suggests that it is associated with improvements in mood, life satisfaction, and overall well-being. By guiding the review of past experiences, care professionals can help reduce the risk of distress and support a more stable sense of identity.</w:t>
      </w:r>
    </w:p>
    <w:p w14:paraId="0A8D4D2C" w14:textId="77777777" w:rsidR="008A7536" w:rsidRPr="008A7536" w:rsidRDefault="008A7536" w:rsidP="008A7536">
      <w:pPr>
        <w:snapToGrid w:val="0"/>
        <w:spacing w:after="0" w:line="360" w:lineRule="auto"/>
        <w:contextualSpacing/>
        <w:jc w:val="both"/>
        <w:rPr>
          <w:rFonts w:ascii="Arial Narrow" w:eastAsia="Times New Roman" w:hAnsi="Arial Narrow" w:cs="Times New Roman"/>
          <w:color w:val="000000"/>
          <w:kern w:val="0"/>
          <w:lang w:eastAsia="en-GB"/>
          <w14:ligatures w14:val="none"/>
        </w:rPr>
      </w:pPr>
      <w:r w:rsidRPr="008A7536">
        <w:rPr>
          <w:rFonts w:ascii="Arial Narrow" w:eastAsia="Times New Roman" w:hAnsi="Arial Narrow" w:cs="Times New Roman"/>
          <w:color w:val="000000"/>
          <w:kern w:val="0"/>
          <w:lang w:eastAsia="en-GB"/>
          <w14:ligatures w14:val="none"/>
        </w:rPr>
        <w:t>In conclusion, Erikson’s theory provides a useful way to understand emotional needs in later life. Its application in care homes can support well-being when reflection is guided and appropriately managed. Without this support, reflection may reinforce negative experiences. Structured approaches such as reminiscence therapy strengthen its application by providing clearer direction and reducing potential risks.</w:t>
      </w:r>
    </w:p>
    <w:p w14:paraId="378A8178" w14:textId="77777777" w:rsidR="008A7536" w:rsidRDefault="008A7536" w:rsidP="008A7536">
      <w:pPr>
        <w:spacing w:before="100" w:beforeAutospacing="1" w:after="100" w:afterAutospacing="1" w:line="240" w:lineRule="auto"/>
        <w:outlineLvl w:val="0"/>
        <w:rPr>
          <w:rFonts w:ascii="Arial Narrow" w:eastAsia="Times New Roman" w:hAnsi="Arial Narrow" w:cs="Times New Roman"/>
          <w:b/>
          <w:bCs/>
          <w:i/>
          <w:iCs/>
          <w:color w:val="000000"/>
          <w:kern w:val="36"/>
          <w:sz w:val="48"/>
          <w:szCs w:val="48"/>
          <w:lang w:eastAsia="en-GB"/>
          <w14:ligatures w14:val="none"/>
        </w:rPr>
      </w:pPr>
    </w:p>
    <w:p w14:paraId="24A900F9" w14:textId="77777777" w:rsidR="008A7536" w:rsidRDefault="008A7536" w:rsidP="008A7536">
      <w:pPr>
        <w:spacing w:before="100" w:beforeAutospacing="1" w:after="100" w:afterAutospacing="1" w:line="240" w:lineRule="auto"/>
        <w:outlineLvl w:val="0"/>
        <w:rPr>
          <w:rFonts w:ascii="Arial Narrow" w:eastAsia="Times New Roman" w:hAnsi="Arial Narrow" w:cs="Times New Roman"/>
          <w:b/>
          <w:bCs/>
          <w:i/>
          <w:iCs/>
          <w:color w:val="000000"/>
          <w:kern w:val="36"/>
          <w:sz w:val="48"/>
          <w:szCs w:val="48"/>
          <w:lang w:eastAsia="en-GB"/>
          <w14:ligatures w14:val="none"/>
        </w:rPr>
      </w:pPr>
    </w:p>
    <w:p w14:paraId="79223B1A" w14:textId="77777777" w:rsidR="008A7536" w:rsidRDefault="008A7536" w:rsidP="008A7536">
      <w:pPr>
        <w:spacing w:before="100" w:beforeAutospacing="1" w:after="100" w:afterAutospacing="1" w:line="240" w:lineRule="auto"/>
        <w:outlineLvl w:val="0"/>
        <w:rPr>
          <w:rFonts w:ascii="Arial Narrow" w:eastAsia="Times New Roman" w:hAnsi="Arial Narrow" w:cs="Times New Roman"/>
          <w:b/>
          <w:bCs/>
          <w:i/>
          <w:iCs/>
          <w:color w:val="000000"/>
          <w:kern w:val="36"/>
          <w:sz w:val="48"/>
          <w:szCs w:val="48"/>
          <w:lang w:eastAsia="en-GB"/>
          <w14:ligatures w14:val="none"/>
        </w:rPr>
      </w:pPr>
    </w:p>
    <w:p w14:paraId="185D3DAF" w14:textId="3C4D129F" w:rsidR="008A7536" w:rsidRPr="008A7536" w:rsidRDefault="008A7536" w:rsidP="008A7536">
      <w:pPr>
        <w:spacing w:before="100" w:beforeAutospacing="1" w:after="100" w:afterAutospacing="1" w:line="240" w:lineRule="auto"/>
        <w:jc w:val="center"/>
        <w:outlineLvl w:val="0"/>
        <w:rPr>
          <w:rFonts w:ascii="Arial Narrow" w:eastAsia="Times New Roman" w:hAnsi="Arial Narrow" w:cs="Times New Roman"/>
          <w:b/>
          <w:bCs/>
          <w:i/>
          <w:iCs/>
          <w:color w:val="000000"/>
          <w:kern w:val="36"/>
          <w:sz w:val="40"/>
          <w:szCs w:val="40"/>
          <w:lang w:eastAsia="en-GB"/>
          <w14:ligatures w14:val="none"/>
        </w:rPr>
      </w:pPr>
      <w:r w:rsidRPr="008A7536">
        <w:rPr>
          <w:rFonts w:ascii="Arial Narrow" w:eastAsia="Times New Roman" w:hAnsi="Arial Narrow" w:cs="Times New Roman"/>
          <w:b/>
          <w:bCs/>
          <w:i/>
          <w:iCs/>
          <w:color w:val="000000"/>
          <w:kern w:val="36"/>
          <w:sz w:val="40"/>
          <w:szCs w:val="40"/>
          <w:lang w:eastAsia="en-GB"/>
          <w14:ligatures w14:val="none"/>
        </w:rPr>
        <w:t>References</w:t>
      </w:r>
    </w:p>
    <w:p w14:paraId="69F05703" w14:textId="77777777" w:rsidR="008A7536" w:rsidRPr="008A7536" w:rsidRDefault="008A7536" w:rsidP="008A7536">
      <w:pPr>
        <w:spacing w:before="100" w:beforeAutospacing="1" w:after="100" w:afterAutospacing="1" w:line="240" w:lineRule="auto"/>
        <w:outlineLvl w:val="0"/>
        <w:rPr>
          <w:rFonts w:ascii="Arial Narrow" w:eastAsia="Times New Roman" w:hAnsi="Arial Narrow" w:cs="Times New Roman"/>
          <w:b/>
          <w:bCs/>
          <w:i/>
          <w:iCs/>
          <w:color w:val="000000"/>
          <w:kern w:val="36"/>
          <w:sz w:val="48"/>
          <w:szCs w:val="48"/>
          <w:lang w:eastAsia="en-GB"/>
          <w14:ligatures w14:val="none"/>
        </w:rPr>
      </w:pPr>
    </w:p>
    <w:p w14:paraId="4C14203D" w14:textId="77777777" w:rsidR="008A7536" w:rsidRPr="008A7536" w:rsidRDefault="008A7536" w:rsidP="008A7536">
      <w:pPr>
        <w:adjustRightInd w:val="0"/>
        <w:snapToGrid w:val="0"/>
        <w:spacing w:before="100" w:beforeAutospacing="1" w:after="100" w:afterAutospacing="1" w:line="360" w:lineRule="auto"/>
        <w:ind w:left="720" w:hanging="720"/>
        <w:contextualSpacing/>
        <w:jc w:val="both"/>
        <w:rPr>
          <w:rFonts w:ascii="Arial" w:eastAsia="Times New Roman" w:hAnsi="Arial" w:cs="Arial"/>
          <w:color w:val="000000"/>
          <w:kern w:val="0"/>
          <w:lang w:eastAsia="en-GB"/>
          <w14:ligatures w14:val="none"/>
        </w:rPr>
      </w:pPr>
      <w:r w:rsidRPr="008A7536">
        <w:rPr>
          <w:rFonts w:ascii="Arial" w:eastAsia="Times New Roman" w:hAnsi="Arial" w:cs="Arial"/>
          <w:color w:val="000000"/>
          <w:kern w:val="0"/>
          <w:lang w:eastAsia="en-GB"/>
          <w14:ligatures w14:val="none"/>
        </w:rPr>
        <w:t>Bengtson, V.L. and Settersten, R.A. (2016) Handbook of theories of aging. 3rd edn. New York: Springer.</w:t>
      </w:r>
    </w:p>
    <w:p w14:paraId="3B25B0CF" w14:textId="77777777" w:rsidR="008A7536" w:rsidRPr="008A7536" w:rsidRDefault="008A7536" w:rsidP="008A7536">
      <w:pPr>
        <w:adjustRightInd w:val="0"/>
        <w:snapToGrid w:val="0"/>
        <w:spacing w:before="100" w:beforeAutospacing="1" w:after="100" w:afterAutospacing="1" w:line="360" w:lineRule="auto"/>
        <w:ind w:left="720" w:hanging="720"/>
        <w:contextualSpacing/>
        <w:jc w:val="both"/>
        <w:rPr>
          <w:rFonts w:ascii="Arial" w:eastAsia="Times New Roman" w:hAnsi="Arial" w:cs="Arial"/>
          <w:color w:val="000000"/>
          <w:kern w:val="0"/>
          <w:lang w:eastAsia="en-GB"/>
          <w14:ligatures w14:val="none"/>
        </w:rPr>
      </w:pPr>
      <w:r w:rsidRPr="008A7536">
        <w:rPr>
          <w:rFonts w:ascii="Arial" w:eastAsia="Times New Roman" w:hAnsi="Arial" w:cs="Arial"/>
          <w:color w:val="000000"/>
          <w:kern w:val="0"/>
          <w:lang w:eastAsia="en-GB"/>
          <w14:ligatures w14:val="none"/>
        </w:rPr>
        <w:t>Fancourt, D. and Steptoe, A. (2020) ‘Physical and social activity and wellbeing in older adults’, The Lancet Public Health, 5(8), pp. e431–e440.</w:t>
      </w:r>
    </w:p>
    <w:p w14:paraId="2FFCB736" w14:textId="77777777" w:rsidR="008A7536" w:rsidRPr="008A7536" w:rsidRDefault="008A7536" w:rsidP="008A7536">
      <w:pPr>
        <w:adjustRightInd w:val="0"/>
        <w:snapToGrid w:val="0"/>
        <w:spacing w:before="100" w:beforeAutospacing="1" w:after="100" w:afterAutospacing="1" w:line="360" w:lineRule="auto"/>
        <w:ind w:left="720" w:hanging="720"/>
        <w:contextualSpacing/>
        <w:jc w:val="both"/>
        <w:rPr>
          <w:rFonts w:ascii="Arial" w:eastAsia="Times New Roman" w:hAnsi="Arial" w:cs="Arial"/>
          <w:color w:val="000000"/>
          <w:kern w:val="0"/>
          <w:lang w:eastAsia="en-GB"/>
          <w14:ligatures w14:val="none"/>
        </w:rPr>
      </w:pPr>
      <w:r w:rsidRPr="008A7536">
        <w:rPr>
          <w:rFonts w:ascii="Arial" w:eastAsia="Times New Roman" w:hAnsi="Arial" w:cs="Arial"/>
          <w:color w:val="000000"/>
          <w:kern w:val="0"/>
          <w:lang w:eastAsia="en-GB"/>
          <w14:ligatures w14:val="none"/>
        </w:rPr>
        <w:t>Newman, B.M. and Newman, P.R. (2020) Development through life: A psychosocial approach. 13th edn. Boston: Cengage Learning.</w:t>
      </w:r>
    </w:p>
    <w:p w14:paraId="0D0D6D6F" w14:textId="77777777" w:rsidR="008A7536" w:rsidRPr="008A7536" w:rsidRDefault="008A7536" w:rsidP="008A7536">
      <w:pPr>
        <w:adjustRightInd w:val="0"/>
        <w:snapToGrid w:val="0"/>
        <w:spacing w:before="100" w:beforeAutospacing="1" w:after="100" w:afterAutospacing="1" w:line="360" w:lineRule="auto"/>
        <w:ind w:left="720" w:hanging="720"/>
        <w:contextualSpacing/>
        <w:jc w:val="both"/>
        <w:rPr>
          <w:rFonts w:ascii="Arial" w:eastAsia="Times New Roman" w:hAnsi="Arial" w:cs="Arial"/>
          <w:color w:val="000000"/>
          <w:kern w:val="0"/>
          <w:lang w:eastAsia="en-GB"/>
          <w14:ligatures w14:val="none"/>
        </w:rPr>
      </w:pPr>
      <w:r w:rsidRPr="008A7536">
        <w:rPr>
          <w:rFonts w:ascii="Arial" w:eastAsia="Times New Roman" w:hAnsi="Arial" w:cs="Arial"/>
          <w:color w:val="000000"/>
          <w:kern w:val="0"/>
          <w:lang w:eastAsia="en-GB"/>
          <w14:ligatures w14:val="none"/>
        </w:rPr>
        <w:t>Westerhof, G.J. and Bohlmeijer, E.T. (2020) ‘The role of meaning in life in positive ageing’, The Journals of Gerontology: Series B, 75(2), pp. 211–219.</w:t>
      </w:r>
    </w:p>
    <w:p w14:paraId="572BF47E" w14:textId="77777777" w:rsidR="008A7536" w:rsidRPr="008A7536" w:rsidRDefault="008A7536" w:rsidP="008A7536">
      <w:pPr>
        <w:adjustRightInd w:val="0"/>
        <w:snapToGrid w:val="0"/>
        <w:spacing w:before="100" w:beforeAutospacing="1" w:after="100" w:afterAutospacing="1" w:line="360" w:lineRule="auto"/>
        <w:ind w:left="720" w:hanging="720"/>
        <w:contextualSpacing/>
        <w:jc w:val="both"/>
        <w:rPr>
          <w:rFonts w:ascii="Arial" w:eastAsia="Times New Roman" w:hAnsi="Arial" w:cs="Arial"/>
          <w:color w:val="000000"/>
          <w:kern w:val="0"/>
          <w:lang w:eastAsia="en-GB"/>
          <w14:ligatures w14:val="none"/>
        </w:rPr>
      </w:pPr>
      <w:r w:rsidRPr="008A7536">
        <w:rPr>
          <w:rFonts w:ascii="Arial" w:eastAsia="Times New Roman" w:hAnsi="Arial" w:cs="Arial"/>
          <w:color w:val="000000"/>
          <w:kern w:val="0"/>
          <w:lang w:eastAsia="en-GB"/>
          <w14:ligatures w14:val="none"/>
        </w:rPr>
        <w:t>Woods, B., O’Philbin, L., Farrell, E.M., Spector, A.E. and Orrell, M. (2018) ‘Reminiscence therapy for dementia’, Cochrane Database of Systematic Reviews, (3), CD001120.</w:t>
      </w:r>
    </w:p>
    <w:p w14:paraId="3B490B16" w14:textId="77777777" w:rsidR="008A7536" w:rsidRDefault="008A7536" w:rsidP="008A7536">
      <w:pPr>
        <w:spacing w:after="0" w:line="360" w:lineRule="auto"/>
        <w:ind w:left="720" w:hanging="720"/>
      </w:pPr>
    </w:p>
    <w:sectPr w:rsidR="008A75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7652C8"/>
    <w:multiLevelType w:val="multilevel"/>
    <w:tmpl w:val="FB745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464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536"/>
    <w:rsid w:val="00763EFE"/>
    <w:rsid w:val="008A7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117A1"/>
  <w15:chartTrackingRefBased/>
  <w15:docId w15:val="{DA3417AA-354C-094A-9062-710797F38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5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75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75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75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5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5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5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5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5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5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75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75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75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5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5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5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5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536"/>
    <w:rPr>
      <w:rFonts w:eastAsiaTheme="majorEastAsia" w:cstheme="majorBidi"/>
      <w:color w:val="272727" w:themeColor="text1" w:themeTint="D8"/>
    </w:rPr>
  </w:style>
  <w:style w:type="paragraph" w:styleId="Title">
    <w:name w:val="Title"/>
    <w:basedOn w:val="Normal"/>
    <w:next w:val="Normal"/>
    <w:link w:val="TitleChar"/>
    <w:uiPriority w:val="10"/>
    <w:qFormat/>
    <w:rsid w:val="008A75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5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5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5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536"/>
    <w:pPr>
      <w:spacing w:before="160"/>
      <w:jc w:val="center"/>
    </w:pPr>
    <w:rPr>
      <w:i/>
      <w:iCs/>
      <w:color w:val="404040" w:themeColor="text1" w:themeTint="BF"/>
    </w:rPr>
  </w:style>
  <w:style w:type="character" w:customStyle="1" w:styleId="QuoteChar">
    <w:name w:val="Quote Char"/>
    <w:basedOn w:val="DefaultParagraphFont"/>
    <w:link w:val="Quote"/>
    <w:uiPriority w:val="29"/>
    <w:rsid w:val="008A7536"/>
    <w:rPr>
      <w:i/>
      <w:iCs/>
      <w:color w:val="404040" w:themeColor="text1" w:themeTint="BF"/>
    </w:rPr>
  </w:style>
  <w:style w:type="paragraph" w:styleId="ListParagraph">
    <w:name w:val="List Paragraph"/>
    <w:basedOn w:val="Normal"/>
    <w:uiPriority w:val="34"/>
    <w:qFormat/>
    <w:rsid w:val="008A7536"/>
    <w:pPr>
      <w:ind w:left="720"/>
      <w:contextualSpacing/>
    </w:pPr>
  </w:style>
  <w:style w:type="character" w:styleId="IntenseEmphasis">
    <w:name w:val="Intense Emphasis"/>
    <w:basedOn w:val="DefaultParagraphFont"/>
    <w:uiPriority w:val="21"/>
    <w:qFormat/>
    <w:rsid w:val="008A7536"/>
    <w:rPr>
      <w:i/>
      <w:iCs/>
      <w:color w:val="0F4761" w:themeColor="accent1" w:themeShade="BF"/>
    </w:rPr>
  </w:style>
  <w:style w:type="paragraph" w:styleId="IntenseQuote">
    <w:name w:val="Intense Quote"/>
    <w:basedOn w:val="Normal"/>
    <w:next w:val="Normal"/>
    <w:link w:val="IntenseQuoteChar"/>
    <w:uiPriority w:val="30"/>
    <w:qFormat/>
    <w:rsid w:val="008A75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536"/>
    <w:rPr>
      <w:i/>
      <w:iCs/>
      <w:color w:val="0F4761" w:themeColor="accent1" w:themeShade="BF"/>
    </w:rPr>
  </w:style>
  <w:style w:type="character" w:styleId="IntenseReference">
    <w:name w:val="Intense Reference"/>
    <w:basedOn w:val="DefaultParagraphFont"/>
    <w:uiPriority w:val="32"/>
    <w:qFormat/>
    <w:rsid w:val="008A7536"/>
    <w:rPr>
      <w:b/>
      <w:bCs/>
      <w:smallCaps/>
      <w:color w:val="0F4761" w:themeColor="accent1" w:themeShade="BF"/>
      <w:spacing w:val="5"/>
    </w:rPr>
  </w:style>
  <w:style w:type="character" w:customStyle="1" w:styleId="apple-converted-space">
    <w:name w:val="apple-converted-space"/>
    <w:basedOn w:val="DefaultParagraphFont"/>
    <w:rsid w:val="008A7536"/>
  </w:style>
  <w:style w:type="character" w:styleId="Strong">
    <w:name w:val="Strong"/>
    <w:basedOn w:val="DefaultParagraphFont"/>
    <w:uiPriority w:val="22"/>
    <w:qFormat/>
    <w:rsid w:val="008A7536"/>
    <w:rPr>
      <w:b/>
      <w:bCs/>
    </w:rPr>
  </w:style>
  <w:style w:type="paragraph" w:styleId="NormalWeb">
    <w:name w:val="Normal (Web)"/>
    <w:basedOn w:val="Normal"/>
    <w:uiPriority w:val="99"/>
    <w:semiHidden/>
    <w:unhideWhenUsed/>
    <w:rsid w:val="008A753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A7536"/>
    <w:rPr>
      <w:i/>
      <w:iCs/>
    </w:rPr>
  </w:style>
  <w:style w:type="paragraph" w:customStyle="1" w:styleId="p1">
    <w:name w:val="p1"/>
    <w:basedOn w:val="Normal"/>
    <w:rsid w:val="008A7536"/>
    <w:pPr>
      <w:spacing w:after="0" w:line="240" w:lineRule="auto"/>
    </w:pPr>
    <w:rPr>
      <w:rFonts w:ascii="Arial" w:eastAsia="Times New Roman" w:hAnsi="Arial" w:cs="Arial"/>
      <w:color w:val="000000"/>
      <w:kern w:val="0"/>
      <w:sz w:val="17"/>
      <w:szCs w:val="1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53</TotalTime>
  <Pages>5</Pages>
  <Words>1476</Words>
  <Characters>7277</Characters>
  <Application>Microsoft Office Word</Application>
  <DocSecurity>0</DocSecurity>
  <Lines>110</Lines>
  <Paragraphs>22</Paragraphs>
  <ScaleCrop>false</ScaleCrop>
  <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Vania Batista (2439410)</dc:creator>
  <cp:keywords/>
  <dc:description/>
  <cp:lastModifiedBy>Vania Batista (2439410)</cp:lastModifiedBy>
  <cp:revision>1</cp:revision>
  <dcterms:created xsi:type="dcterms:W3CDTF">2026-04-21T07:32:00Z</dcterms:created>
  <dcterms:modified xsi:type="dcterms:W3CDTF">2026-04-21T08:53:00Z</dcterms:modified>
</cp:coreProperties>
</file>