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4472C4" w:themeColor="accent1"/>
          <w:lang w:val="en-GB"/>
        </w:rPr>
        <w:id w:val="1015503851"/>
        <w:docPartObj>
          <w:docPartGallery w:val="Cover Pages"/>
          <w:docPartUnique/>
        </w:docPartObj>
      </w:sdtPr>
      <w:sdtEndPr>
        <w:rPr>
          <w:color w:val="auto"/>
        </w:rPr>
      </w:sdtEndPr>
      <w:sdtContent>
        <w:p w14:paraId="6E077E75" w14:textId="24A66380" w:rsidR="0026678D" w:rsidRDefault="0026678D">
          <w:pPr>
            <w:pStyle w:val="NoSpacing"/>
            <w:spacing w:before="1540" w:after="240"/>
            <w:jc w:val="center"/>
            <w:rPr>
              <w:color w:val="4472C4" w:themeColor="accent1"/>
            </w:rPr>
          </w:pPr>
          <w:r>
            <w:rPr>
              <w:noProof/>
              <w:color w:val="4472C4" w:themeColor="accent1"/>
            </w:rPr>
            <w:drawing>
              <wp:inline distT="0" distB="0" distL="0" distR="0" wp14:anchorId="36FBB12C" wp14:editId="70C8C0B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08B4A49" w14:textId="49C92F23" w:rsidR="0026678D" w:rsidRDefault="00D11A6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sdt>
            <w:sdtPr>
              <w:rPr>
                <w:rFonts w:asciiTheme="majorHAnsi" w:eastAsiaTheme="majorEastAsia" w:hAnsiTheme="majorHAnsi" w:cstheme="majorBidi"/>
                <w:caps/>
                <w:color w:val="4472C4" w:themeColor="accent1"/>
                <w:sz w:val="72"/>
                <w:szCs w:val="72"/>
              </w:rPr>
              <w:alias w:val="Title"/>
              <w:tag w:val=""/>
              <w:id w:val="1735040861"/>
              <w:placeholder>
                <w:docPart w:val="AD98A1C62C95459F8A780C24CBA31134"/>
              </w:placeholder>
              <w:dataBinding w:prefixMappings="xmlns:ns0='http://purl.org/dc/elements/1.1/' xmlns:ns1='http://schemas.openxmlformats.org/package/2006/metadata/core-properties' " w:xpath="/ns1:coreProperties[1]/ns0:title[1]" w:storeItemID="{6C3C8BC8-F283-45AE-878A-BAB7291924A1}"/>
              <w:text/>
            </w:sdtPr>
            <w:sdtEndPr/>
            <w:sdtContent>
              <w:r w:rsidR="0037443B">
                <w:rPr>
                  <w:rFonts w:asciiTheme="majorHAnsi" w:eastAsiaTheme="majorEastAsia" w:hAnsiTheme="majorHAnsi" w:cstheme="majorBidi"/>
                  <w:caps/>
                  <w:color w:val="4472C4" w:themeColor="accent1"/>
                  <w:sz w:val="72"/>
                  <w:szCs w:val="72"/>
                </w:rPr>
                <w:t>BMHP4003:</w:t>
              </w:r>
            </w:sdtContent>
          </w:sdt>
          <w:r w:rsidR="0026678D" w:rsidRPr="0026678D">
            <w:rPr>
              <w:rFonts w:asciiTheme="majorHAnsi" w:eastAsiaTheme="majorEastAsia" w:hAnsiTheme="majorHAnsi" w:cstheme="majorBidi"/>
              <w:caps/>
              <w:color w:val="4472C4" w:themeColor="accent1"/>
              <w:sz w:val="72"/>
              <w:szCs w:val="72"/>
            </w:rPr>
            <w:t>Psychology for Health and Social Care</w:t>
          </w:r>
        </w:p>
        <w:sdt>
          <w:sdtPr>
            <w:rPr>
              <w:color w:val="4472C4" w:themeColor="accent1"/>
              <w:sz w:val="28"/>
              <w:szCs w:val="28"/>
            </w:rPr>
            <w:alias w:val="Subtitle"/>
            <w:tag w:val=""/>
            <w:id w:val="328029620"/>
            <w:placeholder>
              <w:docPart w:val="EE4247D0DCD14FB29986B78B9A6CAB2E"/>
            </w:placeholder>
            <w:dataBinding w:prefixMappings="xmlns:ns0='http://purl.org/dc/elements/1.1/' xmlns:ns1='http://schemas.openxmlformats.org/package/2006/metadata/core-properties' " w:xpath="/ns1:coreProperties[1]/ns0:subject[1]" w:storeItemID="{6C3C8BC8-F283-45AE-878A-BAB7291924A1}"/>
            <w:text/>
          </w:sdtPr>
          <w:sdtEndPr/>
          <w:sdtContent>
            <w:p w14:paraId="6AADAF0E" w14:textId="5F134D37" w:rsidR="0026678D" w:rsidRDefault="0026678D">
              <w:pPr>
                <w:pStyle w:val="NoSpacing"/>
                <w:jc w:val="center"/>
                <w:rPr>
                  <w:color w:val="4472C4" w:themeColor="accent1"/>
                  <w:sz w:val="28"/>
                  <w:szCs w:val="28"/>
                </w:rPr>
              </w:pPr>
              <w:r w:rsidRPr="0026678D">
                <w:rPr>
                  <w:color w:val="4472C4" w:themeColor="accent1"/>
                  <w:sz w:val="28"/>
                  <w:szCs w:val="28"/>
                </w:rPr>
                <w:t>Applying Psychological perspectives in Health and Social Care</w:t>
              </w:r>
              <w:r>
                <w:rPr>
                  <w:color w:val="4472C4" w:themeColor="accent1"/>
                  <w:sz w:val="28"/>
                  <w:szCs w:val="28"/>
                </w:rPr>
                <w:t xml:space="preserve">: Assessment </w:t>
              </w:r>
              <w:r w:rsidR="00B92C72">
                <w:rPr>
                  <w:color w:val="4472C4" w:themeColor="accent1"/>
                  <w:sz w:val="28"/>
                  <w:szCs w:val="28"/>
                </w:rPr>
                <w:t>1</w:t>
              </w:r>
            </w:p>
          </w:sdtContent>
        </w:sdt>
        <w:p w14:paraId="24219271" w14:textId="77777777" w:rsidR="0026678D" w:rsidRDefault="0026678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0955317" wp14:editId="5BA17EE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2BE30EB" w14:textId="3D266038" w:rsidR="0026678D" w:rsidRDefault="0026678D">
                                    <w:pPr>
                                      <w:pStyle w:val="NoSpacing"/>
                                      <w:spacing w:after="40"/>
                                      <w:jc w:val="center"/>
                                      <w:rPr>
                                        <w:caps/>
                                        <w:color w:val="4472C4" w:themeColor="accent1"/>
                                        <w:sz w:val="28"/>
                                        <w:szCs w:val="28"/>
                                      </w:rPr>
                                    </w:pPr>
                                    <w:r>
                                      <w:rPr>
                                        <w:caps/>
                                        <w:color w:val="4472C4" w:themeColor="accent1"/>
                                        <w:sz w:val="28"/>
                                        <w:szCs w:val="28"/>
                                      </w:rPr>
                                      <w:t>student name:</w:t>
                                    </w:r>
                                    <w:r w:rsidR="00B92C72">
                                      <w:rPr>
                                        <w:caps/>
                                        <w:color w:val="4472C4" w:themeColor="accent1"/>
                                        <w:sz w:val="28"/>
                                        <w:szCs w:val="28"/>
                                      </w:rPr>
                                      <w:t xml:space="preserve">  Mariya georgieva</w:t>
                                    </w:r>
                                  </w:p>
                                </w:sdtContent>
                              </w:sdt>
                              <w:p w14:paraId="456784B9" w14:textId="7222C69D" w:rsidR="0026678D" w:rsidRDefault="00D11A6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443B">
                                      <w:rPr>
                                        <w:caps/>
                                        <w:color w:val="4472C4" w:themeColor="accent1"/>
                                      </w:rPr>
                                      <w:t>student id:</w:t>
                                    </w:r>
                                    <w:r w:rsidR="00B92C72">
                                      <w:rPr>
                                        <w:caps/>
                                        <w:color w:val="4472C4" w:themeColor="accent1"/>
                                      </w:rPr>
                                      <w:t xml:space="preserve"> 1906952</w:t>
                                    </w:r>
                                  </w:sdtContent>
                                </w:sdt>
                              </w:p>
                              <w:p w14:paraId="2F5B843D" w14:textId="0DF0F2C0" w:rsidR="0026678D" w:rsidRDefault="00D11A6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6678D" w:rsidRPr="0026678D">
                                      <w:rPr>
                                        <w:color w:val="4472C4" w:themeColor="accent1"/>
                                      </w:rPr>
                                      <w:t xml:space="preserve">Lecturer(s): </w:t>
                                    </w:r>
                                    <w:r w:rsidR="00B92C72">
                                      <w:rPr>
                                        <w:color w:val="4472C4" w:themeColor="accent1"/>
                                      </w:rPr>
                                      <w:t xml:space="preserve">Diya </w:t>
                                    </w:r>
                                    <w:proofErr w:type="spellStart"/>
                                    <w:r w:rsidR="00B92C72">
                                      <w:rPr>
                                        <w:color w:val="4472C4" w:themeColor="accent1"/>
                                      </w:rPr>
                                      <w:t>Ganguly</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95531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2BE30EB" w14:textId="3D266038" w:rsidR="0026678D" w:rsidRDefault="0026678D">
                              <w:pPr>
                                <w:pStyle w:val="NoSpacing"/>
                                <w:spacing w:after="40"/>
                                <w:jc w:val="center"/>
                                <w:rPr>
                                  <w:caps/>
                                  <w:color w:val="4472C4" w:themeColor="accent1"/>
                                  <w:sz w:val="28"/>
                                  <w:szCs w:val="28"/>
                                </w:rPr>
                              </w:pPr>
                              <w:r>
                                <w:rPr>
                                  <w:caps/>
                                  <w:color w:val="4472C4" w:themeColor="accent1"/>
                                  <w:sz w:val="28"/>
                                  <w:szCs w:val="28"/>
                                </w:rPr>
                                <w:t>student name:</w:t>
                              </w:r>
                              <w:r w:rsidR="00B92C72">
                                <w:rPr>
                                  <w:caps/>
                                  <w:color w:val="4472C4" w:themeColor="accent1"/>
                                  <w:sz w:val="28"/>
                                  <w:szCs w:val="28"/>
                                </w:rPr>
                                <w:t xml:space="preserve">  Mariya georgieva</w:t>
                              </w:r>
                            </w:p>
                          </w:sdtContent>
                        </w:sdt>
                        <w:p w14:paraId="456784B9" w14:textId="7222C69D" w:rsidR="0026678D" w:rsidRDefault="00D11A6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443B">
                                <w:rPr>
                                  <w:caps/>
                                  <w:color w:val="4472C4" w:themeColor="accent1"/>
                                </w:rPr>
                                <w:t>student id:</w:t>
                              </w:r>
                              <w:r w:rsidR="00B92C72">
                                <w:rPr>
                                  <w:caps/>
                                  <w:color w:val="4472C4" w:themeColor="accent1"/>
                                </w:rPr>
                                <w:t xml:space="preserve"> 1906952</w:t>
                              </w:r>
                            </w:sdtContent>
                          </w:sdt>
                        </w:p>
                        <w:p w14:paraId="2F5B843D" w14:textId="0DF0F2C0" w:rsidR="0026678D" w:rsidRDefault="00D11A6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6678D" w:rsidRPr="0026678D">
                                <w:rPr>
                                  <w:color w:val="4472C4" w:themeColor="accent1"/>
                                </w:rPr>
                                <w:t xml:space="preserve">Lecturer(s): </w:t>
                              </w:r>
                              <w:r w:rsidR="00B92C72">
                                <w:rPr>
                                  <w:color w:val="4472C4" w:themeColor="accent1"/>
                                </w:rPr>
                                <w:t xml:space="preserve">Diya </w:t>
                              </w:r>
                              <w:proofErr w:type="spellStart"/>
                              <w:r w:rsidR="00B92C72">
                                <w:rPr>
                                  <w:color w:val="4472C4" w:themeColor="accent1"/>
                                </w:rPr>
                                <w:t>Ganguly</w:t>
                              </w:r>
                              <w:proofErr w:type="spellEnd"/>
                            </w:sdtContent>
                          </w:sdt>
                        </w:p>
                      </w:txbxContent>
                    </v:textbox>
                    <w10:wrap anchorx="margin" anchory="page"/>
                  </v:shape>
                </w:pict>
              </mc:Fallback>
            </mc:AlternateContent>
          </w:r>
          <w:r>
            <w:rPr>
              <w:noProof/>
              <w:color w:val="4472C4" w:themeColor="accent1"/>
            </w:rPr>
            <w:drawing>
              <wp:inline distT="0" distB="0" distL="0" distR="0" wp14:anchorId="5D8D82A9" wp14:editId="18DA701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8414CF6" w14:textId="3A5FC844" w:rsidR="0026678D" w:rsidRDefault="0026678D">
          <w:pPr>
            <w:spacing w:after="160" w:line="259" w:lineRule="auto"/>
          </w:pPr>
          <w:r>
            <w:br w:type="page"/>
          </w:r>
        </w:p>
      </w:sdtContent>
    </w:sdt>
    <w:sdt>
      <w:sdtPr>
        <w:rPr>
          <w:rFonts w:ascii="Arial" w:eastAsiaTheme="minorHAnsi" w:hAnsi="Arial" w:cstheme="minorBidi"/>
          <w:color w:val="auto"/>
          <w:sz w:val="22"/>
          <w:szCs w:val="22"/>
          <w:lang w:val="en-GB"/>
        </w:rPr>
        <w:id w:val="1680932884"/>
        <w:docPartObj>
          <w:docPartGallery w:val="Table of Contents"/>
          <w:docPartUnique/>
        </w:docPartObj>
      </w:sdtPr>
      <w:sdtEndPr>
        <w:rPr>
          <w:b/>
          <w:bCs/>
          <w:noProof/>
        </w:rPr>
      </w:sdtEndPr>
      <w:sdtContent>
        <w:p w14:paraId="0C4699AD" w14:textId="7E811AAB" w:rsidR="00FA5F46" w:rsidRDefault="00FA5F46">
          <w:pPr>
            <w:pStyle w:val="TOCHeading"/>
          </w:pPr>
          <w:r>
            <w:t>Table of Contents</w:t>
          </w:r>
        </w:p>
        <w:p w14:paraId="6466C634" w14:textId="281F4C14" w:rsidR="00F65EAE" w:rsidRDefault="00FA5F46">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9442026" w:history="1">
            <w:r w:rsidR="00F65EAE" w:rsidRPr="009A2C81">
              <w:rPr>
                <w:rStyle w:val="Hyperlink"/>
                <w:noProof/>
              </w:rPr>
              <w:t>Introduction</w:t>
            </w:r>
            <w:r w:rsidR="00F65EAE">
              <w:rPr>
                <w:noProof/>
                <w:webHidden/>
              </w:rPr>
              <w:tab/>
            </w:r>
            <w:r w:rsidR="00F65EAE">
              <w:rPr>
                <w:noProof/>
                <w:webHidden/>
              </w:rPr>
              <w:fldChar w:fldCharType="begin"/>
            </w:r>
            <w:r w:rsidR="00F65EAE">
              <w:rPr>
                <w:noProof/>
                <w:webHidden/>
              </w:rPr>
              <w:instrText xml:space="preserve"> PAGEREF _Toc49442026 \h </w:instrText>
            </w:r>
            <w:r w:rsidR="00F65EAE">
              <w:rPr>
                <w:noProof/>
                <w:webHidden/>
              </w:rPr>
            </w:r>
            <w:r w:rsidR="00F65EAE">
              <w:rPr>
                <w:noProof/>
                <w:webHidden/>
              </w:rPr>
              <w:fldChar w:fldCharType="separate"/>
            </w:r>
            <w:r w:rsidR="00F65EAE">
              <w:rPr>
                <w:noProof/>
                <w:webHidden/>
              </w:rPr>
              <w:t>2</w:t>
            </w:r>
            <w:r w:rsidR="00F65EAE">
              <w:rPr>
                <w:noProof/>
                <w:webHidden/>
              </w:rPr>
              <w:fldChar w:fldCharType="end"/>
            </w:r>
          </w:hyperlink>
        </w:p>
        <w:p w14:paraId="55CEB738" w14:textId="5A0F610A" w:rsidR="00F65EAE" w:rsidRDefault="00D11A6D">
          <w:pPr>
            <w:pStyle w:val="TOC1"/>
            <w:tabs>
              <w:tab w:val="right" w:leader="dot" w:pos="9016"/>
            </w:tabs>
            <w:rPr>
              <w:rFonts w:asciiTheme="minorHAnsi" w:eastAsiaTheme="minorEastAsia" w:hAnsiTheme="minorHAnsi"/>
              <w:noProof/>
              <w:lang w:eastAsia="en-GB"/>
            </w:rPr>
          </w:pPr>
          <w:hyperlink w:anchor="_Toc49442027" w:history="1">
            <w:r w:rsidR="00F65EAE" w:rsidRPr="009A2C81">
              <w:rPr>
                <w:rStyle w:val="Hyperlink"/>
                <w:noProof/>
              </w:rPr>
              <w:t>How aid standards are applied to ensure that people are considered in the practice of well-being and social attention</w:t>
            </w:r>
            <w:r w:rsidR="00F65EAE">
              <w:rPr>
                <w:noProof/>
                <w:webHidden/>
              </w:rPr>
              <w:tab/>
            </w:r>
            <w:r w:rsidR="00F65EAE">
              <w:rPr>
                <w:noProof/>
                <w:webHidden/>
              </w:rPr>
              <w:fldChar w:fldCharType="begin"/>
            </w:r>
            <w:r w:rsidR="00F65EAE">
              <w:rPr>
                <w:noProof/>
                <w:webHidden/>
              </w:rPr>
              <w:instrText xml:space="preserve"> PAGEREF _Toc49442027 \h </w:instrText>
            </w:r>
            <w:r w:rsidR="00F65EAE">
              <w:rPr>
                <w:noProof/>
                <w:webHidden/>
              </w:rPr>
            </w:r>
            <w:r w:rsidR="00F65EAE">
              <w:rPr>
                <w:noProof/>
                <w:webHidden/>
              </w:rPr>
              <w:fldChar w:fldCharType="separate"/>
            </w:r>
            <w:r w:rsidR="00F65EAE">
              <w:rPr>
                <w:noProof/>
                <w:webHidden/>
              </w:rPr>
              <w:t>2</w:t>
            </w:r>
            <w:r w:rsidR="00F65EAE">
              <w:rPr>
                <w:noProof/>
                <w:webHidden/>
              </w:rPr>
              <w:fldChar w:fldCharType="end"/>
            </w:r>
          </w:hyperlink>
        </w:p>
        <w:p w14:paraId="7657C29F" w14:textId="40821B46" w:rsidR="00F65EAE" w:rsidRDefault="00D11A6D">
          <w:pPr>
            <w:pStyle w:val="TOC1"/>
            <w:tabs>
              <w:tab w:val="right" w:leader="dot" w:pos="9016"/>
            </w:tabs>
            <w:rPr>
              <w:rFonts w:asciiTheme="minorHAnsi" w:eastAsiaTheme="minorEastAsia" w:hAnsiTheme="minorHAnsi"/>
              <w:noProof/>
              <w:lang w:eastAsia="en-GB"/>
            </w:rPr>
          </w:pPr>
          <w:hyperlink w:anchor="_Toc49442028" w:history="1">
            <w:r w:rsidR="00F65EAE" w:rsidRPr="009A2C81">
              <w:rPr>
                <w:rStyle w:val="Hyperlink"/>
                <w:noProof/>
              </w:rPr>
              <w:t>The Life Stages and Relationships with Psychological Theories</w:t>
            </w:r>
            <w:r w:rsidR="00F65EAE">
              <w:rPr>
                <w:noProof/>
                <w:webHidden/>
              </w:rPr>
              <w:tab/>
            </w:r>
            <w:r w:rsidR="00F65EAE">
              <w:rPr>
                <w:noProof/>
                <w:webHidden/>
              </w:rPr>
              <w:fldChar w:fldCharType="begin"/>
            </w:r>
            <w:r w:rsidR="00F65EAE">
              <w:rPr>
                <w:noProof/>
                <w:webHidden/>
              </w:rPr>
              <w:instrText xml:space="preserve"> PAGEREF _Toc49442028 \h </w:instrText>
            </w:r>
            <w:r w:rsidR="00F65EAE">
              <w:rPr>
                <w:noProof/>
                <w:webHidden/>
              </w:rPr>
            </w:r>
            <w:r w:rsidR="00F65EAE">
              <w:rPr>
                <w:noProof/>
                <w:webHidden/>
              </w:rPr>
              <w:fldChar w:fldCharType="separate"/>
            </w:r>
            <w:r w:rsidR="00F65EAE">
              <w:rPr>
                <w:noProof/>
                <w:webHidden/>
              </w:rPr>
              <w:t>2</w:t>
            </w:r>
            <w:r w:rsidR="00F65EAE">
              <w:rPr>
                <w:noProof/>
                <w:webHidden/>
              </w:rPr>
              <w:fldChar w:fldCharType="end"/>
            </w:r>
          </w:hyperlink>
        </w:p>
        <w:p w14:paraId="1FD24174" w14:textId="63DC17B0" w:rsidR="00F65EAE" w:rsidRDefault="00D11A6D">
          <w:pPr>
            <w:pStyle w:val="TOC2"/>
            <w:tabs>
              <w:tab w:val="right" w:leader="dot" w:pos="9016"/>
            </w:tabs>
            <w:rPr>
              <w:rFonts w:asciiTheme="minorHAnsi" w:eastAsiaTheme="minorEastAsia" w:hAnsiTheme="minorHAnsi"/>
              <w:noProof/>
              <w:lang w:eastAsia="en-GB"/>
            </w:rPr>
          </w:pPr>
          <w:hyperlink w:anchor="_Toc49442029" w:history="1">
            <w:r w:rsidR="00F65EAE" w:rsidRPr="009A2C81">
              <w:rPr>
                <w:rStyle w:val="Hyperlink"/>
                <w:noProof/>
              </w:rPr>
              <w:t>Benefit from following an individual focused methodology with clients of welfare and social care administrations</w:t>
            </w:r>
            <w:r w:rsidR="00F65EAE">
              <w:rPr>
                <w:noProof/>
                <w:webHidden/>
              </w:rPr>
              <w:tab/>
            </w:r>
            <w:r w:rsidR="00F65EAE">
              <w:rPr>
                <w:noProof/>
                <w:webHidden/>
              </w:rPr>
              <w:fldChar w:fldCharType="begin"/>
            </w:r>
            <w:r w:rsidR="00F65EAE">
              <w:rPr>
                <w:noProof/>
                <w:webHidden/>
              </w:rPr>
              <w:instrText xml:space="preserve"> PAGEREF _Toc49442029 \h </w:instrText>
            </w:r>
            <w:r w:rsidR="00F65EAE">
              <w:rPr>
                <w:noProof/>
                <w:webHidden/>
              </w:rPr>
            </w:r>
            <w:r w:rsidR="00F65EAE">
              <w:rPr>
                <w:noProof/>
                <w:webHidden/>
              </w:rPr>
              <w:fldChar w:fldCharType="separate"/>
            </w:r>
            <w:r w:rsidR="00F65EAE">
              <w:rPr>
                <w:noProof/>
                <w:webHidden/>
              </w:rPr>
              <w:t>3</w:t>
            </w:r>
            <w:r w:rsidR="00F65EAE">
              <w:rPr>
                <w:noProof/>
                <w:webHidden/>
              </w:rPr>
              <w:fldChar w:fldCharType="end"/>
            </w:r>
          </w:hyperlink>
        </w:p>
        <w:p w14:paraId="6025C400" w14:textId="74DEA64A" w:rsidR="00F65EAE" w:rsidRDefault="00D11A6D">
          <w:pPr>
            <w:pStyle w:val="TOC2"/>
            <w:tabs>
              <w:tab w:val="right" w:leader="dot" w:pos="9016"/>
            </w:tabs>
            <w:rPr>
              <w:rFonts w:asciiTheme="minorHAnsi" w:eastAsiaTheme="minorEastAsia" w:hAnsiTheme="minorHAnsi"/>
              <w:noProof/>
              <w:lang w:eastAsia="en-GB"/>
            </w:rPr>
          </w:pPr>
          <w:hyperlink w:anchor="_Toc49442030" w:history="1">
            <w:r w:rsidR="00F65EAE" w:rsidRPr="009A2C81">
              <w:rPr>
                <w:rStyle w:val="Hyperlink"/>
                <w:noProof/>
              </w:rPr>
              <w:t>Ethical issues and disagreements that may arise when considering, securing and ensuring the clients of welfare and social care administrations.</w:t>
            </w:r>
            <w:r w:rsidR="00F65EAE">
              <w:rPr>
                <w:noProof/>
                <w:webHidden/>
              </w:rPr>
              <w:tab/>
            </w:r>
            <w:r w:rsidR="00F65EAE">
              <w:rPr>
                <w:noProof/>
                <w:webHidden/>
              </w:rPr>
              <w:fldChar w:fldCharType="begin"/>
            </w:r>
            <w:r w:rsidR="00F65EAE">
              <w:rPr>
                <w:noProof/>
                <w:webHidden/>
              </w:rPr>
              <w:instrText xml:space="preserve"> PAGEREF _Toc49442030 \h </w:instrText>
            </w:r>
            <w:r w:rsidR="00F65EAE">
              <w:rPr>
                <w:noProof/>
                <w:webHidden/>
              </w:rPr>
            </w:r>
            <w:r w:rsidR="00F65EAE">
              <w:rPr>
                <w:noProof/>
                <w:webHidden/>
              </w:rPr>
              <w:fldChar w:fldCharType="separate"/>
            </w:r>
            <w:r w:rsidR="00F65EAE">
              <w:rPr>
                <w:noProof/>
                <w:webHidden/>
              </w:rPr>
              <w:t>4</w:t>
            </w:r>
            <w:r w:rsidR="00F65EAE">
              <w:rPr>
                <w:noProof/>
                <w:webHidden/>
              </w:rPr>
              <w:fldChar w:fldCharType="end"/>
            </w:r>
          </w:hyperlink>
        </w:p>
        <w:p w14:paraId="23DD0B12" w14:textId="57D5DEA4" w:rsidR="00F65EAE" w:rsidRDefault="00D11A6D">
          <w:pPr>
            <w:pStyle w:val="TOC1"/>
            <w:tabs>
              <w:tab w:val="right" w:leader="dot" w:pos="9016"/>
            </w:tabs>
            <w:rPr>
              <w:rFonts w:asciiTheme="minorHAnsi" w:eastAsiaTheme="minorEastAsia" w:hAnsiTheme="minorHAnsi"/>
              <w:noProof/>
              <w:lang w:eastAsia="en-GB"/>
            </w:rPr>
          </w:pPr>
          <w:hyperlink w:anchor="_Toc49442031" w:history="1">
            <w:r w:rsidR="00F65EAE" w:rsidRPr="009A2C81">
              <w:rPr>
                <w:rStyle w:val="Hyperlink"/>
                <w:noProof/>
              </w:rPr>
              <w:t>The implementation of approaches, regulations, guidelines and training codes that are applicable to work in welfare and social attention</w:t>
            </w:r>
            <w:r w:rsidR="00F65EAE">
              <w:rPr>
                <w:noProof/>
                <w:webHidden/>
              </w:rPr>
              <w:tab/>
            </w:r>
            <w:r w:rsidR="00F65EAE">
              <w:rPr>
                <w:noProof/>
                <w:webHidden/>
              </w:rPr>
              <w:fldChar w:fldCharType="begin"/>
            </w:r>
            <w:r w:rsidR="00F65EAE">
              <w:rPr>
                <w:noProof/>
                <w:webHidden/>
              </w:rPr>
              <w:instrText xml:space="preserve"> PAGEREF _Toc49442031 \h </w:instrText>
            </w:r>
            <w:r w:rsidR="00F65EAE">
              <w:rPr>
                <w:noProof/>
                <w:webHidden/>
              </w:rPr>
            </w:r>
            <w:r w:rsidR="00F65EAE">
              <w:rPr>
                <w:noProof/>
                <w:webHidden/>
              </w:rPr>
              <w:fldChar w:fldCharType="separate"/>
            </w:r>
            <w:r w:rsidR="00F65EAE">
              <w:rPr>
                <w:noProof/>
                <w:webHidden/>
              </w:rPr>
              <w:t>4</w:t>
            </w:r>
            <w:r w:rsidR="00F65EAE">
              <w:rPr>
                <w:noProof/>
                <w:webHidden/>
              </w:rPr>
              <w:fldChar w:fldCharType="end"/>
            </w:r>
          </w:hyperlink>
        </w:p>
        <w:p w14:paraId="71FE678F" w14:textId="31C83B47" w:rsidR="00F65EAE" w:rsidRDefault="00D11A6D">
          <w:pPr>
            <w:pStyle w:val="TOC2"/>
            <w:tabs>
              <w:tab w:val="right" w:leader="dot" w:pos="9016"/>
            </w:tabs>
            <w:rPr>
              <w:rFonts w:asciiTheme="minorHAnsi" w:eastAsiaTheme="minorEastAsia" w:hAnsiTheme="minorHAnsi"/>
              <w:noProof/>
              <w:lang w:eastAsia="en-GB"/>
            </w:rPr>
          </w:pPr>
          <w:hyperlink w:anchor="_Toc49442032" w:history="1">
            <w:r w:rsidR="00F65EAE" w:rsidRPr="009A2C81">
              <w:rPr>
                <w:rStyle w:val="Hyperlink"/>
                <w:noProof/>
              </w:rPr>
              <w:t>How close strategies and techniques can be created in competition with national and strategic preconditions</w:t>
            </w:r>
            <w:r w:rsidR="00F65EAE">
              <w:rPr>
                <w:noProof/>
                <w:webHidden/>
              </w:rPr>
              <w:tab/>
            </w:r>
            <w:r w:rsidR="00F65EAE">
              <w:rPr>
                <w:noProof/>
                <w:webHidden/>
              </w:rPr>
              <w:fldChar w:fldCharType="begin"/>
            </w:r>
            <w:r w:rsidR="00F65EAE">
              <w:rPr>
                <w:noProof/>
                <w:webHidden/>
              </w:rPr>
              <w:instrText xml:space="preserve"> PAGEREF _Toc49442032 \h </w:instrText>
            </w:r>
            <w:r w:rsidR="00F65EAE">
              <w:rPr>
                <w:noProof/>
                <w:webHidden/>
              </w:rPr>
            </w:r>
            <w:r w:rsidR="00F65EAE">
              <w:rPr>
                <w:noProof/>
                <w:webHidden/>
              </w:rPr>
              <w:fldChar w:fldCharType="separate"/>
            </w:r>
            <w:r w:rsidR="00F65EAE">
              <w:rPr>
                <w:noProof/>
                <w:webHidden/>
              </w:rPr>
              <w:t>4</w:t>
            </w:r>
            <w:r w:rsidR="00F65EAE">
              <w:rPr>
                <w:noProof/>
                <w:webHidden/>
              </w:rPr>
              <w:fldChar w:fldCharType="end"/>
            </w:r>
          </w:hyperlink>
        </w:p>
        <w:p w14:paraId="47D7D7BA" w14:textId="0DCBC4A6" w:rsidR="00F65EAE" w:rsidRDefault="00D11A6D">
          <w:pPr>
            <w:pStyle w:val="TOC2"/>
            <w:tabs>
              <w:tab w:val="right" w:leader="dot" w:pos="9016"/>
            </w:tabs>
            <w:rPr>
              <w:rFonts w:asciiTheme="minorHAnsi" w:eastAsiaTheme="minorEastAsia" w:hAnsiTheme="minorHAnsi"/>
              <w:noProof/>
              <w:lang w:eastAsia="en-GB"/>
            </w:rPr>
          </w:pPr>
          <w:hyperlink w:anchor="_Toc49442033" w:history="1">
            <w:r w:rsidR="00F65EAE" w:rsidRPr="009A2C81">
              <w:rPr>
                <w:rStyle w:val="Hyperlink"/>
                <w:noProof/>
              </w:rPr>
              <w:t>Further Regulations in Health and Social Care</w:t>
            </w:r>
            <w:r w:rsidR="00F65EAE">
              <w:rPr>
                <w:noProof/>
                <w:webHidden/>
              </w:rPr>
              <w:tab/>
            </w:r>
            <w:r w:rsidR="00F65EAE">
              <w:rPr>
                <w:noProof/>
                <w:webHidden/>
              </w:rPr>
              <w:fldChar w:fldCharType="begin"/>
            </w:r>
            <w:r w:rsidR="00F65EAE">
              <w:rPr>
                <w:noProof/>
                <w:webHidden/>
              </w:rPr>
              <w:instrText xml:space="preserve"> PAGEREF _Toc49442033 \h </w:instrText>
            </w:r>
            <w:r w:rsidR="00F65EAE">
              <w:rPr>
                <w:noProof/>
                <w:webHidden/>
              </w:rPr>
            </w:r>
            <w:r w:rsidR="00F65EAE">
              <w:rPr>
                <w:noProof/>
                <w:webHidden/>
              </w:rPr>
              <w:fldChar w:fldCharType="separate"/>
            </w:r>
            <w:r w:rsidR="00F65EAE">
              <w:rPr>
                <w:noProof/>
                <w:webHidden/>
              </w:rPr>
              <w:t>5</w:t>
            </w:r>
            <w:r w:rsidR="00F65EAE">
              <w:rPr>
                <w:noProof/>
                <w:webHidden/>
              </w:rPr>
              <w:fldChar w:fldCharType="end"/>
            </w:r>
          </w:hyperlink>
        </w:p>
        <w:p w14:paraId="3E7BE14C" w14:textId="44CDAFC8" w:rsidR="00F65EAE" w:rsidRDefault="00D11A6D">
          <w:pPr>
            <w:pStyle w:val="TOC1"/>
            <w:tabs>
              <w:tab w:val="right" w:leader="dot" w:pos="9016"/>
            </w:tabs>
            <w:rPr>
              <w:rFonts w:asciiTheme="minorHAnsi" w:eastAsiaTheme="minorEastAsia" w:hAnsiTheme="minorHAnsi"/>
              <w:noProof/>
              <w:lang w:eastAsia="en-GB"/>
            </w:rPr>
          </w:pPr>
          <w:hyperlink w:anchor="_Toc49442034" w:history="1">
            <w:r w:rsidR="00F65EAE" w:rsidRPr="009A2C81">
              <w:rPr>
                <w:rStyle w:val="Hyperlink"/>
                <w:noProof/>
              </w:rPr>
              <w:t>Conclusion</w:t>
            </w:r>
            <w:r w:rsidR="00F65EAE">
              <w:rPr>
                <w:noProof/>
                <w:webHidden/>
              </w:rPr>
              <w:tab/>
            </w:r>
            <w:r w:rsidR="00F65EAE">
              <w:rPr>
                <w:noProof/>
                <w:webHidden/>
              </w:rPr>
              <w:fldChar w:fldCharType="begin"/>
            </w:r>
            <w:r w:rsidR="00F65EAE">
              <w:rPr>
                <w:noProof/>
                <w:webHidden/>
              </w:rPr>
              <w:instrText xml:space="preserve"> PAGEREF _Toc49442034 \h </w:instrText>
            </w:r>
            <w:r w:rsidR="00F65EAE">
              <w:rPr>
                <w:noProof/>
                <w:webHidden/>
              </w:rPr>
            </w:r>
            <w:r w:rsidR="00F65EAE">
              <w:rPr>
                <w:noProof/>
                <w:webHidden/>
              </w:rPr>
              <w:fldChar w:fldCharType="separate"/>
            </w:r>
            <w:r w:rsidR="00F65EAE">
              <w:rPr>
                <w:noProof/>
                <w:webHidden/>
              </w:rPr>
              <w:t>5</w:t>
            </w:r>
            <w:r w:rsidR="00F65EAE">
              <w:rPr>
                <w:noProof/>
                <w:webHidden/>
              </w:rPr>
              <w:fldChar w:fldCharType="end"/>
            </w:r>
          </w:hyperlink>
        </w:p>
        <w:p w14:paraId="317EFB93" w14:textId="787057D5" w:rsidR="00F65EAE" w:rsidRDefault="00D11A6D">
          <w:pPr>
            <w:pStyle w:val="TOC1"/>
            <w:tabs>
              <w:tab w:val="right" w:leader="dot" w:pos="9016"/>
            </w:tabs>
            <w:rPr>
              <w:rFonts w:asciiTheme="minorHAnsi" w:eastAsiaTheme="minorEastAsia" w:hAnsiTheme="minorHAnsi"/>
              <w:noProof/>
              <w:lang w:eastAsia="en-GB"/>
            </w:rPr>
          </w:pPr>
          <w:hyperlink w:anchor="_Toc49442035" w:history="1">
            <w:r w:rsidR="00F65EAE" w:rsidRPr="009A2C81">
              <w:rPr>
                <w:rStyle w:val="Hyperlink"/>
                <w:noProof/>
              </w:rPr>
              <w:t>References</w:t>
            </w:r>
            <w:r w:rsidR="00F65EAE">
              <w:rPr>
                <w:noProof/>
                <w:webHidden/>
              </w:rPr>
              <w:tab/>
            </w:r>
            <w:r w:rsidR="00F65EAE">
              <w:rPr>
                <w:noProof/>
                <w:webHidden/>
              </w:rPr>
              <w:fldChar w:fldCharType="begin"/>
            </w:r>
            <w:r w:rsidR="00F65EAE">
              <w:rPr>
                <w:noProof/>
                <w:webHidden/>
              </w:rPr>
              <w:instrText xml:space="preserve"> PAGEREF _Toc49442035 \h </w:instrText>
            </w:r>
            <w:r w:rsidR="00F65EAE">
              <w:rPr>
                <w:noProof/>
                <w:webHidden/>
              </w:rPr>
            </w:r>
            <w:r w:rsidR="00F65EAE">
              <w:rPr>
                <w:noProof/>
                <w:webHidden/>
              </w:rPr>
              <w:fldChar w:fldCharType="separate"/>
            </w:r>
            <w:r w:rsidR="00F65EAE">
              <w:rPr>
                <w:noProof/>
                <w:webHidden/>
              </w:rPr>
              <w:t>6</w:t>
            </w:r>
            <w:r w:rsidR="00F65EAE">
              <w:rPr>
                <w:noProof/>
                <w:webHidden/>
              </w:rPr>
              <w:fldChar w:fldCharType="end"/>
            </w:r>
          </w:hyperlink>
        </w:p>
        <w:p w14:paraId="0B823DA5" w14:textId="6F85FD82" w:rsidR="00FA5F46" w:rsidRDefault="00FA5F46">
          <w:r>
            <w:rPr>
              <w:b/>
              <w:bCs/>
              <w:noProof/>
            </w:rPr>
            <w:fldChar w:fldCharType="end"/>
          </w:r>
        </w:p>
      </w:sdtContent>
    </w:sdt>
    <w:p w14:paraId="02F1A7B5" w14:textId="7982F3FA" w:rsidR="00844443" w:rsidRDefault="00844443"/>
    <w:p w14:paraId="2FD6BD93" w14:textId="5C337EB3" w:rsidR="00610D6C" w:rsidRDefault="00610D6C"/>
    <w:p w14:paraId="3E90921D" w14:textId="4B422A64" w:rsidR="00610D6C" w:rsidRDefault="00610D6C"/>
    <w:p w14:paraId="44611F96" w14:textId="5D058E7D" w:rsidR="00610D6C" w:rsidRDefault="00610D6C"/>
    <w:p w14:paraId="393838D0" w14:textId="3CE85084" w:rsidR="00610D6C" w:rsidRDefault="00610D6C"/>
    <w:p w14:paraId="3765A056" w14:textId="50C4C88D" w:rsidR="00610D6C" w:rsidRDefault="00610D6C"/>
    <w:p w14:paraId="284EA3BD" w14:textId="6BEC4D51" w:rsidR="00610D6C" w:rsidRDefault="00610D6C"/>
    <w:p w14:paraId="635F1D73" w14:textId="52F9BCE3" w:rsidR="00610D6C" w:rsidRDefault="00610D6C"/>
    <w:p w14:paraId="51D030D2" w14:textId="3AEDD8C2" w:rsidR="00610D6C" w:rsidRDefault="00610D6C"/>
    <w:p w14:paraId="51A1569A" w14:textId="358440C4" w:rsidR="00610D6C" w:rsidRDefault="00610D6C"/>
    <w:p w14:paraId="2DB56B7B" w14:textId="23E92414" w:rsidR="00610D6C" w:rsidRDefault="00610D6C"/>
    <w:p w14:paraId="4219D74D" w14:textId="74657C1D" w:rsidR="00610D6C" w:rsidRDefault="00610D6C"/>
    <w:p w14:paraId="00D6EBDE" w14:textId="50235361" w:rsidR="00610D6C" w:rsidRDefault="00610D6C"/>
    <w:p w14:paraId="76427EC3" w14:textId="7005F1ED" w:rsidR="00610D6C" w:rsidRDefault="00610D6C"/>
    <w:p w14:paraId="2F1F114D" w14:textId="55E788B8" w:rsidR="00610D6C" w:rsidRDefault="00610D6C"/>
    <w:p w14:paraId="6A59DF96" w14:textId="77777777" w:rsidR="00610D6C" w:rsidRDefault="00610D6C" w:rsidP="00610D6C">
      <w:pPr>
        <w:pStyle w:val="Heading1"/>
      </w:pPr>
      <w:bookmarkStart w:id="0" w:name="_Toc49442026"/>
      <w:r>
        <w:lastRenderedPageBreak/>
        <w:t>Introduction</w:t>
      </w:r>
      <w:bookmarkEnd w:id="0"/>
    </w:p>
    <w:p w14:paraId="14E35FBA" w14:textId="77777777" w:rsidR="00610D6C" w:rsidRDefault="00610D6C" w:rsidP="00610D6C">
      <w:r>
        <w:t xml:space="preserve">In the field of welfare and social point of view, there are various divisions that offer administrations to solve the problems of the administration's clients. In this part, workers apply the mindset of care to improve the order of the best administrations of their clients. This type of administration is essential for the network, given that people are affected by several types of diseases that require help and care from social workers and carers. In addition, these foundations are entrusted with the treatment and care of clients, while maintaining the insurance of clients of the administration (Erickson and Millar, 2005). Patient security is central to the human services segment, given that there are different types of patient privilege violations that can be both general and political (Cohen and </w:t>
      </w:r>
      <w:proofErr w:type="spellStart"/>
      <w:r>
        <w:t>Ezer</w:t>
      </w:r>
      <w:proofErr w:type="spellEnd"/>
      <w:r>
        <w:t>, 2013). In this regard, this article focuses on the social problems encountered in the field of well-being and social attention.</w:t>
      </w:r>
    </w:p>
    <w:p w14:paraId="71DC1B10" w14:textId="6485010C" w:rsidR="00610D6C" w:rsidRDefault="00610D6C" w:rsidP="00610D6C">
      <w:pPr>
        <w:pStyle w:val="Heading1"/>
      </w:pPr>
      <w:bookmarkStart w:id="1" w:name="_Toc49442027"/>
      <w:r>
        <w:t>How aid standards are applied to ensure that people are considered in the practice of well-being and social attention</w:t>
      </w:r>
      <w:bookmarkEnd w:id="1"/>
    </w:p>
    <w:p w14:paraId="2407335E" w14:textId="05EC72B2" w:rsidR="00610D6C" w:rsidRDefault="00610D6C" w:rsidP="00610D6C">
      <w:r>
        <w:t xml:space="preserve">The standards in the human services division are the principles and rules that give the person directly what to do in his daily tasks. One of the standards of help </w:t>
      </w:r>
      <w:proofErr w:type="gramStart"/>
      <w:r>
        <w:t>in the area of</w:t>
      </w:r>
      <w:proofErr w:type="gramEnd"/>
      <w:r>
        <w:t xml:space="preserve"> ​​medical services is honesty and attention. In the social and medical services industry, there are different people who come from different backgrounds and are different in terms of gender, sexual orientation, race, age, and strict beliefs (</w:t>
      </w:r>
      <w:proofErr w:type="spellStart"/>
      <w:r>
        <w:t>Campinha</w:t>
      </w:r>
      <w:proofErr w:type="spellEnd"/>
      <w:r>
        <w:t>-Bacote, 2003). This type of contrast in the work environment requires each specialist to be careful with this and to be able to pre-balance and consider in the association. Understanding the individual contrasts between the administration's clients is further crucial to ensuring that quality administrations are provided to all without the kind of separation.</w:t>
      </w:r>
    </w:p>
    <w:p w14:paraId="434A6F0C" w14:textId="050365B6" w:rsidR="00610D6C" w:rsidRDefault="00610D6C" w:rsidP="00610D6C">
      <w:r>
        <w:t>The other standard of care is for the partners in the association, but in addition to the patients in the segment of drug services. This type of standard will allow the specialized organization to try to consider the self-management of patients in the medical clinic and henceforth not to neglect their privileges (Entwistle et al., 2010). This help guide will henceforth enable patients to have confidence in their parental figures. The other kind of help rule is reinforcement. The demonstration of patient empowerment is significant in the association. This can be achieved by arranging available assets for patients. By providing patients with basic abilities and assets, parental figures can have the opportunity to self-manage among patients. Therefore, administration clients may have the opportunity to explain more about their review projects and be able to clarify various conditions affecting them (</w:t>
      </w:r>
      <w:proofErr w:type="spellStart"/>
      <w:r>
        <w:t>Ueckert</w:t>
      </w:r>
      <w:proofErr w:type="spellEnd"/>
      <w:r>
        <w:t xml:space="preserve"> et al., 2003).</w:t>
      </w:r>
    </w:p>
    <w:p w14:paraId="1992E74B" w14:textId="3CE1F379" w:rsidR="00610D6C" w:rsidRDefault="00F65EAE" w:rsidP="00F65EAE">
      <w:pPr>
        <w:pStyle w:val="Heading1"/>
      </w:pPr>
      <w:bookmarkStart w:id="2" w:name="_Toc49442028"/>
      <w:r>
        <w:t>The Life Stages and Relationships with Psychological Theories</w:t>
      </w:r>
      <w:bookmarkEnd w:id="2"/>
    </w:p>
    <w:p w14:paraId="59278BDD" w14:textId="686D2C65" w:rsidR="00F65EAE" w:rsidRDefault="00F65EAE" w:rsidP="00F65EAE">
      <w:r>
        <w:t xml:space="preserve">Eric Erickson proposed the psychosocial hypothesis of progress. In each phase of Erickson's hypothesis, there is a psychosocial task that we must perform in such a way as to experience a sense of ability. Eric Erickson, another scientist on the stage, accepted Freud's hypothesis and corrected it as a psychosocial hypothesis. Erickson's psychosocial improvement hypothesis focuses on the social idea of ​​our progress, rather than on its sexual nature. While Freud believed that the character was formed uniquely in adolescence </w:t>
      </w:r>
      <w:r w:rsidRPr="00F65EAE">
        <w:lastRenderedPageBreak/>
        <w:t>(Ballard, 2003)</w:t>
      </w:r>
      <w:r>
        <w:t xml:space="preserve">, Erickson recommended that character development occur throughout life. Erickson recommended how </w:t>
      </w:r>
      <w:proofErr w:type="spellStart"/>
      <w:r>
        <w:t>how</w:t>
      </w:r>
      <w:proofErr w:type="spellEnd"/>
      <w:r>
        <w:t xml:space="preserve"> we connect with others is the thing that affects our sense of self or what he calls a personality trait.</w:t>
      </w:r>
    </w:p>
    <w:p w14:paraId="5D2D8309" w14:textId="77777777" w:rsidR="00F65EAE" w:rsidRDefault="00F65EAE" w:rsidP="00F65EAE">
      <w:r>
        <w:t xml:space="preserve">Erickson suggested that we are inspired by the need to achieve fitness in specific parts of our lives. According to the psychosocial hypothesis, we experience eight phases of improvement over the course of our lives, from the very beginning to late adulthood. At each stage there is a dispute or task that we need to define. The fruitful consumption of any creative </w:t>
      </w:r>
      <w:proofErr w:type="spellStart"/>
      <w:r>
        <w:t>endeavor</w:t>
      </w:r>
      <w:proofErr w:type="spellEnd"/>
      <w:r>
        <w:t xml:space="preserve"> creates a feeling of fitness and a healthy character. The inability to assess these tasks evokes feelings of inadequacy.</w:t>
      </w:r>
    </w:p>
    <w:p w14:paraId="3608E3BC" w14:textId="08ECAC86" w:rsidR="00F65EAE" w:rsidRDefault="00F65EAE" w:rsidP="00F65EAE">
      <w:r>
        <w:t>As stated by Erikson (1963), trust is a prerequisite for our development in the earliest stages (birth up to one year). Thus, the main task at this stage is trust against doubt. Babies need their parental figures, so guardians who are responsive and touch their new-born need help so that the child can build a sense of trust; their young child will consider it a sheltered, not surprising place. Lethargic parental figures who do not deal with their baby's problems can provoke feelings of tension, horror, and doubt; their child may consider them eccentric.</w:t>
      </w:r>
    </w:p>
    <w:p w14:paraId="0E15799E" w14:textId="77777777" w:rsidR="00F65EAE" w:rsidRDefault="00F65EAE" w:rsidP="00F65EAE">
      <w:r>
        <w:t xml:space="preserve">As young children (ages 1-3) begin to invest in their reality, they find that they can control their activities and follow nature to get results. They are beginning to show away from specific components of nature, such as food, </w:t>
      </w:r>
      <w:proofErr w:type="gramStart"/>
      <w:r>
        <w:t>toys</w:t>
      </w:r>
      <w:proofErr w:type="gramEnd"/>
      <w:r>
        <w:t xml:space="preserve"> and clothing. The baby's main task is to determine the issue of self-sufficiency in relation to shame and insecurity, trying to build independence. This is the "I do it" stage. For example, we may see a growing sense of self-control in a 2-year-old who </w:t>
      </w:r>
      <w:proofErr w:type="gramStart"/>
      <w:r>
        <w:t>has to</w:t>
      </w:r>
      <w:proofErr w:type="gramEnd"/>
      <w:r>
        <w:t xml:space="preserve"> choose his clothes and get dressed. </w:t>
      </w:r>
      <w:proofErr w:type="gramStart"/>
      <w:r>
        <w:t>Despite the fact that</w:t>
      </w:r>
      <w:proofErr w:type="gramEnd"/>
      <w:r>
        <w:t xml:space="preserve"> her outfits are unlikely to be appropriate for the circumstances, her contribution to such major choices affects her sense of independence. Whenever she is denied the opportunity to monitor her condition, she may begin to question her capacity, which can trigger low confidence and feelings of shame.</w:t>
      </w:r>
    </w:p>
    <w:p w14:paraId="68E75F76" w14:textId="77777777" w:rsidR="00F65EAE" w:rsidRDefault="00F65EAE" w:rsidP="00F65EAE">
      <w:r>
        <w:t xml:space="preserve">When young people reach the pre-school stage (ages 3-6), they are prepared to start exercises and declare their power over reality through social communication and play. According to Erikson, </w:t>
      </w:r>
      <w:proofErr w:type="spellStart"/>
      <w:r>
        <w:t>preschoolers</w:t>
      </w:r>
      <w:proofErr w:type="spellEnd"/>
      <w:r>
        <w:t xml:space="preserve"> need to determine the order of activity according to guilt. By figuring out how to design and achieve goals while connecting with others, </w:t>
      </w:r>
      <w:proofErr w:type="spellStart"/>
      <w:r>
        <w:t>preschoolers</w:t>
      </w:r>
      <w:proofErr w:type="spellEnd"/>
      <w:r>
        <w:t xml:space="preserve"> can meet this task. People who do this will create fearlessness and feel direction. Individuals who are infertile at this stage - with their aspiration or suffocated - can create feelings of guilt.</w:t>
      </w:r>
    </w:p>
    <w:p w14:paraId="2E74DB34" w14:textId="4FF86967" w:rsidR="00610D6C" w:rsidRDefault="00F65EAE" w:rsidP="00F65EAE">
      <w:r>
        <w:t xml:space="preserve">During the primary school stage (ages 6 to 12), children face industry failure. Children begin to contrast with their friends to perceive how they have what is needed. They either build a sense of pride and achievement in their home, sports, social </w:t>
      </w:r>
      <w:proofErr w:type="gramStart"/>
      <w:r>
        <w:t>exercises</w:t>
      </w:r>
      <w:proofErr w:type="gramEnd"/>
      <w:r>
        <w:t xml:space="preserve"> and family life, or they feel secondary and insufficient when they do not have the right things.  </w:t>
      </w:r>
      <w:r w:rsidR="00610D6C">
        <w:t xml:space="preserve">(International Committee of Medical Journal Editors, 1995). </w:t>
      </w:r>
    </w:p>
    <w:p w14:paraId="3283C10F" w14:textId="77777777" w:rsidR="00610D6C" w:rsidRDefault="00610D6C" w:rsidP="00610D6C">
      <w:pPr>
        <w:pStyle w:val="Heading2"/>
      </w:pPr>
      <w:bookmarkStart w:id="3" w:name="_Toc49442029"/>
      <w:r>
        <w:t>Benefit from following an individual focused methodology with clients of welfare and social care administrations</w:t>
      </w:r>
      <w:bookmarkEnd w:id="3"/>
    </w:p>
    <w:p w14:paraId="03923698" w14:textId="77777777" w:rsidR="00610D6C" w:rsidRDefault="00610D6C" w:rsidP="00610D6C">
      <w:r>
        <w:t xml:space="preserve">The model of individual-focused methodology was mainly developed by Carl Rodgers, who for the most part focuses on ensuring the security of the privileges of the administration's clients and also decides on the specific choice that best suits their specific needs ( Means et al., 2013). In the pharmaceutical services department, the administration's clients are </w:t>
      </w:r>
      <w:r>
        <w:lastRenderedPageBreak/>
        <w:t xml:space="preserve">strongly urged to accept choices that increase their pride and security. In the United Kingdom, </w:t>
      </w:r>
      <w:proofErr w:type="gramStart"/>
      <w:r>
        <w:t>the vast majority of</w:t>
      </w:r>
      <w:proofErr w:type="gramEnd"/>
      <w:r>
        <w:t xml:space="preserve"> by-laws, for example, the Equality and Human Rights Acts, are designed to improve an individual-focused methodology that provides enhanced customer satisfaction (NHS, 2013). It is believed that the use of the individual focused methodology expands the viability of people from different ranges of money and moral foundations in the segment of human services. This methodology further ensures that the specific areas that need improvement in an individual are identified. In addition, it offers maintenance clients the capacity to achieve their goals by providing the right medication and products that meet clinical needs. The individual-focused methodology further enables clients to control their lifestyle by defining a specific procedure that meets their monetary and ethnic requirements.</w:t>
      </w:r>
    </w:p>
    <w:p w14:paraId="1B45146D" w14:textId="77777777" w:rsidR="00610D6C" w:rsidRDefault="00610D6C" w:rsidP="00610D6C">
      <w:pPr>
        <w:pStyle w:val="Heading2"/>
      </w:pPr>
      <w:bookmarkStart w:id="4" w:name="_Toc49442030"/>
      <w:r>
        <w:t xml:space="preserve">Ethical issues and disagreements that may arise when considering, </w:t>
      </w:r>
      <w:proofErr w:type="gramStart"/>
      <w:r>
        <w:t>securing</w:t>
      </w:r>
      <w:proofErr w:type="gramEnd"/>
      <w:r>
        <w:t xml:space="preserve"> and ensuring the clients of welfare and social care administrations.</w:t>
      </w:r>
      <w:bookmarkEnd w:id="4"/>
    </w:p>
    <w:p w14:paraId="2413B9C4" w14:textId="3F4CFC6D" w:rsidR="00610D6C" w:rsidRDefault="00610D6C" w:rsidP="00610D6C">
      <w:r>
        <w:t xml:space="preserve">There are various moral problems and conflicts in the human services department that affect the activities of social parent figures. Moral problems, for the most part, lead to a circumstance in which at least two annoying decisions must be made. Thus, the social specialist is obliged to organize one explicit moral direction over the other, which for the most part contradicts the acts of calling (Allen, 2012). This type of circumstance is largely experienced by administration providers when faced with certain difficult circumstances. In the work environment, a social parent figure may encounter the motives of a person trying to take their own life. The choice of the value of the individual is a serious test for any specialist. According to the given acts, social specialists </w:t>
      </w:r>
      <w:proofErr w:type="gramStart"/>
      <w:r>
        <w:t>have the opportunity to</w:t>
      </w:r>
      <w:proofErr w:type="gramEnd"/>
      <w:r>
        <w:t xml:space="preserve"> restrict the patient's right to self-confidence, especially during circumstances that can lead to inevitable dangers and misfortunes (Allen, 2012). </w:t>
      </w:r>
    </w:p>
    <w:p w14:paraId="2F4266EC" w14:textId="77777777" w:rsidR="00610D6C" w:rsidRDefault="00610D6C" w:rsidP="00610D6C">
      <w:pPr>
        <w:pStyle w:val="Heading1"/>
      </w:pPr>
      <w:bookmarkStart w:id="5" w:name="_Toc49442031"/>
      <w:r>
        <w:t xml:space="preserve">The implementation of approaches, regulations, </w:t>
      </w:r>
      <w:proofErr w:type="gramStart"/>
      <w:r>
        <w:t>guidelines</w:t>
      </w:r>
      <w:proofErr w:type="gramEnd"/>
      <w:r>
        <w:t xml:space="preserve"> and training codes that are applicable to work in welfare and social attention</w:t>
      </w:r>
      <w:bookmarkEnd w:id="5"/>
    </w:p>
    <w:p w14:paraId="6B3EC93D" w14:textId="077CC45B" w:rsidR="00610D6C" w:rsidRDefault="00610D6C" w:rsidP="00610D6C">
      <w:r>
        <w:t xml:space="preserve">According to Tingle and Bark (2011), the UK NHS is constantly reviewing its regulations, approaches, and guidelines to ensure that they are in fact very much linked to progress in people's social, </w:t>
      </w:r>
      <w:proofErr w:type="gramStart"/>
      <w:r>
        <w:t>ethnic</w:t>
      </w:r>
      <w:proofErr w:type="gramEnd"/>
      <w:r>
        <w:t xml:space="preserve"> and monetary backgrounds. These arrangements and guidelines, which are constantly being developed, aim to ensure that the best administrations are provided to the clients of the administration in the country. Different administrations of different social security enterprises are required to be the ones who develop these regulations and strategies in the work environment to ensure that there is productivity and viability in their activities. One of the normative acts of concern in the social security segment is the Data Protection Act of 1998. This law controls the preparation of information for people from the social security division. It ensures people with the principle of worrying about how close the home information is processed and allowed to move. </w:t>
      </w:r>
    </w:p>
    <w:p w14:paraId="5292E560" w14:textId="77777777" w:rsidR="00610D6C" w:rsidRDefault="00610D6C" w:rsidP="00610D6C">
      <w:pPr>
        <w:pStyle w:val="Heading2"/>
      </w:pPr>
      <w:bookmarkStart w:id="6" w:name="_Toc49442032"/>
      <w:r>
        <w:t>How close strategies and techniques can be created in competition with national and strategic preconditions</w:t>
      </w:r>
      <w:bookmarkEnd w:id="6"/>
    </w:p>
    <w:p w14:paraId="6876652C" w14:textId="77777777" w:rsidR="00610D6C" w:rsidRDefault="00610D6C" w:rsidP="00610D6C">
      <w:r>
        <w:t xml:space="preserve">Although the implementation and strategies put in place by the administration can affect tasks across the country, approaches and methodologies vary, from one social security home to the next (Tingle and Bark, 2011). These administrations are therefore developed by </w:t>
      </w:r>
      <w:r>
        <w:lastRenderedPageBreak/>
        <w:t>the administrations provided by a special home for medical services in the various areas. These arrangements largely determine the way in which the examination home is managed and operated. Prior to the introduction of approaches and methodologies, careful arrangements and techniques are made, and nearby social security homes are concentrated to find the specific problems and shortcomings that require change (</w:t>
      </w:r>
      <w:proofErr w:type="spellStart"/>
      <w:r>
        <w:t>Abood</w:t>
      </w:r>
      <w:proofErr w:type="spellEnd"/>
      <w:r>
        <w:t>, 2007). This procedure is usually carried out through the joint efforts of the government and the network that comes together to distinguish the changes that best meet the immediate needs. In any case, these close arrangements and methodologies typically serve as advice for the national NHS strategy, including the specific social and medical needs of people (</w:t>
      </w:r>
      <w:proofErr w:type="spellStart"/>
      <w:r>
        <w:t>Abood</w:t>
      </w:r>
      <w:proofErr w:type="spellEnd"/>
      <w:r>
        <w:t>, 2007).</w:t>
      </w:r>
    </w:p>
    <w:p w14:paraId="211425E6" w14:textId="14C1E223" w:rsidR="00610D6C" w:rsidRDefault="00F65EAE" w:rsidP="00610D6C">
      <w:pPr>
        <w:pStyle w:val="Heading2"/>
      </w:pPr>
      <w:bookmarkStart w:id="7" w:name="_Toc49442033"/>
      <w:r>
        <w:t>Further Regulations in Health and Social Care</w:t>
      </w:r>
      <w:bookmarkEnd w:id="7"/>
    </w:p>
    <w:p w14:paraId="1CFEA506" w14:textId="51DE018D" w:rsidR="00610D6C" w:rsidRDefault="00F65EAE" w:rsidP="00610D6C">
      <w:r w:rsidRPr="00F65EAE">
        <w:t>The different systems and guidelines embraced by the governing body in the field of human administrations have influenced the social and clinical part. These demonstrations ensure the benefits of the two customers and social consideration suppliers. Approaches likewise give rules to both and public homes to guarantee that patients are furnished with the best associations. The 2006 Law on Vulnerable Groups, for instance, is stretched out to different branches of the organization and guarantees that the benefits of powerless social occasions are ensured by the overall population. The premise of these procedures further prompts the smooth working of insurance agencies without slamming into different affiliations. Delegates in the affiliation can likewise work satisfactorily without mishandling the benefits of the organization's customers in the affiliation (National Research Council, 2010). Thusly, the methodologies attempt uncommon work to guarantee that the different exercises in the social and human administrations division run effectively and skilfully.</w:t>
      </w:r>
    </w:p>
    <w:p w14:paraId="700DA10E" w14:textId="77777777" w:rsidR="00610D6C" w:rsidRDefault="00610D6C" w:rsidP="00610D6C">
      <w:pPr>
        <w:pStyle w:val="Heading1"/>
      </w:pPr>
      <w:bookmarkStart w:id="8" w:name="_Toc49442034"/>
      <w:r>
        <w:t>Conclusion</w:t>
      </w:r>
      <w:bookmarkEnd w:id="8"/>
    </w:p>
    <w:p w14:paraId="25518BAC" w14:textId="7695DD60" w:rsidR="00610D6C" w:rsidRDefault="00610D6C" w:rsidP="00610D6C">
      <w:r>
        <w:t xml:space="preserve">Together they build responsibilities for fulfilling the requirements for quality practice, professionals from the social point of view must understand that their commitment to the whole population is significant and delicate. This commitment requires the most extraordinary commitment and commitment to the prosperity of patients and partners and, moreover, single prosperity. Workers must carefully follow the rules and camps and, in addition, obtain permission in the practice of prosperity and social reflection and the standards established by affiliation. In this way, thought providers need to feel committed, unwavering, visible, fulfilling, and proud to be part of the social focus and constantly trying to make improvements. Workers can upgrade their training by participating in the preparation of such a study. </w:t>
      </w:r>
      <w:proofErr w:type="gramStart"/>
      <w:r>
        <w:t>In order to</w:t>
      </w:r>
      <w:proofErr w:type="gramEnd"/>
      <w:r>
        <w:t xml:space="preserve"> cope better and consider the rapid steps and dynamic changes in their field, carers need to be revived with the latest data on prosperity and social care.</w:t>
      </w:r>
    </w:p>
    <w:p w14:paraId="69024AC5" w14:textId="4F89DDC9" w:rsidR="00610D6C" w:rsidRDefault="00610D6C"/>
    <w:p w14:paraId="770E47C6" w14:textId="6E5AAA80" w:rsidR="00610D6C" w:rsidRDefault="00610D6C"/>
    <w:p w14:paraId="274BEFCE" w14:textId="273B7CB1" w:rsidR="00610D6C" w:rsidRDefault="00610D6C"/>
    <w:p w14:paraId="302B5763" w14:textId="09C43694" w:rsidR="00610D6C" w:rsidRDefault="00610D6C"/>
    <w:p w14:paraId="072D61A0" w14:textId="7306F0E4" w:rsidR="00610D6C" w:rsidRDefault="00610D6C"/>
    <w:p w14:paraId="6C545CC0" w14:textId="71B3F7E9" w:rsidR="00610D6C" w:rsidRDefault="00610D6C" w:rsidP="00610D6C">
      <w:pPr>
        <w:pStyle w:val="Heading1"/>
      </w:pPr>
      <w:bookmarkStart w:id="9" w:name="_Toc49442035"/>
      <w:r>
        <w:lastRenderedPageBreak/>
        <w:t>References</w:t>
      </w:r>
      <w:bookmarkEnd w:id="9"/>
    </w:p>
    <w:p w14:paraId="6FA32BF4" w14:textId="77777777" w:rsidR="00FA5F46" w:rsidRPr="00FA5F46" w:rsidRDefault="00FA5F46" w:rsidP="00FA5F46">
      <w:proofErr w:type="spellStart"/>
      <w:r w:rsidRPr="00FA5F46">
        <w:t>Abood</w:t>
      </w:r>
      <w:proofErr w:type="spellEnd"/>
      <w:r w:rsidRPr="00FA5F46">
        <w:t>, S. (2007). Influencing health care in the legislative arena. </w:t>
      </w:r>
      <w:r w:rsidRPr="00FA5F46">
        <w:rPr>
          <w:i/>
          <w:iCs/>
        </w:rPr>
        <w:t>Online Journal of Issues in Nursing</w:t>
      </w:r>
      <w:r w:rsidRPr="00FA5F46">
        <w:t>, </w:t>
      </w:r>
      <w:r w:rsidRPr="00FA5F46">
        <w:rPr>
          <w:i/>
          <w:iCs/>
        </w:rPr>
        <w:t>12</w:t>
      </w:r>
      <w:r w:rsidRPr="00FA5F46">
        <w:t>(</w:t>
      </w:r>
      <w:r w:rsidRPr="00FA5F46">
        <w:rPr>
          <w:b/>
          <w:bCs/>
        </w:rPr>
        <w:t>1</w:t>
      </w:r>
      <w:r w:rsidRPr="00FA5F46">
        <w:t>).</w:t>
      </w:r>
    </w:p>
    <w:p w14:paraId="61DA328A" w14:textId="77777777" w:rsidR="00FA5F46" w:rsidRPr="00FA5F46" w:rsidRDefault="00FA5F46" w:rsidP="00FA5F46">
      <w:r w:rsidRPr="00FA5F46">
        <w:t xml:space="preserve">Allen, K. (2012). What is an ethical </w:t>
      </w:r>
      <w:proofErr w:type="gramStart"/>
      <w:r w:rsidRPr="00FA5F46">
        <w:t>dilemma.</w:t>
      </w:r>
      <w:proofErr w:type="gramEnd"/>
      <w:r w:rsidRPr="00FA5F46">
        <w:t> </w:t>
      </w:r>
      <w:r w:rsidRPr="00FA5F46">
        <w:rPr>
          <w:i/>
          <w:iCs/>
        </w:rPr>
        <w:t>The New Social Worker</w:t>
      </w:r>
      <w:r w:rsidRPr="00FA5F46">
        <w:t>, </w:t>
      </w:r>
      <w:r w:rsidRPr="00FA5F46">
        <w:rPr>
          <w:i/>
          <w:iCs/>
        </w:rPr>
        <w:t>19</w:t>
      </w:r>
      <w:r w:rsidRPr="00FA5F46">
        <w:t>(2), 4-5.</w:t>
      </w:r>
    </w:p>
    <w:p w14:paraId="0AD1BE90" w14:textId="77777777" w:rsidR="00FA5F46" w:rsidRPr="00FA5F46" w:rsidRDefault="00FA5F46" w:rsidP="00FA5F46">
      <w:r w:rsidRPr="00FA5F46">
        <w:t>Ballard, K. A. (2003). Patient safety: A shared responsibility. </w:t>
      </w:r>
      <w:r w:rsidRPr="00FA5F46">
        <w:rPr>
          <w:i/>
          <w:iCs/>
        </w:rPr>
        <w:t>Online Journal of Issues in Nursing</w:t>
      </w:r>
      <w:r w:rsidRPr="00FA5F46">
        <w:t>, </w:t>
      </w:r>
      <w:r w:rsidRPr="00FA5F46">
        <w:rPr>
          <w:i/>
          <w:iCs/>
        </w:rPr>
        <w:t>8</w:t>
      </w:r>
      <w:r w:rsidRPr="00FA5F46">
        <w:t>(</w:t>
      </w:r>
      <w:r w:rsidRPr="00FA5F46">
        <w:rPr>
          <w:b/>
          <w:bCs/>
        </w:rPr>
        <w:t>3</w:t>
      </w:r>
      <w:r w:rsidRPr="00FA5F46">
        <w:t>), 4.</w:t>
      </w:r>
    </w:p>
    <w:p w14:paraId="2B885967" w14:textId="77777777" w:rsidR="00FA5F46" w:rsidRPr="00FA5F46" w:rsidRDefault="00FA5F46" w:rsidP="00FA5F46">
      <w:proofErr w:type="spellStart"/>
      <w:r w:rsidRPr="00FA5F46">
        <w:t>Campinha</w:t>
      </w:r>
      <w:proofErr w:type="spellEnd"/>
      <w:r w:rsidRPr="00FA5F46">
        <w:t>-Bacote, J. (2003). Many faces: Addressing diversity in health care. </w:t>
      </w:r>
      <w:r w:rsidRPr="00FA5F46">
        <w:rPr>
          <w:i/>
          <w:iCs/>
        </w:rPr>
        <w:t>Online Journal of Issues in Nursing</w:t>
      </w:r>
      <w:r w:rsidRPr="00FA5F46">
        <w:t>, </w:t>
      </w:r>
      <w:r w:rsidRPr="00FA5F46">
        <w:rPr>
          <w:i/>
          <w:iCs/>
        </w:rPr>
        <w:t>8</w:t>
      </w:r>
      <w:r w:rsidRPr="00FA5F46">
        <w:t>(</w:t>
      </w:r>
      <w:r w:rsidRPr="00FA5F46">
        <w:rPr>
          <w:b/>
          <w:bCs/>
        </w:rPr>
        <w:t>1</w:t>
      </w:r>
      <w:r w:rsidRPr="00FA5F46">
        <w:t>), 3.</w:t>
      </w:r>
    </w:p>
    <w:p w14:paraId="28DA9C03" w14:textId="77777777" w:rsidR="00FA5F46" w:rsidRPr="00FA5F46" w:rsidRDefault="00FA5F46" w:rsidP="00FA5F46">
      <w:r w:rsidRPr="00FA5F46">
        <w:t>Entwistle, V. A., Carter, S. M., Cribb, A., &amp; McCaffery, K. (2010). Supporting patient autonomy: the importance of clinician-patient relationships. </w:t>
      </w:r>
      <w:r w:rsidRPr="00FA5F46">
        <w:rPr>
          <w:i/>
          <w:iCs/>
        </w:rPr>
        <w:t>Journal of general internal medicine</w:t>
      </w:r>
      <w:r w:rsidRPr="00FA5F46">
        <w:t>, </w:t>
      </w:r>
      <w:r w:rsidRPr="00FA5F46">
        <w:rPr>
          <w:i/>
          <w:iCs/>
        </w:rPr>
        <w:t>25</w:t>
      </w:r>
      <w:r w:rsidRPr="00FA5F46">
        <w:t>(</w:t>
      </w:r>
      <w:r w:rsidRPr="00FA5F46">
        <w:rPr>
          <w:b/>
          <w:bCs/>
        </w:rPr>
        <w:t>7</w:t>
      </w:r>
      <w:r w:rsidRPr="00FA5F46">
        <w:t>), 741-745.</w:t>
      </w:r>
    </w:p>
    <w:p w14:paraId="659FDF87" w14:textId="77777777" w:rsidR="00FA5F46" w:rsidRPr="00FA5F46" w:rsidRDefault="00FA5F46" w:rsidP="00FA5F46">
      <w:r w:rsidRPr="00FA5F46">
        <w:t>International Committee of Medical Journal Editors. (1995). Protection of patients' rights to privacy. </w:t>
      </w:r>
      <w:r w:rsidRPr="00FA5F46">
        <w:rPr>
          <w:i/>
          <w:iCs/>
        </w:rPr>
        <w:t>BMJ: British Medical Journal</w:t>
      </w:r>
      <w:r w:rsidRPr="00FA5F46">
        <w:t>, </w:t>
      </w:r>
      <w:r w:rsidRPr="00FA5F46">
        <w:rPr>
          <w:i/>
          <w:iCs/>
        </w:rPr>
        <w:t>311</w:t>
      </w:r>
      <w:r w:rsidRPr="00FA5F46">
        <w:t>(</w:t>
      </w:r>
      <w:r w:rsidRPr="00FA5F46">
        <w:rPr>
          <w:b/>
          <w:bCs/>
        </w:rPr>
        <w:t>7015</w:t>
      </w:r>
      <w:r w:rsidRPr="00FA5F46">
        <w:t>), 1272.</w:t>
      </w:r>
    </w:p>
    <w:p w14:paraId="414F1FF9" w14:textId="2DB98936" w:rsidR="00FA5F46" w:rsidRPr="00FA5F46" w:rsidRDefault="00FA5F46" w:rsidP="00FA5F46">
      <w:r w:rsidRPr="00FA5F46">
        <w:t>NHS, (2013). Equality, Diversity and Human Rights Policy</w:t>
      </w:r>
      <w:r w:rsidRPr="00FA5F46">
        <w:rPr>
          <w:i/>
        </w:rPr>
        <w:t>. Southern Health NHS</w:t>
      </w:r>
      <w:r w:rsidRPr="00FA5F46">
        <w:t xml:space="preserve">. </w:t>
      </w:r>
      <w:proofErr w:type="spellStart"/>
      <w:r w:rsidRPr="00FA5F46">
        <w:t>Retrieved</w:t>
      </w:r>
      <w:r>
        <w:t>f</w:t>
      </w:r>
      <w:proofErr w:type="spellEnd"/>
      <w:r>
        <w:t xml:space="preserve"> </w:t>
      </w:r>
      <w:r w:rsidRPr="00FA5F46">
        <w:t xml:space="preserve">from </w:t>
      </w:r>
      <w:hyperlink r:id="rId10" w:history="1">
        <w:r w:rsidRPr="00FA5F46">
          <w:rPr>
            <w:rStyle w:val="Hyperlink"/>
          </w:rPr>
          <w:t>http://www.southernhealth.nhs.uk/EasysiteWeb/getresource.axd?AssetID=44131&amp;type=Full&amp;servicetype=Attachment</w:t>
        </w:r>
      </w:hyperlink>
      <w:r>
        <w:t xml:space="preserve"> [Accessed: 10/08/2020].</w:t>
      </w:r>
    </w:p>
    <w:p w14:paraId="138A7CCF" w14:textId="77777777" w:rsidR="00FA5F46" w:rsidRPr="00FA5F46" w:rsidRDefault="00FA5F46" w:rsidP="00FA5F46">
      <w:r w:rsidRPr="00FA5F46">
        <w:t>Tingle, J., &amp; Bark, P. (2011). Patient Safety. </w:t>
      </w:r>
      <w:r w:rsidRPr="00FA5F46">
        <w:rPr>
          <w:i/>
          <w:iCs/>
        </w:rPr>
        <w:t>Law Policy and Practice (London: Routledge)</w:t>
      </w:r>
      <w:r w:rsidRPr="00FA5F46">
        <w:t>.</w:t>
      </w:r>
    </w:p>
    <w:p w14:paraId="42E2D383" w14:textId="77777777" w:rsidR="00FA5F46" w:rsidRPr="00FA5F46" w:rsidRDefault="00FA5F46" w:rsidP="00FA5F46">
      <w:proofErr w:type="spellStart"/>
      <w:r w:rsidRPr="00FA5F46">
        <w:t>Ueckert</w:t>
      </w:r>
      <w:proofErr w:type="spellEnd"/>
      <w:r w:rsidRPr="00FA5F46">
        <w:t>, F.</w:t>
      </w:r>
      <w:proofErr w:type="gramStart"/>
      <w:r w:rsidRPr="00FA5F46">
        <w:t>, ,</w:t>
      </w:r>
      <w:proofErr w:type="gramEnd"/>
      <w:r w:rsidRPr="00FA5F46">
        <w:t xml:space="preserve"> M., </w:t>
      </w:r>
      <w:proofErr w:type="spellStart"/>
      <w:r w:rsidRPr="00FA5F46">
        <w:t>Ataian</w:t>
      </w:r>
      <w:proofErr w:type="spellEnd"/>
      <w:r w:rsidRPr="00FA5F46">
        <w:t xml:space="preserve">, M., </w:t>
      </w:r>
      <w:proofErr w:type="spellStart"/>
      <w:r w:rsidRPr="00FA5F46">
        <w:t>Tessmann</w:t>
      </w:r>
      <w:proofErr w:type="spellEnd"/>
      <w:r w:rsidRPr="00FA5F46">
        <w:t xml:space="preserve">, S., &amp; </w:t>
      </w:r>
      <w:proofErr w:type="spellStart"/>
      <w:r w:rsidRPr="00FA5F46">
        <w:t>Prokosch</w:t>
      </w:r>
      <w:proofErr w:type="spellEnd"/>
      <w:r w:rsidRPr="00FA5F46">
        <w:t>, H. U. (2003). Empowerment of patients and communication with health care professionals through an electronic health record. </w:t>
      </w:r>
      <w:r w:rsidRPr="00FA5F46">
        <w:rPr>
          <w:i/>
          <w:iCs/>
        </w:rPr>
        <w:t>International journal of medical informatics</w:t>
      </w:r>
      <w:r w:rsidRPr="00FA5F46">
        <w:t>, </w:t>
      </w:r>
      <w:r w:rsidRPr="00FA5F46">
        <w:rPr>
          <w:i/>
          <w:iCs/>
        </w:rPr>
        <w:t>70</w:t>
      </w:r>
      <w:r w:rsidRPr="00FA5F46">
        <w:t>(</w:t>
      </w:r>
      <w:r w:rsidRPr="00FA5F46">
        <w:rPr>
          <w:b/>
          <w:bCs/>
        </w:rPr>
        <w:t>2</w:t>
      </w:r>
      <w:r w:rsidRPr="00FA5F46">
        <w:t>), 99-108.</w:t>
      </w:r>
    </w:p>
    <w:p w14:paraId="203A875A" w14:textId="77777777" w:rsidR="00610D6C" w:rsidRPr="00610D6C" w:rsidRDefault="00610D6C" w:rsidP="00610D6C"/>
    <w:p w14:paraId="26963175" w14:textId="6AF42B25" w:rsidR="00610D6C" w:rsidRDefault="00610D6C"/>
    <w:p w14:paraId="34281BE2" w14:textId="01C2873F" w:rsidR="00610D6C" w:rsidRDefault="00610D6C"/>
    <w:p w14:paraId="1ECB1CB5" w14:textId="77777777" w:rsidR="00610D6C" w:rsidRDefault="00610D6C"/>
    <w:sectPr w:rsidR="00610D6C" w:rsidSect="0026678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00AEE" w14:textId="77777777" w:rsidR="00D11A6D" w:rsidRDefault="00D11A6D" w:rsidP="0026678D">
      <w:pPr>
        <w:spacing w:after="0" w:line="240" w:lineRule="auto"/>
      </w:pPr>
      <w:r>
        <w:separator/>
      </w:r>
    </w:p>
  </w:endnote>
  <w:endnote w:type="continuationSeparator" w:id="0">
    <w:p w14:paraId="4802F8C0" w14:textId="77777777" w:rsidR="00D11A6D" w:rsidRDefault="00D11A6D" w:rsidP="00266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4078634"/>
      <w:docPartObj>
        <w:docPartGallery w:val="Page Numbers (Bottom of Page)"/>
        <w:docPartUnique/>
      </w:docPartObj>
    </w:sdtPr>
    <w:sdtEndPr>
      <w:rPr>
        <w:noProof/>
      </w:rPr>
    </w:sdtEndPr>
    <w:sdtContent>
      <w:p w14:paraId="2D26482E" w14:textId="4C51310F" w:rsidR="0026678D" w:rsidRDefault="002667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973D0B" w14:textId="77777777" w:rsidR="0026678D" w:rsidRDefault="00266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25093" w14:textId="77777777" w:rsidR="00D11A6D" w:rsidRDefault="00D11A6D" w:rsidP="0026678D">
      <w:pPr>
        <w:spacing w:after="0" w:line="240" w:lineRule="auto"/>
      </w:pPr>
      <w:r>
        <w:separator/>
      </w:r>
    </w:p>
  </w:footnote>
  <w:footnote w:type="continuationSeparator" w:id="0">
    <w:p w14:paraId="4433555B" w14:textId="77777777" w:rsidR="00D11A6D" w:rsidRDefault="00D11A6D" w:rsidP="002667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EB1"/>
    <w:rsid w:val="00014C0D"/>
    <w:rsid w:val="00106360"/>
    <w:rsid w:val="00214162"/>
    <w:rsid w:val="00241A38"/>
    <w:rsid w:val="0026678D"/>
    <w:rsid w:val="00315C2C"/>
    <w:rsid w:val="00315EB1"/>
    <w:rsid w:val="0037443B"/>
    <w:rsid w:val="003A63CD"/>
    <w:rsid w:val="00482B9B"/>
    <w:rsid w:val="00610D6C"/>
    <w:rsid w:val="00844443"/>
    <w:rsid w:val="0097139E"/>
    <w:rsid w:val="00A42913"/>
    <w:rsid w:val="00B649D4"/>
    <w:rsid w:val="00B92C72"/>
    <w:rsid w:val="00D11A6D"/>
    <w:rsid w:val="00DE5333"/>
    <w:rsid w:val="00E026CD"/>
    <w:rsid w:val="00F65EAE"/>
    <w:rsid w:val="00FA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67C86"/>
  <w15:chartTrackingRefBased/>
  <w15:docId w15:val="{DA7CA75C-525C-48CC-8195-48740C95D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266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78D"/>
    <w:rPr>
      <w:rFonts w:ascii="Arial" w:hAnsi="Arial"/>
    </w:rPr>
  </w:style>
  <w:style w:type="paragraph" w:styleId="Footer">
    <w:name w:val="footer"/>
    <w:basedOn w:val="Normal"/>
    <w:link w:val="FooterChar"/>
    <w:uiPriority w:val="99"/>
    <w:unhideWhenUsed/>
    <w:rsid w:val="00266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78D"/>
    <w:rPr>
      <w:rFonts w:ascii="Arial" w:hAnsi="Arial"/>
    </w:rPr>
  </w:style>
  <w:style w:type="paragraph" w:styleId="NoSpacing">
    <w:name w:val="No Spacing"/>
    <w:link w:val="NoSpacingChar"/>
    <w:uiPriority w:val="1"/>
    <w:qFormat/>
    <w:rsid w:val="002667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678D"/>
    <w:rPr>
      <w:rFonts w:eastAsiaTheme="minorEastAsia"/>
      <w:lang w:val="en-US"/>
    </w:rPr>
  </w:style>
  <w:style w:type="character" w:styleId="Hyperlink">
    <w:name w:val="Hyperlink"/>
    <w:basedOn w:val="DefaultParagraphFont"/>
    <w:uiPriority w:val="99"/>
    <w:unhideWhenUsed/>
    <w:rsid w:val="00FA5F46"/>
    <w:rPr>
      <w:color w:val="0563C1" w:themeColor="hyperlink"/>
      <w:u w:val="single"/>
    </w:rPr>
  </w:style>
  <w:style w:type="character" w:styleId="UnresolvedMention">
    <w:name w:val="Unresolved Mention"/>
    <w:basedOn w:val="DefaultParagraphFont"/>
    <w:uiPriority w:val="99"/>
    <w:semiHidden/>
    <w:unhideWhenUsed/>
    <w:rsid w:val="00FA5F46"/>
    <w:rPr>
      <w:color w:val="605E5C"/>
      <w:shd w:val="clear" w:color="auto" w:fill="E1DFDD"/>
    </w:rPr>
  </w:style>
  <w:style w:type="paragraph" w:styleId="TOCHeading">
    <w:name w:val="TOC Heading"/>
    <w:basedOn w:val="Heading1"/>
    <w:next w:val="Normal"/>
    <w:uiPriority w:val="39"/>
    <w:unhideWhenUsed/>
    <w:qFormat/>
    <w:rsid w:val="00FA5F46"/>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FA5F46"/>
    <w:pPr>
      <w:spacing w:after="100"/>
    </w:pPr>
  </w:style>
  <w:style w:type="paragraph" w:styleId="TOC2">
    <w:name w:val="toc 2"/>
    <w:basedOn w:val="Normal"/>
    <w:next w:val="Normal"/>
    <w:autoRedefine/>
    <w:uiPriority w:val="39"/>
    <w:unhideWhenUsed/>
    <w:rsid w:val="00FA5F4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southernhealth.nhs.uk/EasysiteWeb/getresource.axd?AssetID=44131&amp;type=Full&amp;servicetype=Attach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D98A1C62C95459F8A780C24CBA31134"/>
        <w:category>
          <w:name w:val="General"/>
          <w:gallery w:val="placeholder"/>
        </w:category>
        <w:types>
          <w:type w:val="bbPlcHdr"/>
        </w:types>
        <w:behaviors>
          <w:behavior w:val="content"/>
        </w:behaviors>
        <w:guid w:val="{7562DA74-8FD7-4ADE-B272-89F9F86621CE}"/>
      </w:docPartPr>
      <w:docPartBody>
        <w:p w:rsidR="00C5261B" w:rsidRDefault="00C31CEF" w:rsidP="00C31CEF">
          <w:pPr>
            <w:pStyle w:val="AD98A1C62C95459F8A780C24CBA31134"/>
          </w:pPr>
          <w:r>
            <w:rPr>
              <w:rFonts w:asciiTheme="majorHAnsi" w:eastAsiaTheme="majorEastAsia" w:hAnsiTheme="majorHAnsi" w:cstheme="majorBidi"/>
              <w:caps/>
              <w:color w:val="4472C4" w:themeColor="accent1"/>
              <w:sz w:val="80"/>
              <w:szCs w:val="80"/>
            </w:rPr>
            <w:t>[Document title]</w:t>
          </w:r>
        </w:p>
      </w:docPartBody>
    </w:docPart>
    <w:docPart>
      <w:docPartPr>
        <w:name w:val="EE4247D0DCD14FB29986B78B9A6CAB2E"/>
        <w:category>
          <w:name w:val="General"/>
          <w:gallery w:val="placeholder"/>
        </w:category>
        <w:types>
          <w:type w:val="bbPlcHdr"/>
        </w:types>
        <w:behaviors>
          <w:behavior w:val="content"/>
        </w:behaviors>
        <w:guid w:val="{4A9366FA-643F-40BE-8E3D-EB7E7FDAD2A9}"/>
      </w:docPartPr>
      <w:docPartBody>
        <w:p w:rsidR="00C5261B" w:rsidRDefault="00C31CEF" w:rsidP="00C31CEF">
          <w:pPr>
            <w:pStyle w:val="EE4247D0DCD14FB29986B78B9A6CAB2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EF"/>
    <w:rsid w:val="0019685C"/>
    <w:rsid w:val="0046511E"/>
    <w:rsid w:val="00841693"/>
    <w:rsid w:val="00A91E83"/>
    <w:rsid w:val="00B85A9F"/>
    <w:rsid w:val="00C31CEF"/>
    <w:rsid w:val="00C52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98A1C62C95459F8A780C24CBA31134">
    <w:name w:val="AD98A1C62C95459F8A780C24CBA31134"/>
    <w:rsid w:val="00C31CEF"/>
  </w:style>
  <w:style w:type="paragraph" w:customStyle="1" w:styleId="EE4247D0DCD14FB29986B78B9A6CAB2E">
    <w:name w:val="EE4247D0DCD14FB29986B78B9A6CAB2E"/>
    <w:rsid w:val="00C31C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Mariya georgieva</PublishDate>
  <Abstract/>
  <CompanyAddress>Lecturer(s): Diya Ganguly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88B8D6-48B6-4EEC-AB06-BBBAC09FF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2454</Words>
  <Characters>13989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BMHP4003:</vt:lpstr>
    </vt:vector>
  </TitlesOfParts>
  <Company>student id: 1906952</Company>
  <LinksUpToDate>false</LinksUpToDate>
  <CharactersWithSpaces>16411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BMHP4003:</dc:title>
  <dc:subject>Applying Psychological perspectives in Health and Social Care: Assessment 1</dc:subject>
  <dc:creator>Dari-Anna A Kuseva</dc:creator>
  <cp:keywords/>
  <dc:description/>
  <cp:lastModifiedBy>Adriana Ivanova</cp:lastModifiedBy>
  <cp:revision>3</cp:revision>
  <dcterms:created xsi:type="dcterms:W3CDTF">2020-08-28T19:57:00Z</dcterms:created>
  <dcterms:modified xsi:type="dcterms:W3CDTF">2020-08-28T19:58:00Z</dcterms:modified>
</cp:coreProperties>
</file>