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D72A7" w14:textId="77777777" w:rsidR="00C054F7" w:rsidRPr="00C054F7" w:rsidRDefault="00C054F7" w:rsidP="00C054F7">
      <w:pPr>
        <w:spacing w:line="480" w:lineRule="auto"/>
        <w:rPr>
          <w:rFonts w:ascii="Times New Roman" w:hAnsi="Times New Roman" w:cs="Times New Roman"/>
          <w:color w:val="000000" w:themeColor="text1"/>
          <w:sz w:val="32"/>
          <w:szCs w:val="32"/>
        </w:rPr>
      </w:pPr>
      <w:r w:rsidRPr="00C054F7">
        <w:rPr>
          <w:rFonts w:ascii="Times New Roman" w:hAnsi="Times New Roman" w:cs="Times New Roman"/>
          <w:color w:val="000000" w:themeColor="text1"/>
          <w:sz w:val="32"/>
          <w:szCs w:val="32"/>
        </w:rPr>
        <w:t xml:space="preserve">Student Name: KHALID ABDIKADIR AHMED  </w:t>
      </w:r>
    </w:p>
    <w:p w14:paraId="79846EFE" w14:textId="77777777" w:rsidR="00C054F7" w:rsidRPr="00C054F7" w:rsidRDefault="00C054F7" w:rsidP="00C054F7">
      <w:pPr>
        <w:spacing w:line="480" w:lineRule="auto"/>
        <w:rPr>
          <w:rFonts w:ascii="Times New Roman" w:hAnsi="Times New Roman" w:cs="Times New Roman"/>
          <w:color w:val="000000" w:themeColor="text1"/>
          <w:sz w:val="32"/>
          <w:szCs w:val="32"/>
        </w:rPr>
      </w:pPr>
      <w:r w:rsidRPr="00C054F7">
        <w:rPr>
          <w:rFonts w:ascii="Times New Roman" w:hAnsi="Times New Roman" w:cs="Times New Roman"/>
          <w:color w:val="000000" w:themeColor="text1"/>
          <w:sz w:val="32"/>
          <w:szCs w:val="32"/>
        </w:rPr>
        <w:t>Student ID: 1919437</w:t>
      </w:r>
    </w:p>
    <w:p w14:paraId="68A31010" w14:textId="77777777" w:rsidR="00C054F7" w:rsidRPr="00C054F7" w:rsidRDefault="00C054F7" w:rsidP="00C054F7">
      <w:pPr>
        <w:spacing w:line="480" w:lineRule="auto"/>
        <w:rPr>
          <w:rFonts w:ascii="Times New Roman" w:hAnsi="Times New Roman" w:cs="Times New Roman"/>
          <w:color w:val="000000" w:themeColor="text1"/>
          <w:sz w:val="32"/>
          <w:szCs w:val="32"/>
        </w:rPr>
      </w:pPr>
      <w:r w:rsidRPr="00C054F7">
        <w:rPr>
          <w:rFonts w:ascii="Times New Roman" w:hAnsi="Times New Roman" w:cs="Times New Roman"/>
          <w:color w:val="000000" w:themeColor="text1"/>
          <w:sz w:val="32"/>
          <w:szCs w:val="32"/>
        </w:rPr>
        <w:t>Module: LAW AND LEGAL PRACTICE</w:t>
      </w:r>
    </w:p>
    <w:p w14:paraId="52AC3783" w14:textId="77777777" w:rsidR="00C054F7" w:rsidRPr="00C054F7" w:rsidRDefault="00C054F7" w:rsidP="00C054F7">
      <w:pPr>
        <w:spacing w:line="480" w:lineRule="auto"/>
        <w:rPr>
          <w:rFonts w:ascii="Times New Roman" w:hAnsi="Times New Roman" w:cs="Times New Roman"/>
          <w:color w:val="000000" w:themeColor="text1"/>
          <w:sz w:val="32"/>
          <w:szCs w:val="32"/>
        </w:rPr>
      </w:pPr>
      <w:r w:rsidRPr="00C054F7">
        <w:rPr>
          <w:rFonts w:ascii="Times New Roman" w:hAnsi="Times New Roman" w:cs="Times New Roman"/>
          <w:color w:val="000000" w:themeColor="text1"/>
          <w:sz w:val="32"/>
          <w:szCs w:val="32"/>
        </w:rPr>
        <w:t>Code: BMLW4003</w:t>
      </w:r>
    </w:p>
    <w:p w14:paraId="33DA868A" w14:textId="5A2CC86D" w:rsidR="00C054F7" w:rsidRPr="00C054F7" w:rsidRDefault="00C054F7" w:rsidP="00C054F7">
      <w:pPr>
        <w:spacing w:line="480" w:lineRule="auto"/>
        <w:rPr>
          <w:rFonts w:ascii="Times New Roman" w:hAnsi="Times New Roman" w:cs="Times New Roman"/>
          <w:color w:val="000000" w:themeColor="text1"/>
          <w:sz w:val="32"/>
          <w:szCs w:val="32"/>
        </w:rPr>
      </w:pPr>
      <w:r w:rsidRPr="00C054F7">
        <w:rPr>
          <w:rFonts w:ascii="Times New Roman" w:hAnsi="Times New Roman" w:cs="Times New Roman"/>
          <w:color w:val="000000" w:themeColor="text1"/>
          <w:sz w:val="32"/>
          <w:szCs w:val="32"/>
        </w:rPr>
        <w:t xml:space="preserve">Date: </w:t>
      </w:r>
      <w:r>
        <w:rPr>
          <w:rFonts w:ascii="Times New Roman" w:hAnsi="Times New Roman" w:cs="Times New Roman"/>
          <w:color w:val="000000" w:themeColor="text1"/>
          <w:sz w:val="32"/>
          <w:szCs w:val="32"/>
        </w:rPr>
        <w:t>02</w:t>
      </w:r>
      <w:r w:rsidRPr="00C054F7">
        <w:rPr>
          <w:rFonts w:ascii="Times New Roman" w:hAnsi="Times New Roman" w:cs="Times New Roman"/>
          <w:color w:val="000000" w:themeColor="text1"/>
          <w:sz w:val="32"/>
          <w:szCs w:val="32"/>
        </w:rPr>
        <w:t>/0</w:t>
      </w:r>
      <w:r>
        <w:rPr>
          <w:rFonts w:ascii="Times New Roman" w:hAnsi="Times New Roman" w:cs="Times New Roman"/>
          <w:color w:val="000000" w:themeColor="text1"/>
          <w:sz w:val="32"/>
          <w:szCs w:val="32"/>
        </w:rPr>
        <w:t>5</w:t>
      </w:r>
      <w:r w:rsidRPr="00C054F7">
        <w:rPr>
          <w:rFonts w:ascii="Times New Roman" w:hAnsi="Times New Roman" w:cs="Times New Roman"/>
          <w:color w:val="000000" w:themeColor="text1"/>
          <w:sz w:val="32"/>
          <w:szCs w:val="32"/>
        </w:rPr>
        <w:t>/2022</w:t>
      </w:r>
    </w:p>
    <w:p w14:paraId="51E25FD0" w14:textId="77777777" w:rsidR="00E6200D" w:rsidRDefault="00E6200D" w:rsidP="00C054F7">
      <w:pPr>
        <w:spacing w:before="240" w:line="360" w:lineRule="auto"/>
        <w:rPr>
          <w:rFonts w:ascii="Times New Roman" w:hAnsi="Times New Roman" w:cs="Times New Roman"/>
          <w:b/>
          <w:bCs/>
          <w:color w:val="000000" w:themeColor="text1"/>
          <w:sz w:val="32"/>
          <w:szCs w:val="32"/>
        </w:rPr>
      </w:pPr>
    </w:p>
    <w:p w14:paraId="74828A59" w14:textId="77777777" w:rsidR="00E6200D" w:rsidRDefault="00E6200D" w:rsidP="000D3BEC">
      <w:pPr>
        <w:spacing w:before="240" w:line="360" w:lineRule="auto"/>
        <w:jc w:val="center"/>
        <w:rPr>
          <w:rFonts w:ascii="Times New Roman" w:hAnsi="Times New Roman" w:cs="Times New Roman"/>
          <w:b/>
          <w:bCs/>
          <w:color w:val="000000" w:themeColor="text1"/>
          <w:sz w:val="32"/>
          <w:szCs w:val="32"/>
        </w:rPr>
      </w:pPr>
    </w:p>
    <w:p w14:paraId="4F0265BA" w14:textId="77777777" w:rsidR="00E6200D" w:rsidRDefault="00E6200D" w:rsidP="000D3BEC">
      <w:pPr>
        <w:spacing w:before="240" w:line="360" w:lineRule="auto"/>
        <w:jc w:val="center"/>
        <w:rPr>
          <w:rFonts w:ascii="Times New Roman" w:hAnsi="Times New Roman" w:cs="Times New Roman"/>
          <w:b/>
          <w:bCs/>
          <w:color w:val="000000" w:themeColor="text1"/>
          <w:sz w:val="32"/>
          <w:szCs w:val="32"/>
        </w:rPr>
      </w:pPr>
    </w:p>
    <w:p w14:paraId="2A0571E7" w14:textId="77777777" w:rsidR="000D3BEC" w:rsidRPr="000D3BEC" w:rsidRDefault="00587AF3" w:rsidP="000D3BEC">
      <w:pPr>
        <w:spacing w:before="240" w:line="360" w:lineRule="auto"/>
        <w:jc w:val="center"/>
        <w:rPr>
          <w:rFonts w:ascii="Times New Roman" w:hAnsi="Times New Roman" w:cs="Times New Roman"/>
          <w:b/>
          <w:bCs/>
          <w:color w:val="000000" w:themeColor="text1"/>
          <w:sz w:val="32"/>
          <w:szCs w:val="32"/>
        </w:rPr>
      </w:pPr>
      <w:r w:rsidRPr="000D3BEC">
        <w:rPr>
          <w:rFonts w:ascii="Times New Roman" w:hAnsi="Times New Roman" w:cs="Times New Roman"/>
          <w:b/>
          <w:bCs/>
          <w:color w:val="000000" w:themeColor="text1"/>
          <w:sz w:val="32"/>
          <w:szCs w:val="32"/>
        </w:rPr>
        <w:t>STATUTORY INTERPRETATION AND STATUS OF LEGISLATION</w:t>
      </w:r>
    </w:p>
    <w:p w14:paraId="2DEF82E3" w14:textId="77777777" w:rsidR="000D3BEC" w:rsidRPr="000D3BEC" w:rsidRDefault="00587AF3" w:rsidP="000D3BEC">
      <w:pPr>
        <w:spacing w:before="240" w:line="360" w:lineRule="auto"/>
        <w:rPr>
          <w:rFonts w:ascii="Times New Roman" w:hAnsi="Times New Roman" w:cs="Times New Roman"/>
          <w:b/>
          <w:bCs/>
          <w:color w:val="000000" w:themeColor="text1"/>
          <w:sz w:val="32"/>
          <w:szCs w:val="32"/>
        </w:rPr>
      </w:pPr>
      <w:r w:rsidRPr="000D3BEC">
        <w:rPr>
          <w:rFonts w:ascii="Times New Roman" w:hAnsi="Times New Roman" w:cs="Times New Roman"/>
          <w:b/>
          <w:bCs/>
          <w:color w:val="000000" w:themeColor="text1"/>
          <w:sz w:val="24"/>
          <w:szCs w:val="24"/>
          <w:shd w:val="clear" w:color="auto" w:fill="FFFFFF"/>
        </w:rPr>
        <w:br w:type="page"/>
      </w:r>
    </w:p>
    <w:sdt>
      <w:sdtPr>
        <w:rPr>
          <w:rFonts w:ascii="Times New Roman" w:eastAsiaTheme="minorHAnsi" w:hAnsi="Times New Roman" w:cs="Times New Roman"/>
          <w:b w:val="0"/>
          <w:bCs w:val="0"/>
          <w:color w:val="000000" w:themeColor="text1"/>
          <w:sz w:val="24"/>
          <w:szCs w:val="24"/>
        </w:rPr>
        <w:id w:val="24125394"/>
        <w:docPartObj>
          <w:docPartGallery w:val="Table of Contents"/>
          <w:docPartUnique/>
        </w:docPartObj>
      </w:sdtPr>
      <w:sdtEndPr/>
      <w:sdtContent>
        <w:p w14:paraId="587CFB61" w14:textId="77777777" w:rsidR="000D3BEC" w:rsidRPr="000D3BEC" w:rsidRDefault="00587AF3" w:rsidP="000D3BEC">
          <w:pPr>
            <w:pStyle w:val="TOCHeading"/>
            <w:spacing w:before="0" w:line="360" w:lineRule="auto"/>
            <w:jc w:val="center"/>
            <w:rPr>
              <w:rFonts w:ascii="Times New Roman" w:hAnsi="Times New Roman" w:cs="Times New Roman"/>
              <w:color w:val="000000" w:themeColor="text1"/>
              <w:sz w:val="24"/>
              <w:szCs w:val="24"/>
            </w:rPr>
          </w:pPr>
          <w:r w:rsidRPr="000D3BEC">
            <w:rPr>
              <w:rFonts w:ascii="Times New Roman" w:hAnsi="Times New Roman" w:cs="Times New Roman"/>
              <w:color w:val="000000" w:themeColor="text1"/>
              <w:sz w:val="24"/>
              <w:szCs w:val="24"/>
            </w:rPr>
            <w:t>Table of Contents</w:t>
          </w:r>
        </w:p>
        <w:p w14:paraId="4DC4ABED" w14:textId="77777777" w:rsidR="000D3BEC" w:rsidRPr="000D3BEC" w:rsidRDefault="00CC27D5" w:rsidP="000D3BEC">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0D3BEC">
            <w:rPr>
              <w:rFonts w:ascii="Times New Roman" w:hAnsi="Times New Roman" w:cs="Times New Roman"/>
              <w:color w:val="000000" w:themeColor="text1"/>
              <w:sz w:val="24"/>
              <w:szCs w:val="24"/>
            </w:rPr>
            <w:fldChar w:fldCharType="begin"/>
          </w:r>
          <w:r w:rsidR="00587AF3" w:rsidRPr="000D3BEC">
            <w:rPr>
              <w:rFonts w:ascii="Times New Roman" w:hAnsi="Times New Roman" w:cs="Times New Roman"/>
              <w:color w:val="000000" w:themeColor="text1"/>
              <w:sz w:val="24"/>
              <w:szCs w:val="24"/>
            </w:rPr>
            <w:instrText xml:space="preserve"> TOC \o "1-3" \h \z \u </w:instrText>
          </w:r>
          <w:r w:rsidRPr="000D3BEC">
            <w:rPr>
              <w:rFonts w:ascii="Times New Roman" w:hAnsi="Times New Roman" w:cs="Times New Roman"/>
              <w:color w:val="000000" w:themeColor="text1"/>
              <w:sz w:val="24"/>
              <w:szCs w:val="24"/>
            </w:rPr>
            <w:fldChar w:fldCharType="separate"/>
          </w:r>
          <w:hyperlink w:anchor="_Toc102242135" w:history="1">
            <w:r w:rsidR="00587AF3" w:rsidRPr="000D3BEC">
              <w:rPr>
                <w:rStyle w:val="Hyperlink"/>
                <w:rFonts w:ascii="Times New Roman" w:eastAsia="Times New Roman" w:hAnsi="Times New Roman" w:cs="Times New Roman"/>
                <w:noProof/>
                <w:color w:val="000000" w:themeColor="text1"/>
                <w:sz w:val="24"/>
                <w:szCs w:val="24"/>
                <w:lang w:val="en-GB"/>
              </w:rPr>
              <w:t>Introduction</w:t>
            </w:r>
            <w:r w:rsidR="00587AF3" w:rsidRPr="000D3BEC">
              <w:rPr>
                <w:rFonts w:ascii="Times New Roman" w:hAnsi="Times New Roman" w:cs="Times New Roman"/>
                <w:noProof/>
                <w:webHidden/>
                <w:color w:val="000000" w:themeColor="text1"/>
                <w:sz w:val="24"/>
                <w:szCs w:val="24"/>
              </w:rPr>
              <w:tab/>
            </w:r>
            <w:r w:rsidRPr="000D3BEC">
              <w:rPr>
                <w:rFonts w:ascii="Times New Roman" w:hAnsi="Times New Roman" w:cs="Times New Roman"/>
                <w:noProof/>
                <w:webHidden/>
                <w:color w:val="000000" w:themeColor="text1"/>
                <w:sz w:val="24"/>
                <w:szCs w:val="24"/>
              </w:rPr>
              <w:fldChar w:fldCharType="begin"/>
            </w:r>
            <w:r w:rsidR="00587AF3" w:rsidRPr="000D3BEC">
              <w:rPr>
                <w:rFonts w:ascii="Times New Roman" w:hAnsi="Times New Roman" w:cs="Times New Roman"/>
                <w:noProof/>
                <w:webHidden/>
                <w:color w:val="000000" w:themeColor="text1"/>
                <w:sz w:val="24"/>
                <w:szCs w:val="24"/>
              </w:rPr>
              <w:instrText xml:space="preserve"> PAGEREF _Toc102242135 \h </w:instrText>
            </w:r>
            <w:r w:rsidRPr="000D3BEC">
              <w:rPr>
                <w:rFonts w:ascii="Times New Roman" w:hAnsi="Times New Roman" w:cs="Times New Roman"/>
                <w:noProof/>
                <w:webHidden/>
                <w:color w:val="000000" w:themeColor="text1"/>
                <w:sz w:val="24"/>
                <w:szCs w:val="24"/>
              </w:rPr>
            </w:r>
            <w:r w:rsidRPr="000D3BEC">
              <w:rPr>
                <w:rFonts w:ascii="Times New Roman" w:hAnsi="Times New Roman" w:cs="Times New Roman"/>
                <w:noProof/>
                <w:webHidden/>
                <w:color w:val="000000" w:themeColor="text1"/>
                <w:sz w:val="24"/>
                <w:szCs w:val="24"/>
              </w:rPr>
              <w:fldChar w:fldCharType="separate"/>
            </w:r>
            <w:r w:rsidR="00587AF3" w:rsidRPr="000D3BEC">
              <w:rPr>
                <w:rFonts w:ascii="Times New Roman" w:hAnsi="Times New Roman" w:cs="Times New Roman"/>
                <w:noProof/>
                <w:webHidden/>
                <w:color w:val="000000" w:themeColor="text1"/>
                <w:sz w:val="24"/>
                <w:szCs w:val="24"/>
              </w:rPr>
              <w:t>2</w:t>
            </w:r>
            <w:r w:rsidRPr="000D3BEC">
              <w:rPr>
                <w:rFonts w:ascii="Times New Roman" w:hAnsi="Times New Roman" w:cs="Times New Roman"/>
                <w:noProof/>
                <w:webHidden/>
                <w:color w:val="000000" w:themeColor="text1"/>
                <w:sz w:val="24"/>
                <w:szCs w:val="24"/>
              </w:rPr>
              <w:fldChar w:fldCharType="end"/>
            </w:r>
          </w:hyperlink>
        </w:p>
        <w:p w14:paraId="0D048E53" w14:textId="77777777" w:rsidR="000D3BEC" w:rsidRPr="000D3BEC" w:rsidRDefault="00F934A9" w:rsidP="000D3BE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242136" w:history="1">
            <w:r w:rsidR="00587AF3" w:rsidRPr="000D3BEC">
              <w:rPr>
                <w:rStyle w:val="Hyperlink"/>
                <w:rFonts w:ascii="Times New Roman" w:eastAsia="Times New Roman" w:hAnsi="Times New Roman" w:cs="Times New Roman"/>
                <w:noProof/>
                <w:color w:val="000000" w:themeColor="text1"/>
                <w:sz w:val="24"/>
                <w:szCs w:val="24"/>
                <w:lang w:val="en-GB"/>
              </w:rPr>
              <w:t>Discussion</w:t>
            </w:r>
            <w:r w:rsidR="00587AF3" w:rsidRPr="000D3BEC">
              <w:rPr>
                <w:rFonts w:ascii="Times New Roman" w:hAnsi="Times New Roman" w:cs="Times New Roman"/>
                <w:noProof/>
                <w:webHidden/>
                <w:color w:val="000000" w:themeColor="text1"/>
                <w:sz w:val="24"/>
                <w:szCs w:val="24"/>
              </w:rPr>
              <w:tab/>
            </w:r>
            <w:r w:rsidR="00CC27D5" w:rsidRPr="000D3BEC">
              <w:rPr>
                <w:rFonts w:ascii="Times New Roman" w:hAnsi="Times New Roman" w:cs="Times New Roman"/>
                <w:noProof/>
                <w:webHidden/>
                <w:color w:val="000000" w:themeColor="text1"/>
                <w:sz w:val="24"/>
                <w:szCs w:val="24"/>
              </w:rPr>
              <w:fldChar w:fldCharType="begin"/>
            </w:r>
            <w:r w:rsidR="00587AF3" w:rsidRPr="000D3BEC">
              <w:rPr>
                <w:rFonts w:ascii="Times New Roman" w:hAnsi="Times New Roman" w:cs="Times New Roman"/>
                <w:noProof/>
                <w:webHidden/>
                <w:color w:val="000000" w:themeColor="text1"/>
                <w:sz w:val="24"/>
                <w:szCs w:val="24"/>
              </w:rPr>
              <w:instrText xml:space="preserve"> PAGEREF _Toc102242136 \h </w:instrText>
            </w:r>
            <w:r w:rsidR="00CC27D5" w:rsidRPr="000D3BEC">
              <w:rPr>
                <w:rFonts w:ascii="Times New Roman" w:hAnsi="Times New Roman" w:cs="Times New Roman"/>
                <w:noProof/>
                <w:webHidden/>
                <w:color w:val="000000" w:themeColor="text1"/>
                <w:sz w:val="24"/>
                <w:szCs w:val="24"/>
              </w:rPr>
            </w:r>
            <w:r w:rsidR="00CC27D5" w:rsidRPr="000D3BEC">
              <w:rPr>
                <w:rFonts w:ascii="Times New Roman" w:hAnsi="Times New Roman" w:cs="Times New Roman"/>
                <w:noProof/>
                <w:webHidden/>
                <w:color w:val="000000" w:themeColor="text1"/>
                <w:sz w:val="24"/>
                <w:szCs w:val="24"/>
              </w:rPr>
              <w:fldChar w:fldCharType="separate"/>
            </w:r>
            <w:r w:rsidR="00587AF3" w:rsidRPr="000D3BEC">
              <w:rPr>
                <w:rFonts w:ascii="Times New Roman" w:hAnsi="Times New Roman" w:cs="Times New Roman"/>
                <w:noProof/>
                <w:webHidden/>
                <w:color w:val="000000" w:themeColor="text1"/>
                <w:sz w:val="24"/>
                <w:szCs w:val="24"/>
              </w:rPr>
              <w:t>2</w:t>
            </w:r>
            <w:r w:rsidR="00CC27D5" w:rsidRPr="000D3BEC">
              <w:rPr>
                <w:rFonts w:ascii="Times New Roman" w:hAnsi="Times New Roman" w:cs="Times New Roman"/>
                <w:noProof/>
                <w:webHidden/>
                <w:color w:val="000000" w:themeColor="text1"/>
                <w:sz w:val="24"/>
                <w:szCs w:val="24"/>
              </w:rPr>
              <w:fldChar w:fldCharType="end"/>
            </w:r>
          </w:hyperlink>
        </w:p>
        <w:p w14:paraId="02D4B6DC" w14:textId="77777777" w:rsidR="000D3BEC" w:rsidRPr="000D3BEC" w:rsidRDefault="00F934A9" w:rsidP="000D3BE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242137" w:history="1">
            <w:r w:rsidR="00587AF3" w:rsidRPr="000D3BEC">
              <w:rPr>
                <w:rStyle w:val="Hyperlink"/>
                <w:rFonts w:ascii="Times New Roman" w:eastAsia="Times New Roman" w:hAnsi="Times New Roman" w:cs="Times New Roman"/>
                <w:noProof/>
                <w:color w:val="000000" w:themeColor="text1"/>
                <w:sz w:val="24"/>
                <w:szCs w:val="24"/>
                <w:lang w:val="en-GB"/>
              </w:rPr>
              <w:t>Conclusion</w:t>
            </w:r>
            <w:r w:rsidR="00587AF3" w:rsidRPr="000D3BEC">
              <w:rPr>
                <w:rFonts w:ascii="Times New Roman" w:hAnsi="Times New Roman" w:cs="Times New Roman"/>
                <w:noProof/>
                <w:webHidden/>
                <w:color w:val="000000" w:themeColor="text1"/>
                <w:sz w:val="24"/>
                <w:szCs w:val="24"/>
              </w:rPr>
              <w:tab/>
            </w:r>
            <w:r w:rsidR="00CC27D5" w:rsidRPr="000D3BEC">
              <w:rPr>
                <w:rFonts w:ascii="Times New Roman" w:hAnsi="Times New Roman" w:cs="Times New Roman"/>
                <w:noProof/>
                <w:webHidden/>
                <w:color w:val="000000" w:themeColor="text1"/>
                <w:sz w:val="24"/>
                <w:szCs w:val="24"/>
              </w:rPr>
              <w:fldChar w:fldCharType="begin"/>
            </w:r>
            <w:r w:rsidR="00587AF3" w:rsidRPr="000D3BEC">
              <w:rPr>
                <w:rFonts w:ascii="Times New Roman" w:hAnsi="Times New Roman" w:cs="Times New Roman"/>
                <w:noProof/>
                <w:webHidden/>
                <w:color w:val="000000" w:themeColor="text1"/>
                <w:sz w:val="24"/>
                <w:szCs w:val="24"/>
              </w:rPr>
              <w:instrText xml:space="preserve"> PAGEREF _Toc102242137 \h </w:instrText>
            </w:r>
            <w:r w:rsidR="00CC27D5" w:rsidRPr="000D3BEC">
              <w:rPr>
                <w:rFonts w:ascii="Times New Roman" w:hAnsi="Times New Roman" w:cs="Times New Roman"/>
                <w:noProof/>
                <w:webHidden/>
                <w:color w:val="000000" w:themeColor="text1"/>
                <w:sz w:val="24"/>
                <w:szCs w:val="24"/>
              </w:rPr>
            </w:r>
            <w:r w:rsidR="00CC27D5" w:rsidRPr="000D3BEC">
              <w:rPr>
                <w:rFonts w:ascii="Times New Roman" w:hAnsi="Times New Roman" w:cs="Times New Roman"/>
                <w:noProof/>
                <w:webHidden/>
                <w:color w:val="000000" w:themeColor="text1"/>
                <w:sz w:val="24"/>
                <w:szCs w:val="24"/>
              </w:rPr>
              <w:fldChar w:fldCharType="separate"/>
            </w:r>
            <w:r w:rsidR="00587AF3" w:rsidRPr="000D3BEC">
              <w:rPr>
                <w:rFonts w:ascii="Times New Roman" w:hAnsi="Times New Roman" w:cs="Times New Roman"/>
                <w:noProof/>
                <w:webHidden/>
                <w:color w:val="000000" w:themeColor="text1"/>
                <w:sz w:val="24"/>
                <w:szCs w:val="24"/>
              </w:rPr>
              <w:t>6</w:t>
            </w:r>
            <w:r w:rsidR="00CC27D5" w:rsidRPr="000D3BEC">
              <w:rPr>
                <w:rFonts w:ascii="Times New Roman" w:hAnsi="Times New Roman" w:cs="Times New Roman"/>
                <w:noProof/>
                <w:webHidden/>
                <w:color w:val="000000" w:themeColor="text1"/>
                <w:sz w:val="24"/>
                <w:szCs w:val="24"/>
              </w:rPr>
              <w:fldChar w:fldCharType="end"/>
            </w:r>
          </w:hyperlink>
        </w:p>
        <w:p w14:paraId="3577CBF2" w14:textId="77777777" w:rsidR="000D3BEC" w:rsidRPr="000D3BEC" w:rsidRDefault="00F934A9" w:rsidP="000D3BE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2242138" w:history="1">
            <w:r w:rsidR="00587AF3" w:rsidRPr="000D3BEC">
              <w:rPr>
                <w:rStyle w:val="Hyperlink"/>
                <w:rFonts w:ascii="Times New Roman" w:hAnsi="Times New Roman" w:cs="Times New Roman"/>
                <w:noProof/>
                <w:color w:val="000000" w:themeColor="text1"/>
                <w:sz w:val="24"/>
                <w:szCs w:val="24"/>
                <w:shd w:val="clear" w:color="auto" w:fill="FFFFFF"/>
              </w:rPr>
              <w:t>References</w:t>
            </w:r>
            <w:r w:rsidR="00587AF3" w:rsidRPr="000D3BEC">
              <w:rPr>
                <w:rFonts w:ascii="Times New Roman" w:hAnsi="Times New Roman" w:cs="Times New Roman"/>
                <w:noProof/>
                <w:webHidden/>
                <w:color w:val="000000" w:themeColor="text1"/>
                <w:sz w:val="24"/>
                <w:szCs w:val="24"/>
              </w:rPr>
              <w:tab/>
            </w:r>
            <w:r w:rsidR="00CC27D5" w:rsidRPr="000D3BEC">
              <w:rPr>
                <w:rFonts w:ascii="Times New Roman" w:hAnsi="Times New Roman" w:cs="Times New Roman"/>
                <w:noProof/>
                <w:webHidden/>
                <w:color w:val="000000" w:themeColor="text1"/>
                <w:sz w:val="24"/>
                <w:szCs w:val="24"/>
              </w:rPr>
              <w:fldChar w:fldCharType="begin"/>
            </w:r>
            <w:r w:rsidR="00587AF3" w:rsidRPr="000D3BEC">
              <w:rPr>
                <w:rFonts w:ascii="Times New Roman" w:hAnsi="Times New Roman" w:cs="Times New Roman"/>
                <w:noProof/>
                <w:webHidden/>
                <w:color w:val="000000" w:themeColor="text1"/>
                <w:sz w:val="24"/>
                <w:szCs w:val="24"/>
              </w:rPr>
              <w:instrText xml:space="preserve"> PAGEREF _Toc102242138 \h </w:instrText>
            </w:r>
            <w:r w:rsidR="00CC27D5" w:rsidRPr="000D3BEC">
              <w:rPr>
                <w:rFonts w:ascii="Times New Roman" w:hAnsi="Times New Roman" w:cs="Times New Roman"/>
                <w:noProof/>
                <w:webHidden/>
                <w:color w:val="000000" w:themeColor="text1"/>
                <w:sz w:val="24"/>
                <w:szCs w:val="24"/>
              </w:rPr>
            </w:r>
            <w:r w:rsidR="00CC27D5" w:rsidRPr="000D3BEC">
              <w:rPr>
                <w:rFonts w:ascii="Times New Roman" w:hAnsi="Times New Roman" w:cs="Times New Roman"/>
                <w:noProof/>
                <w:webHidden/>
                <w:color w:val="000000" w:themeColor="text1"/>
                <w:sz w:val="24"/>
                <w:szCs w:val="24"/>
              </w:rPr>
              <w:fldChar w:fldCharType="separate"/>
            </w:r>
            <w:r w:rsidR="00587AF3" w:rsidRPr="000D3BEC">
              <w:rPr>
                <w:rFonts w:ascii="Times New Roman" w:hAnsi="Times New Roman" w:cs="Times New Roman"/>
                <w:noProof/>
                <w:webHidden/>
                <w:color w:val="000000" w:themeColor="text1"/>
                <w:sz w:val="24"/>
                <w:szCs w:val="24"/>
              </w:rPr>
              <w:t>7</w:t>
            </w:r>
            <w:r w:rsidR="00CC27D5" w:rsidRPr="000D3BEC">
              <w:rPr>
                <w:rFonts w:ascii="Times New Roman" w:hAnsi="Times New Roman" w:cs="Times New Roman"/>
                <w:noProof/>
                <w:webHidden/>
                <w:color w:val="000000" w:themeColor="text1"/>
                <w:sz w:val="24"/>
                <w:szCs w:val="24"/>
              </w:rPr>
              <w:fldChar w:fldCharType="end"/>
            </w:r>
          </w:hyperlink>
        </w:p>
        <w:p w14:paraId="4FD7DB55" w14:textId="77777777" w:rsidR="000D3BEC" w:rsidRPr="000D3BEC" w:rsidRDefault="00CC27D5" w:rsidP="000D3BEC">
          <w:pPr>
            <w:spacing w:line="360" w:lineRule="auto"/>
            <w:jc w:val="both"/>
            <w:rPr>
              <w:rFonts w:ascii="Times New Roman" w:hAnsi="Times New Roman" w:cs="Times New Roman"/>
              <w:color w:val="000000" w:themeColor="text1"/>
              <w:sz w:val="24"/>
              <w:szCs w:val="24"/>
            </w:rPr>
          </w:pPr>
          <w:r w:rsidRPr="000D3BEC">
            <w:rPr>
              <w:rFonts w:ascii="Times New Roman" w:hAnsi="Times New Roman" w:cs="Times New Roman"/>
              <w:color w:val="000000" w:themeColor="text1"/>
              <w:sz w:val="24"/>
              <w:szCs w:val="24"/>
            </w:rPr>
            <w:fldChar w:fldCharType="end"/>
          </w:r>
        </w:p>
      </w:sdtContent>
    </w:sdt>
    <w:p w14:paraId="2706233F" w14:textId="77777777" w:rsidR="008A06E8" w:rsidRPr="000D3BEC" w:rsidRDefault="00587AF3" w:rsidP="000D3BEC">
      <w:pPr>
        <w:spacing w:line="360" w:lineRule="auto"/>
        <w:jc w:val="both"/>
        <w:rPr>
          <w:rFonts w:ascii="Times New Roman" w:hAnsi="Times New Roman" w:cs="Times New Roman"/>
          <w:b/>
          <w:bCs/>
          <w:color w:val="000000" w:themeColor="text1"/>
          <w:sz w:val="24"/>
          <w:szCs w:val="24"/>
        </w:rPr>
      </w:pPr>
      <w:r w:rsidRPr="000D3BEC">
        <w:rPr>
          <w:rFonts w:ascii="Times New Roman" w:hAnsi="Times New Roman" w:cs="Times New Roman"/>
          <w:b/>
          <w:bCs/>
          <w:color w:val="000000" w:themeColor="text1"/>
          <w:sz w:val="24"/>
          <w:szCs w:val="24"/>
        </w:rPr>
        <w:t xml:space="preserve"> </w:t>
      </w:r>
      <w:r w:rsidRPr="000D3BEC">
        <w:rPr>
          <w:rFonts w:ascii="Times New Roman" w:hAnsi="Times New Roman" w:cs="Times New Roman"/>
          <w:b/>
          <w:bCs/>
          <w:color w:val="000000" w:themeColor="text1"/>
          <w:sz w:val="24"/>
          <w:szCs w:val="24"/>
        </w:rPr>
        <w:br w:type="page"/>
      </w:r>
    </w:p>
    <w:p w14:paraId="3182F9C9" w14:textId="77777777" w:rsidR="000D3BEC" w:rsidRPr="000D3BEC" w:rsidRDefault="00587AF3" w:rsidP="000D3BEC">
      <w:pPr>
        <w:pStyle w:val="Heading1"/>
        <w:spacing w:before="0"/>
        <w:rPr>
          <w:rFonts w:eastAsia="Times New Roman"/>
          <w:lang w:val="en-GB"/>
        </w:rPr>
      </w:pPr>
      <w:bookmarkStart w:id="0" w:name="_Toc102242135"/>
      <w:r w:rsidRPr="000D3BEC">
        <w:rPr>
          <w:rFonts w:eastAsia="Times New Roman"/>
          <w:lang w:val="en-GB"/>
        </w:rPr>
        <w:t>Introduction</w:t>
      </w:r>
      <w:bookmarkEnd w:id="0"/>
    </w:p>
    <w:p w14:paraId="08B55BF4" w14:textId="77777777" w:rsidR="000D3BEC" w:rsidRPr="000D3BEC" w:rsidRDefault="00587AF3" w:rsidP="000D3BE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0D3BEC">
        <w:rPr>
          <w:rFonts w:ascii="Times New Roman" w:eastAsia="Times New Roman" w:hAnsi="Times New Roman" w:cs="Times New Roman"/>
          <w:color w:val="000000" w:themeColor="text1"/>
          <w:sz w:val="24"/>
          <w:szCs w:val="24"/>
          <w:lang w:val="en-GB"/>
        </w:rPr>
        <w:t>This study is based on statutory interpretation and the status of legislation, therefore discussion on some significant approaches regarding this topic will be discussed. In addition to this, information regarding the statutory interpretation, its importance, any issues regarding this and the rules that underpin the statutory interpretation will be presented. Furthermore, some relevant legislation and its relationship with policies and practice will be identified along with legal techniques from the precedent and interpreting statutes.</w:t>
      </w:r>
    </w:p>
    <w:p w14:paraId="30956181" w14:textId="77777777" w:rsidR="000D3BEC" w:rsidRPr="000D3BEC" w:rsidRDefault="00587AF3" w:rsidP="000D3BEC">
      <w:pPr>
        <w:pStyle w:val="Heading1"/>
        <w:rPr>
          <w:rFonts w:eastAsia="Times New Roman"/>
          <w:lang w:val="en-GB"/>
        </w:rPr>
      </w:pPr>
      <w:bookmarkStart w:id="1" w:name="_Toc102242136"/>
      <w:r w:rsidRPr="000D3BEC">
        <w:rPr>
          <w:rFonts w:eastAsia="Times New Roman"/>
          <w:lang w:val="en-GB"/>
        </w:rPr>
        <w:t>Discussion</w:t>
      </w:r>
      <w:bookmarkEnd w:id="1"/>
    </w:p>
    <w:p w14:paraId="6DCA5EBD" w14:textId="77777777" w:rsidR="000D3BEC" w:rsidRPr="000D3BEC" w:rsidRDefault="00587AF3" w:rsidP="000D3BEC">
      <w:pPr>
        <w:pStyle w:val="Normal1"/>
        <w:spacing w:before="240" w:after="240" w:line="360" w:lineRule="auto"/>
        <w:jc w:val="both"/>
        <w:rPr>
          <w:rFonts w:ascii="Times New Roman" w:eastAsia="Times New Roman" w:hAnsi="Times New Roman" w:cs="Times New Roman"/>
          <w:b/>
          <w:i/>
          <w:color w:val="000000" w:themeColor="text1"/>
          <w:sz w:val="24"/>
          <w:szCs w:val="24"/>
          <w:highlight w:val="white"/>
          <w:lang w:val="en-GB"/>
        </w:rPr>
      </w:pPr>
      <w:r w:rsidRPr="000D3BEC">
        <w:rPr>
          <w:rFonts w:ascii="Times New Roman" w:eastAsia="Times New Roman" w:hAnsi="Times New Roman" w:cs="Times New Roman"/>
          <w:b/>
          <w:i/>
          <w:color w:val="000000" w:themeColor="text1"/>
          <w:sz w:val="24"/>
          <w:szCs w:val="24"/>
          <w:highlight w:val="white"/>
          <w:lang w:val="en-GB"/>
        </w:rPr>
        <w:t>Statutory interpretation</w:t>
      </w:r>
    </w:p>
    <w:p w14:paraId="07A16071" w14:textId="77777777" w:rsidR="000D3BEC" w:rsidRPr="000D3BEC" w:rsidRDefault="00587AF3" w:rsidP="000D3BEC">
      <w:pPr>
        <w:pStyle w:val="Normal1"/>
        <w:spacing w:before="240" w:after="240" w:line="360" w:lineRule="auto"/>
        <w:jc w:val="both"/>
        <w:rPr>
          <w:rFonts w:ascii="Times New Roman" w:eastAsia="Times New Roman" w:hAnsi="Times New Roman" w:cs="Times New Roman"/>
          <w:b/>
          <w:i/>
          <w:color w:val="000000" w:themeColor="text1"/>
          <w:sz w:val="24"/>
          <w:szCs w:val="24"/>
          <w:highlight w:val="white"/>
          <w:lang w:val="en-GB"/>
        </w:rPr>
      </w:pPr>
      <w:r w:rsidRPr="000D3BEC">
        <w:rPr>
          <w:rFonts w:ascii="Times New Roman" w:eastAsia="Times New Roman" w:hAnsi="Times New Roman" w:cs="Times New Roman"/>
          <w:b/>
          <w:i/>
          <w:color w:val="000000" w:themeColor="text1"/>
          <w:sz w:val="24"/>
          <w:szCs w:val="24"/>
          <w:highlight w:val="white"/>
          <w:lang w:val="en-GB"/>
        </w:rPr>
        <w:t xml:space="preserve">Statutory interpretation </w:t>
      </w:r>
      <w:r w:rsidRPr="000D3BEC">
        <w:rPr>
          <w:rFonts w:ascii="Times New Roman" w:eastAsia="Times New Roman" w:hAnsi="Times New Roman" w:cs="Times New Roman"/>
          <w:color w:val="000000" w:themeColor="text1"/>
          <w:sz w:val="24"/>
          <w:szCs w:val="24"/>
          <w:highlight w:val="white"/>
          <w:lang w:val="en-GB"/>
        </w:rPr>
        <w:t xml:space="preserve">is the process that helps the court in interpreting and applying legislation. The language of the statute plays a significant role, as it does not include any additional rules of interpretation. However, statutory can be illustrated by particular definitions from any individual acts such as </w:t>
      </w:r>
      <w:r w:rsidRPr="000D3BEC">
        <w:rPr>
          <w:rFonts w:ascii="Times New Roman" w:eastAsia="Times New Roman" w:hAnsi="Times New Roman" w:cs="Times New Roman"/>
          <w:b/>
          <w:i/>
          <w:color w:val="000000" w:themeColor="text1"/>
          <w:sz w:val="24"/>
          <w:szCs w:val="24"/>
          <w:highlight w:val="white"/>
          <w:lang w:val="en-GB"/>
        </w:rPr>
        <w:t>‘General Clauses Act 1897”</w:t>
      </w:r>
      <w:r w:rsidRPr="000D3BEC">
        <w:rPr>
          <w:rFonts w:ascii="Times New Roman" w:eastAsia="Times New Roman" w:hAnsi="Times New Roman" w:cs="Times New Roman"/>
          <w:color w:val="000000" w:themeColor="text1"/>
          <w:sz w:val="24"/>
          <w:szCs w:val="24"/>
          <w:highlight w:val="white"/>
          <w:lang w:val="en-GB"/>
        </w:rPr>
        <w:t xml:space="preserve">. On the other hand, Macleod (2019), demonstrates that non-statutory can be illustrated by common rules and case laws that are related to the interpretation of the statuses. However, there are some differences between grammatical interpretations and logical interpretations. </w:t>
      </w:r>
      <w:proofErr w:type="spellStart"/>
      <w:r w:rsidRPr="000D3BEC">
        <w:rPr>
          <w:rFonts w:ascii="Times New Roman" w:eastAsia="Times New Roman" w:hAnsi="Times New Roman" w:cs="Times New Roman"/>
          <w:color w:val="000000" w:themeColor="text1"/>
          <w:sz w:val="24"/>
          <w:szCs w:val="24"/>
          <w:highlight w:val="white"/>
          <w:lang w:val="en-GB"/>
        </w:rPr>
        <w:t>Shobe</w:t>
      </w:r>
      <w:proofErr w:type="spellEnd"/>
      <w:r w:rsidRPr="000D3BEC">
        <w:rPr>
          <w:rFonts w:ascii="Times New Roman" w:eastAsia="Times New Roman" w:hAnsi="Times New Roman" w:cs="Times New Roman"/>
          <w:color w:val="000000" w:themeColor="text1"/>
          <w:sz w:val="24"/>
          <w:szCs w:val="24"/>
          <w:highlight w:val="white"/>
          <w:lang w:val="en-GB"/>
        </w:rPr>
        <w:t xml:space="preserve"> (2019) stated that grammatical interpretation is considered a letter of law whereas logical interpretation is the spirit of laws.    </w:t>
      </w:r>
    </w:p>
    <w:p w14:paraId="54FD7231" w14:textId="77777777" w:rsidR="00B30E89" w:rsidRPr="000D3BEC" w:rsidRDefault="00587AF3" w:rsidP="000D3BEC">
      <w:pPr>
        <w:spacing w:before="240" w:line="360" w:lineRule="auto"/>
        <w:jc w:val="both"/>
        <w:rPr>
          <w:rFonts w:ascii="Times New Roman" w:hAnsi="Times New Roman" w:cs="Times New Roman"/>
          <w:color w:val="000000" w:themeColor="text1"/>
          <w:sz w:val="24"/>
          <w:szCs w:val="24"/>
        </w:rPr>
      </w:pPr>
      <w:r w:rsidRPr="000D3BEC">
        <w:rPr>
          <w:rFonts w:ascii="Times New Roman" w:hAnsi="Times New Roman" w:cs="Times New Roman"/>
          <w:bCs/>
          <w:color w:val="000000" w:themeColor="text1"/>
          <w:sz w:val="24"/>
          <w:szCs w:val="24"/>
          <w:shd w:val="clear" w:color="auto" w:fill="FFFFFF"/>
        </w:rPr>
        <w:t xml:space="preserve">The law called by UK courts is termed statutory law. The Parliament is responsible for </w:t>
      </w:r>
      <w:r w:rsidR="00216844" w:rsidRPr="000D3BEC">
        <w:rPr>
          <w:rFonts w:ascii="Times New Roman" w:hAnsi="Times New Roman" w:cs="Times New Roman"/>
          <w:bCs/>
          <w:color w:val="000000" w:themeColor="text1"/>
          <w:sz w:val="24"/>
          <w:szCs w:val="24"/>
          <w:shd w:val="clear" w:color="auto" w:fill="FFFFFF"/>
        </w:rPr>
        <w:t>creating</w:t>
      </w:r>
      <w:r w:rsidRPr="000D3BEC">
        <w:rPr>
          <w:rFonts w:ascii="Times New Roman" w:hAnsi="Times New Roman" w:cs="Times New Roman"/>
          <w:bCs/>
          <w:color w:val="000000" w:themeColor="text1"/>
          <w:sz w:val="24"/>
          <w:szCs w:val="24"/>
          <w:shd w:val="clear" w:color="auto" w:fill="FFFFFF"/>
        </w:rPr>
        <w:t xml:space="preserve"> laws </w:t>
      </w:r>
      <w:r w:rsidR="00216844" w:rsidRPr="000D3BEC">
        <w:rPr>
          <w:rFonts w:ascii="Times New Roman" w:hAnsi="Times New Roman" w:cs="Times New Roman"/>
          <w:bCs/>
          <w:color w:val="000000" w:themeColor="text1"/>
          <w:sz w:val="24"/>
          <w:szCs w:val="24"/>
          <w:shd w:val="clear" w:color="auto" w:fill="FFFFFF"/>
        </w:rPr>
        <w:t>while</w:t>
      </w:r>
      <w:r w:rsidRPr="000D3BEC">
        <w:rPr>
          <w:rFonts w:ascii="Times New Roman" w:hAnsi="Times New Roman" w:cs="Times New Roman"/>
          <w:bCs/>
          <w:color w:val="000000" w:themeColor="text1"/>
          <w:sz w:val="24"/>
          <w:szCs w:val="24"/>
          <w:shd w:val="clear" w:color="auto" w:fill="FFFFFF"/>
        </w:rPr>
        <w:t xml:space="preserve"> using statutory based interpretations. It is done so to avoid ambiguous interpretations and maintain clear </w:t>
      </w:r>
      <w:r w:rsidR="00216844" w:rsidRPr="000D3BEC">
        <w:rPr>
          <w:rFonts w:ascii="Times New Roman" w:hAnsi="Times New Roman" w:cs="Times New Roman"/>
          <w:bCs/>
          <w:color w:val="000000" w:themeColor="text1"/>
          <w:sz w:val="24"/>
          <w:szCs w:val="24"/>
          <w:shd w:val="clear" w:color="auto" w:fill="FFFFFF"/>
        </w:rPr>
        <w:t>interpretation</w:t>
      </w:r>
      <w:r w:rsidRPr="000D3BEC">
        <w:rPr>
          <w:rFonts w:ascii="Times New Roman" w:hAnsi="Times New Roman" w:cs="Times New Roman"/>
          <w:bCs/>
          <w:color w:val="000000" w:themeColor="text1"/>
          <w:sz w:val="24"/>
          <w:szCs w:val="24"/>
          <w:shd w:val="clear" w:color="auto" w:fill="FFFFFF"/>
        </w:rPr>
        <w:t xml:space="preserve">. On </w:t>
      </w:r>
      <w:r w:rsidR="005D71E1" w:rsidRPr="000D3BEC">
        <w:rPr>
          <w:rFonts w:ascii="Times New Roman" w:hAnsi="Times New Roman" w:cs="Times New Roman"/>
          <w:bCs/>
          <w:color w:val="000000" w:themeColor="text1"/>
          <w:sz w:val="24"/>
          <w:szCs w:val="24"/>
          <w:shd w:val="clear" w:color="auto" w:fill="FFFFFF"/>
        </w:rPr>
        <w:t>the other hand, Appleby and Carter (2021</w:t>
      </w:r>
      <w:r w:rsidRPr="000D3BEC">
        <w:rPr>
          <w:rFonts w:ascii="Times New Roman" w:hAnsi="Times New Roman" w:cs="Times New Roman"/>
          <w:bCs/>
          <w:color w:val="000000" w:themeColor="text1"/>
          <w:sz w:val="24"/>
          <w:szCs w:val="24"/>
          <w:shd w:val="clear" w:color="auto" w:fill="FFFFFF"/>
        </w:rPr>
        <w:t xml:space="preserve">) argued that some wordings and </w:t>
      </w:r>
      <w:r w:rsidR="00216844" w:rsidRPr="000D3BEC">
        <w:rPr>
          <w:rFonts w:ascii="Times New Roman" w:hAnsi="Times New Roman" w:cs="Times New Roman"/>
          <w:bCs/>
          <w:color w:val="000000" w:themeColor="text1"/>
          <w:sz w:val="24"/>
          <w:szCs w:val="24"/>
          <w:shd w:val="clear" w:color="auto" w:fill="FFFFFF"/>
        </w:rPr>
        <w:t>explanations</w:t>
      </w:r>
      <w:r w:rsidRPr="000D3BEC">
        <w:rPr>
          <w:rFonts w:ascii="Times New Roman" w:hAnsi="Times New Roman" w:cs="Times New Roman"/>
          <w:bCs/>
          <w:color w:val="000000" w:themeColor="text1"/>
          <w:sz w:val="24"/>
          <w:szCs w:val="24"/>
          <w:shd w:val="clear" w:color="auto" w:fill="FFFFFF"/>
        </w:rPr>
        <w:t xml:space="preserve"> in statutes may be ambiguous </w:t>
      </w:r>
      <w:r w:rsidR="00216844" w:rsidRPr="000D3BEC">
        <w:rPr>
          <w:rFonts w:ascii="Times New Roman" w:hAnsi="Times New Roman" w:cs="Times New Roman"/>
          <w:bCs/>
          <w:color w:val="000000" w:themeColor="text1"/>
          <w:sz w:val="24"/>
          <w:szCs w:val="24"/>
          <w:shd w:val="clear" w:color="auto" w:fill="FFFFFF"/>
        </w:rPr>
        <w:t xml:space="preserve">and eventually the interpretation gets complex. For this reason, the judges are appointed for the meaning interpretation of statutes with reference to the Rules of Statutory Interpretation. </w:t>
      </w:r>
      <w:r w:rsidRPr="000D3BEC">
        <w:rPr>
          <w:rFonts w:ascii="Times New Roman" w:hAnsi="Times New Roman" w:cs="Times New Roman"/>
          <w:bCs/>
          <w:color w:val="000000" w:themeColor="text1"/>
          <w:sz w:val="24"/>
          <w:szCs w:val="24"/>
          <w:shd w:val="clear" w:color="auto" w:fill="FFFFFF"/>
        </w:rPr>
        <w:t xml:space="preserve"> </w:t>
      </w:r>
      <w:r w:rsidR="00216844" w:rsidRPr="000D3BEC">
        <w:rPr>
          <w:rFonts w:ascii="Times New Roman" w:hAnsi="Times New Roman" w:cs="Times New Roman"/>
          <w:bCs/>
          <w:color w:val="000000" w:themeColor="text1"/>
          <w:sz w:val="24"/>
          <w:szCs w:val="24"/>
          <w:shd w:val="clear" w:color="auto" w:fill="FFFFFF"/>
        </w:rPr>
        <w:t xml:space="preserve">The literal rule, the golden rule, the mischief rule, and the purposive method are the four rules of statutory interpretation. </w:t>
      </w:r>
      <w:r w:rsidRPr="000D3BEC">
        <w:rPr>
          <w:rFonts w:ascii="Times New Roman" w:hAnsi="Times New Roman" w:cs="Times New Roman"/>
          <w:color w:val="000000" w:themeColor="text1"/>
          <w:sz w:val="24"/>
          <w:szCs w:val="24"/>
        </w:rPr>
        <w:t xml:space="preserve">Modern statutory interpretation, on the other hand, has moved closer to the common law method in many areas. By common law technique, I mean the well-known </w:t>
      </w:r>
      <w:r w:rsidR="00216844" w:rsidRPr="000D3BEC">
        <w:rPr>
          <w:rFonts w:ascii="Times New Roman" w:hAnsi="Times New Roman" w:cs="Times New Roman"/>
          <w:color w:val="000000" w:themeColor="text1"/>
          <w:sz w:val="24"/>
          <w:szCs w:val="24"/>
        </w:rPr>
        <w:t>practice</w:t>
      </w:r>
      <w:r w:rsidRPr="000D3BEC">
        <w:rPr>
          <w:rFonts w:ascii="Times New Roman" w:hAnsi="Times New Roman" w:cs="Times New Roman"/>
          <w:color w:val="000000" w:themeColor="text1"/>
          <w:sz w:val="24"/>
          <w:szCs w:val="24"/>
        </w:rPr>
        <w:t xml:space="preserve"> of extrapolating fundamental principles and values from a variety of sources in order to determine which rule should be applied to the particular instance at hand.</w:t>
      </w:r>
    </w:p>
    <w:p w14:paraId="1A12A2E9" w14:textId="77777777" w:rsidR="00216844"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The goal of statutory interpretation is to assist the judge in determining the Legislature's meaning. It is not to limit or control that aim within the parameters that the Judge may find reasonable or expedient.</w:t>
      </w:r>
      <w:r w:rsidR="005D71E1" w:rsidRPr="000D3BEC">
        <w:rPr>
          <w:rFonts w:ascii="Times New Roman" w:hAnsi="Times New Roman" w:cs="Times New Roman"/>
          <w:bCs/>
          <w:color w:val="000000" w:themeColor="text1"/>
          <w:sz w:val="24"/>
          <w:szCs w:val="24"/>
          <w:shd w:val="clear" w:color="auto" w:fill="FFFFFF"/>
        </w:rPr>
        <w:t xml:space="preserve"> As per the views of Young (2018</w:t>
      </w:r>
      <w:r w:rsidR="00892AFA" w:rsidRPr="000D3BEC">
        <w:rPr>
          <w:rFonts w:ascii="Times New Roman" w:hAnsi="Times New Roman" w:cs="Times New Roman"/>
          <w:bCs/>
          <w:color w:val="000000" w:themeColor="text1"/>
          <w:sz w:val="24"/>
          <w:szCs w:val="24"/>
          <w:shd w:val="clear" w:color="auto" w:fill="FFFFFF"/>
        </w:rPr>
        <w:t>), the use of statuary interpretation law often lessens the legislation stat</w:t>
      </w:r>
      <w:r w:rsidR="00F53F7E" w:rsidRPr="000D3BEC">
        <w:rPr>
          <w:rFonts w:ascii="Times New Roman" w:hAnsi="Times New Roman" w:cs="Times New Roman"/>
          <w:bCs/>
          <w:color w:val="000000" w:themeColor="text1"/>
          <w:sz w:val="24"/>
          <w:szCs w:val="24"/>
          <w:shd w:val="clear" w:color="auto" w:fill="FFFFFF"/>
        </w:rPr>
        <w:t>us, which is the pri</w:t>
      </w:r>
      <w:r w:rsidR="00892AFA" w:rsidRPr="000D3BEC">
        <w:rPr>
          <w:rFonts w:ascii="Times New Roman" w:hAnsi="Times New Roman" w:cs="Times New Roman"/>
          <w:bCs/>
          <w:color w:val="000000" w:themeColor="text1"/>
          <w:sz w:val="24"/>
          <w:szCs w:val="24"/>
          <w:shd w:val="clear" w:color="auto" w:fill="FFFFFF"/>
        </w:rPr>
        <w:t xml:space="preserve">mary source of UK law. In this context, the </w:t>
      </w:r>
      <w:r w:rsidR="00F53F7E" w:rsidRPr="000D3BEC">
        <w:rPr>
          <w:rFonts w:ascii="Times New Roman" w:hAnsi="Times New Roman" w:cs="Times New Roman"/>
          <w:bCs/>
          <w:color w:val="000000" w:themeColor="text1"/>
          <w:sz w:val="24"/>
          <w:szCs w:val="24"/>
          <w:shd w:val="clear" w:color="auto" w:fill="FFFFFF"/>
        </w:rPr>
        <w:t>interpretation</w:t>
      </w:r>
      <w:r w:rsidR="00892AFA" w:rsidRPr="000D3BEC">
        <w:rPr>
          <w:rFonts w:ascii="Times New Roman" w:hAnsi="Times New Roman" w:cs="Times New Roman"/>
          <w:bCs/>
          <w:color w:val="000000" w:themeColor="text1"/>
          <w:sz w:val="24"/>
          <w:szCs w:val="24"/>
          <w:shd w:val="clear" w:color="auto" w:fill="FFFFFF"/>
        </w:rPr>
        <w:t xml:space="preserve"> done by the judges is often laced with </w:t>
      </w:r>
      <w:r w:rsidR="00F53F7E" w:rsidRPr="000D3BEC">
        <w:rPr>
          <w:rFonts w:ascii="Times New Roman" w:hAnsi="Times New Roman" w:cs="Times New Roman"/>
          <w:bCs/>
          <w:color w:val="000000" w:themeColor="text1"/>
          <w:sz w:val="24"/>
          <w:szCs w:val="24"/>
          <w:shd w:val="clear" w:color="auto" w:fill="FFFFFF"/>
        </w:rPr>
        <w:t>biased</w:t>
      </w:r>
      <w:r w:rsidR="00892AFA" w:rsidRPr="000D3BEC">
        <w:rPr>
          <w:rFonts w:ascii="Times New Roman" w:hAnsi="Times New Roman" w:cs="Times New Roman"/>
          <w:bCs/>
          <w:color w:val="000000" w:themeColor="text1"/>
          <w:sz w:val="24"/>
          <w:szCs w:val="24"/>
          <w:shd w:val="clear" w:color="auto" w:fill="FFFFFF"/>
        </w:rPr>
        <w:t xml:space="preserve"> or personal </w:t>
      </w:r>
      <w:r w:rsidR="00F53F7E" w:rsidRPr="000D3BEC">
        <w:rPr>
          <w:rFonts w:ascii="Times New Roman" w:hAnsi="Times New Roman" w:cs="Times New Roman"/>
          <w:bCs/>
          <w:color w:val="000000" w:themeColor="text1"/>
          <w:sz w:val="24"/>
          <w:szCs w:val="24"/>
          <w:shd w:val="clear" w:color="auto" w:fill="FFFFFF"/>
        </w:rPr>
        <w:t>interpretation</w:t>
      </w:r>
      <w:r w:rsidR="00892AFA" w:rsidRPr="000D3BEC">
        <w:rPr>
          <w:rFonts w:ascii="Times New Roman" w:hAnsi="Times New Roman" w:cs="Times New Roman"/>
          <w:bCs/>
          <w:color w:val="000000" w:themeColor="text1"/>
          <w:sz w:val="24"/>
          <w:szCs w:val="24"/>
          <w:shd w:val="clear" w:color="auto" w:fill="FFFFFF"/>
        </w:rPr>
        <w:t>. Nonetheless, the st</w:t>
      </w:r>
      <w:r w:rsidR="00F53F7E" w:rsidRPr="000D3BEC">
        <w:rPr>
          <w:rFonts w:ascii="Times New Roman" w:hAnsi="Times New Roman" w:cs="Times New Roman"/>
          <w:bCs/>
          <w:color w:val="000000" w:themeColor="text1"/>
          <w:sz w:val="24"/>
          <w:szCs w:val="24"/>
          <w:shd w:val="clear" w:color="auto" w:fill="FFFFFF"/>
        </w:rPr>
        <w:t>atutory interpretati</w:t>
      </w:r>
      <w:r w:rsidR="00892AFA" w:rsidRPr="000D3BEC">
        <w:rPr>
          <w:rFonts w:ascii="Times New Roman" w:hAnsi="Times New Roman" w:cs="Times New Roman"/>
          <w:bCs/>
          <w:color w:val="000000" w:themeColor="text1"/>
          <w:sz w:val="24"/>
          <w:szCs w:val="24"/>
          <w:shd w:val="clear" w:color="auto" w:fill="FFFFFF"/>
        </w:rPr>
        <w:t xml:space="preserve">on can lead to changes in the </w:t>
      </w:r>
      <w:r w:rsidR="00F53F7E" w:rsidRPr="000D3BEC">
        <w:rPr>
          <w:rFonts w:ascii="Times New Roman" w:hAnsi="Times New Roman" w:cs="Times New Roman"/>
          <w:bCs/>
          <w:color w:val="000000" w:themeColor="text1"/>
          <w:sz w:val="24"/>
          <w:szCs w:val="24"/>
          <w:shd w:val="clear" w:color="auto" w:fill="FFFFFF"/>
        </w:rPr>
        <w:t>action</w:t>
      </w:r>
      <w:r w:rsidR="00892AFA" w:rsidRPr="000D3BEC">
        <w:rPr>
          <w:rFonts w:ascii="Times New Roman" w:hAnsi="Times New Roman" w:cs="Times New Roman"/>
          <w:bCs/>
          <w:color w:val="000000" w:themeColor="text1"/>
          <w:sz w:val="24"/>
          <w:szCs w:val="24"/>
          <w:shd w:val="clear" w:color="auto" w:fill="FFFFFF"/>
        </w:rPr>
        <w:t xml:space="preserve">, law or can identify the loophole in UK law as created by Parliament. </w:t>
      </w:r>
      <w:r w:rsidR="00F53F7E" w:rsidRPr="000D3BEC">
        <w:rPr>
          <w:rFonts w:ascii="Times New Roman" w:hAnsi="Times New Roman" w:cs="Times New Roman"/>
          <w:bCs/>
          <w:color w:val="000000" w:themeColor="text1"/>
          <w:sz w:val="24"/>
          <w:szCs w:val="24"/>
          <w:shd w:val="clear" w:color="auto" w:fill="FFFFFF"/>
        </w:rPr>
        <w:t>However</w:t>
      </w:r>
      <w:r w:rsidR="005D71E1" w:rsidRPr="000D3BEC">
        <w:rPr>
          <w:rFonts w:ascii="Times New Roman" w:hAnsi="Times New Roman" w:cs="Times New Roman"/>
          <w:bCs/>
          <w:color w:val="000000" w:themeColor="text1"/>
          <w:sz w:val="24"/>
          <w:szCs w:val="24"/>
          <w:shd w:val="clear" w:color="auto" w:fill="FFFFFF"/>
        </w:rPr>
        <w:t>, Appleby and Carter (2021</w:t>
      </w:r>
      <w:r w:rsidR="00892AFA" w:rsidRPr="000D3BEC">
        <w:rPr>
          <w:rFonts w:ascii="Times New Roman" w:hAnsi="Times New Roman" w:cs="Times New Roman"/>
          <w:bCs/>
          <w:color w:val="000000" w:themeColor="text1"/>
          <w:sz w:val="24"/>
          <w:szCs w:val="24"/>
          <w:shd w:val="clear" w:color="auto" w:fill="FFFFFF"/>
        </w:rPr>
        <w:t xml:space="preserve">) argued that the purpose of statutory interpretation </w:t>
      </w:r>
      <w:r w:rsidR="00F97F88" w:rsidRPr="000D3BEC">
        <w:rPr>
          <w:rFonts w:ascii="Times New Roman" w:hAnsi="Times New Roman" w:cs="Times New Roman"/>
          <w:bCs/>
          <w:color w:val="000000" w:themeColor="text1"/>
          <w:sz w:val="24"/>
          <w:szCs w:val="24"/>
          <w:shd w:val="clear" w:color="auto" w:fill="FFFFFF"/>
        </w:rPr>
        <w:t xml:space="preserve">is the part of constitutional law, which has evolved gradually throughout time. </w:t>
      </w:r>
    </w:p>
    <w:p w14:paraId="580087B4" w14:textId="77777777" w:rsidR="005E0A7E"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 xml:space="preserve">The concept of </w:t>
      </w:r>
      <w:r w:rsidR="00224C98">
        <w:rPr>
          <w:rFonts w:ascii="Times New Roman" w:hAnsi="Times New Roman" w:cs="Times New Roman"/>
          <w:bCs/>
          <w:color w:val="000000" w:themeColor="text1"/>
          <w:sz w:val="24"/>
          <w:szCs w:val="24"/>
          <w:shd w:val="clear" w:color="auto" w:fill="FFFFFF"/>
        </w:rPr>
        <w:t>“</w:t>
      </w:r>
      <w:r w:rsidRPr="000D3BEC">
        <w:rPr>
          <w:rFonts w:ascii="Times New Roman" w:hAnsi="Times New Roman" w:cs="Times New Roman"/>
          <w:bCs/>
          <w:color w:val="000000" w:themeColor="text1"/>
          <w:sz w:val="24"/>
          <w:szCs w:val="24"/>
          <w:shd w:val="clear" w:color="auto" w:fill="FFFFFF"/>
        </w:rPr>
        <w:t>statutory interpretation</w:t>
      </w:r>
      <w:r w:rsidR="00224C98">
        <w:rPr>
          <w:rFonts w:ascii="Times New Roman" w:hAnsi="Times New Roman" w:cs="Times New Roman"/>
          <w:bCs/>
          <w:color w:val="000000" w:themeColor="text1"/>
          <w:sz w:val="24"/>
          <w:szCs w:val="24"/>
          <w:shd w:val="clear" w:color="auto" w:fill="FFFFFF"/>
        </w:rPr>
        <w:t>”</w:t>
      </w:r>
      <w:r w:rsidRPr="000D3BEC">
        <w:rPr>
          <w:rFonts w:ascii="Times New Roman" w:hAnsi="Times New Roman" w:cs="Times New Roman"/>
          <w:bCs/>
          <w:color w:val="000000" w:themeColor="text1"/>
          <w:sz w:val="24"/>
          <w:szCs w:val="24"/>
          <w:shd w:val="clear" w:color="auto" w:fill="FFFFFF"/>
        </w:rPr>
        <w:t xml:space="preserve"> cannot remain static. As new facts </w:t>
      </w:r>
      <w:r w:rsidR="00ED574B">
        <w:rPr>
          <w:rFonts w:ascii="Times New Roman" w:hAnsi="Times New Roman" w:cs="Times New Roman"/>
          <w:bCs/>
          <w:color w:val="000000" w:themeColor="text1"/>
          <w:sz w:val="24"/>
          <w:szCs w:val="24"/>
          <w:shd w:val="clear" w:color="auto" w:fill="FFFFFF"/>
        </w:rPr>
        <w:t>as well as</w:t>
      </w:r>
      <w:r w:rsidRPr="000D3BEC">
        <w:rPr>
          <w:rFonts w:ascii="Times New Roman" w:hAnsi="Times New Roman" w:cs="Times New Roman"/>
          <w:bCs/>
          <w:color w:val="000000" w:themeColor="text1"/>
          <w:sz w:val="24"/>
          <w:szCs w:val="24"/>
          <w:shd w:val="clear" w:color="auto" w:fill="FFFFFF"/>
        </w:rPr>
        <w:t xml:space="preserve"> circumstances emerge, </w:t>
      </w:r>
      <w:r w:rsidR="00135D94">
        <w:rPr>
          <w:rFonts w:ascii="Times New Roman" w:hAnsi="Times New Roman" w:cs="Times New Roman"/>
          <w:bCs/>
          <w:color w:val="000000" w:themeColor="text1"/>
          <w:sz w:val="24"/>
          <w:szCs w:val="24"/>
          <w:shd w:val="clear" w:color="auto" w:fill="FFFFFF"/>
        </w:rPr>
        <w:t xml:space="preserve">interpreting statutes becomes an </w:t>
      </w:r>
      <w:r w:rsidR="00F9394E">
        <w:rPr>
          <w:rFonts w:ascii="Times New Roman" w:hAnsi="Times New Roman" w:cs="Times New Roman"/>
          <w:bCs/>
          <w:color w:val="000000" w:themeColor="text1"/>
          <w:sz w:val="24"/>
          <w:szCs w:val="24"/>
          <w:shd w:val="clear" w:color="auto" w:fill="FFFFFF"/>
        </w:rPr>
        <w:t>endless</w:t>
      </w:r>
      <w:r w:rsidRPr="000D3BEC">
        <w:rPr>
          <w:rFonts w:ascii="Times New Roman" w:hAnsi="Times New Roman" w:cs="Times New Roman"/>
          <w:bCs/>
          <w:color w:val="000000" w:themeColor="text1"/>
          <w:sz w:val="24"/>
          <w:szCs w:val="24"/>
          <w:shd w:val="clear" w:color="auto" w:fill="FFFFFF"/>
        </w:rPr>
        <w:t xml:space="preserve"> process. We can state that statutory interpretation is essential for two primary reasons: to determine:</w:t>
      </w:r>
    </w:p>
    <w:p w14:paraId="2762F409" w14:textId="77777777" w:rsidR="00611AB3"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 xml:space="preserve">• </w:t>
      </w:r>
      <w:r w:rsidR="00224C98">
        <w:rPr>
          <w:rFonts w:ascii="Times New Roman" w:hAnsi="Times New Roman" w:cs="Times New Roman"/>
          <w:bCs/>
          <w:color w:val="000000" w:themeColor="text1"/>
          <w:sz w:val="24"/>
          <w:szCs w:val="24"/>
          <w:shd w:val="clear" w:color="auto" w:fill="FFFFFF"/>
        </w:rPr>
        <w:t>“</w:t>
      </w:r>
      <w:r w:rsidRPr="000D3BEC">
        <w:rPr>
          <w:rFonts w:ascii="Times New Roman" w:hAnsi="Times New Roman" w:cs="Times New Roman"/>
          <w:bCs/>
          <w:color w:val="000000" w:themeColor="text1"/>
          <w:sz w:val="24"/>
          <w:szCs w:val="24"/>
          <w:shd w:val="clear" w:color="auto" w:fill="FFFFFF"/>
        </w:rPr>
        <w:t>Legislative Language - Legislative language can be difficult for a layperson to understand, necessitating interpretation; and</w:t>
      </w:r>
      <w:r w:rsidR="00224C98">
        <w:rPr>
          <w:rFonts w:ascii="Times New Roman" w:hAnsi="Times New Roman" w:cs="Times New Roman"/>
          <w:bCs/>
          <w:color w:val="000000" w:themeColor="text1"/>
          <w:sz w:val="24"/>
          <w:szCs w:val="24"/>
          <w:shd w:val="clear" w:color="auto" w:fill="FFFFFF"/>
        </w:rPr>
        <w:t>”</w:t>
      </w:r>
      <w:r w:rsidRPr="000D3BEC">
        <w:rPr>
          <w:rFonts w:ascii="Times New Roman" w:hAnsi="Times New Roman" w:cs="Times New Roman"/>
          <w:bCs/>
          <w:color w:val="000000" w:themeColor="text1"/>
          <w:sz w:val="24"/>
          <w:szCs w:val="24"/>
          <w:shd w:val="clear" w:color="auto" w:fill="FFFFFF"/>
        </w:rPr>
        <w:t xml:space="preserve"> </w:t>
      </w:r>
    </w:p>
    <w:p w14:paraId="1A38C979" w14:textId="77777777" w:rsidR="005E0A7E"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 xml:space="preserve">• </w:t>
      </w:r>
      <w:r w:rsidR="00224C98">
        <w:rPr>
          <w:rFonts w:ascii="Times New Roman" w:hAnsi="Times New Roman" w:cs="Times New Roman"/>
          <w:bCs/>
          <w:color w:val="000000" w:themeColor="text1"/>
          <w:sz w:val="24"/>
          <w:szCs w:val="24"/>
          <w:shd w:val="clear" w:color="auto" w:fill="FFFFFF"/>
        </w:rPr>
        <w:t>“</w:t>
      </w:r>
      <w:r w:rsidRPr="000D3BEC">
        <w:rPr>
          <w:rFonts w:ascii="Times New Roman" w:hAnsi="Times New Roman" w:cs="Times New Roman"/>
          <w:bCs/>
          <w:color w:val="000000" w:themeColor="text1"/>
          <w:sz w:val="24"/>
          <w:szCs w:val="24"/>
          <w:shd w:val="clear" w:color="auto" w:fill="FFFFFF"/>
        </w:rPr>
        <w:t>Legislative Intent - Legislative intent combines two aspects:</w:t>
      </w:r>
      <w:r w:rsidR="00611AB3" w:rsidRPr="000D3BEC">
        <w:rPr>
          <w:rFonts w:ascii="Times New Roman" w:hAnsi="Times New Roman" w:cs="Times New Roman"/>
          <w:bCs/>
          <w:color w:val="000000" w:themeColor="text1"/>
          <w:sz w:val="24"/>
          <w:szCs w:val="24"/>
          <w:shd w:val="clear" w:color="auto" w:fill="FFFFFF"/>
        </w:rPr>
        <w:t xml:space="preserve"> </w:t>
      </w:r>
      <w:r w:rsidRPr="000D3BEC">
        <w:rPr>
          <w:rFonts w:ascii="Times New Roman" w:hAnsi="Times New Roman" w:cs="Times New Roman"/>
          <w:bCs/>
          <w:color w:val="000000" w:themeColor="text1"/>
          <w:sz w:val="24"/>
          <w:szCs w:val="24"/>
          <w:shd w:val="clear" w:color="auto" w:fill="FFFFFF"/>
        </w:rPr>
        <w:t>The concepts of</w:t>
      </w:r>
      <w:r w:rsidR="00611AB3" w:rsidRPr="000D3BEC">
        <w:rPr>
          <w:rFonts w:ascii="Times New Roman" w:hAnsi="Times New Roman" w:cs="Times New Roman"/>
          <w:bCs/>
          <w:color w:val="000000" w:themeColor="text1"/>
          <w:sz w:val="24"/>
          <w:szCs w:val="24"/>
          <w:shd w:val="clear" w:color="auto" w:fill="FFFFFF"/>
        </w:rPr>
        <w:t xml:space="preserve"> </w:t>
      </w:r>
      <w:r w:rsidRPr="000D3BEC">
        <w:rPr>
          <w:rFonts w:ascii="Times New Roman" w:hAnsi="Times New Roman" w:cs="Times New Roman"/>
          <w:bCs/>
          <w:color w:val="000000" w:themeColor="text1"/>
          <w:sz w:val="24"/>
          <w:szCs w:val="24"/>
          <w:shd w:val="clear" w:color="auto" w:fill="FFFFFF"/>
        </w:rPr>
        <w:t>'meaning,' 'purpose,' and 'object,' as well as the</w:t>
      </w:r>
      <w:r w:rsidR="00611AB3" w:rsidRPr="000D3BEC">
        <w:rPr>
          <w:rFonts w:ascii="Times New Roman" w:hAnsi="Times New Roman" w:cs="Times New Roman"/>
          <w:bCs/>
          <w:color w:val="000000" w:themeColor="text1"/>
          <w:sz w:val="24"/>
          <w:szCs w:val="24"/>
          <w:shd w:val="clear" w:color="auto" w:fill="FFFFFF"/>
        </w:rPr>
        <w:t xml:space="preserve"> </w:t>
      </w:r>
      <w:r w:rsidRPr="000D3BEC">
        <w:rPr>
          <w:rFonts w:ascii="Times New Roman" w:hAnsi="Times New Roman" w:cs="Times New Roman"/>
          <w:bCs/>
          <w:color w:val="000000" w:themeColor="text1"/>
          <w:sz w:val="24"/>
          <w:szCs w:val="24"/>
          <w:shd w:val="clear" w:color="auto" w:fill="FFFFFF"/>
        </w:rPr>
        <w:t>'reason' or</w:t>
      </w:r>
      <w:r w:rsidR="00611AB3" w:rsidRPr="000D3BEC">
        <w:rPr>
          <w:rFonts w:ascii="Times New Roman" w:hAnsi="Times New Roman" w:cs="Times New Roman"/>
          <w:bCs/>
          <w:color w:val="000000" w:themeColor="text1"/>
          <w:sz w:val="24"/>
          <w:szCs w:val="24"/>
          <w:shd w:val="clear" w:color="auto" w:fill="FFFFFF"/>
        </w:rPr>
        <w:t xml:space="preserve"> </w:t>
      </w:r>
      <w:r w:rsidRPr="000D3BEC">
        <w:rPr>
          <w:rFonts w:ascii="Times New Roman" w:hAnsi="Times New Roman" w:cs="Times New Roman"/>
          <w:bCs/>
          <w:color w:val="000000" w:themeColor="text1"/>
          <w:sz w:val="24"/>
          <w:szCs w:val="24"/>
          <w:shd w:val="clear" w:color="auto" w:fill="FFFFFF"/>
        </w:rPr>
        <w:t>'spirit,' pervade the statute.</w:t>
      </w:r>
      <w:r w:rsidR="00224C98">
        <w:rPr>
          <w:rFonts w:ascii="Times New Roman" w:hAnsi="Times New Roman" w:cs="Times New Roman"/>
          <w:bCs/>
          <w:color w:val="000000" w:themeColor="text1"/>
          <w:sz w:val="24"/>
          <w:szCs w:val="24"/>
          <w:shd w:val="clear" w:color="auto" w:fill="FFFFFF"/>
        </w:rPr>
        <w:t>”</w:t>
      </w:r>
    </w:p>
    <w:p w14:paraId="0F95F662" w14:textId="77777777" w:rsidR="00F97F88"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Only where the text of a statutory provision is unclear, not clear, or when two interpretations are possible, or when the law conveys alternative meanings, contradicting the purpose of the statute, would there be a need for interpretation?</w:t>
      </w:r>
    </w:p>
    <w:p w14:paraId="0719D5C3" w14:textId="77777777" w:rsidR="00611AB3"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 xml:space="preserve">Nonetheless, the application is solely dependent on the application, whether it diminishes the meaning or source of law. The application of statutory interpretation is already in UK </w:t>
      </w:r>
      <w:r w:rsidR="00540D01" w:rsidRPr="000D3BEC">
        <w:rPr>
          <w:rFonts w:ascii="Times New Roman" w:hAnsi="Times New Roman" w:cs="Times New Roman"/>
          <w:bCs/>
          <w:color w:val="000000" w:themeColor="text1"/>
          <w:sz w:val="24"/>
          <w:szCs w:val="24"/>
          <w:shd w:val="clear" w:color="auto" w:fill="FFFFFF"/>
        </w:rPr>
        <w:t xml:space="preserve">legislation </w:t>
      </w:r>
      <w:r w:rsidR="00E72D1E" w:rsidRPr="000D3BEC">
        <w:rPr>
          <w:rFonts w:ascii="Times New Roman" w:hAnsi="Times New Roman" w:cs="Times New Roman"/>
          <w:bCs/>
          <w:color w:val="000000" w:themeColor="text1"/>
          <w:sz w:val="24"/>
          <w:szCs w:val="24"/>
          <w:shd w:val="clear" w:color="auto" w:fill="FFFFFF"/>
        </w:rPr>
        <w:t>as per Parliament Sovereignty of the UK</w:t>
      </w:r>
      <w:r w:rsidR="008443C9" w:rsidRPr="000D3BEC">
        <w:rPr>
          <w:rFonts w:ascii="Times New Roman" w:hAnsi="Times New Roman" w:cs="Times New Roman"/>
          <w:bCs/>
          <w:color w:val="000000" w:themeColor="text1"/>
          <w:sz w:val="24"/>
          <w:szCs w:val="24"/>
          <w:shd w:val="clear" w:color="auto" w:fill="FFFFFF"/>
        </w:rPr>
        <w:t xml:space="preserve"> (Supreme Court UK, 2021)</w:t>
      </w:r>
      <w:r w:rsidR="00E72D1E" w:rsidRPr="000D3BEC">
        <w:rPr>
          <w:rFonts w:ascii="Times New Roman" w:hAnsi="Times New Roman" w:cs="Times New Roman"/>
          <w:bCs/>
          <w:color w:val="000000" w:themeColor="text1"/>
          <w:sz w:val="24"/>
          <w:szCs w:val="24"/>
          <w:shd w:val="clear" w:color="auto" w:fill="FFFFFF"/>
        </w:rPr>
        <w:t xml:space="preserve">. The development of power and its dissemination with the aid of statute interpretation rules can be effective in managing the cases and implanting the parliamentary legislation without any complexity.  Moreover, the statutory interpretation is used as the collaboration between courts and democratic legislatures, which helps to represent the ideas and regulatory instruction of the primary lawmaker which is the UK parliament.  </w:t>
      </w:r>
    </w:p>
    <w:p w14:paraId="052A4A3F" w14:textId="77777777" w:rsidR="000D3BEC" w:rsidRPr="000D3BEC" w:rsidRDefault="00587AF3" w:rsidP="000D3BEC">
      <w:pPr>
        <w:pStyle w:val="Normal1"/>
        <w:spacing w:before="240" w:after="240" w:line="360" w:lineRule="auto"/>
        <w:jc w:val="both"/>
        <w:rPr>
          <w:rFonts w:ascii="Times New Roman" w:eastAsia="Times New Roman" w:hAnsi="Times New Roman" w:cs="Times New Roman"/>
          <w:b/>
          <w:i/>
          <w:color w:val="000000" w:themeColor="text1"/>
          <w:sz w:val="24"/>
          <w:szCs w:val="24"/>
          <w:highlight w:val="white"/>
          <w:lang w:val="en-GB"/>
        </w:rPr>
      </w:pPr>
      <w:r w:rsidRPr="000D3BEC">
        <w:rPr>
          <w:rFonts w:ascii="Times New Roman" w:eastAsia="Times New Roman" w:hAnsi="Times New Roman" w:cs="Times New Roman"/>
          <w:b/>
          <w:i/>
          <w:color w:val="000000" w:themeColor="text1"/>
          <w:sz w:val="24"/>
          <w:szCs w:val="24"/>
          <w:highlight w:val="white"/>
          <w:lang w:val="en-GB"/>
        </w:rPr>
        <w:t>Relevant legislation and the legal process</w:t>
      </w:r>
    </w:p>
    <w:p w14:paraId="426F1366" w14:textId="77777777" w:rsidR="000D3BEC" w:rsidRPr="000D3BEC" w:rsidRDefault="00587AF3" w:rsidP="000D3BEC">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0D3BEC">
        <w:rPr>
          <w:rFonts w:ascii="Times New Roman" w:eastAsia="Times New Roman" w:hAnsi="Times New Roman" w:cs="Times New Roman"/>
          <w:color w:val="000000" w:themeColor="text1"/>
          <w:sz w:val="24"/>
          <w:szCs w:val="24"/>
          <w:highlight w:val="white"/>
          <w:lang w:val="en-GB"/>
        </w:rPr>
        <w:t xml:space="preserve">A bill needs to be debated then it has been provided by the parliament and the house of parliament approved the bill then only received by the Royal Assent. The parliament introduce a bill, some of which agreed on the policies of the government and those are being introduced by parliament (Sun, 2018). </w:t>
      </w:r>
      <w:r w:rsidRPr="000D3BEC">
        <w:rPr>
          <w:rFonts w:ascii="Times New Roman" w:eastAsia="Times New Roman" w:hAnsi="Times New Roman" w:cs="Times New Roman"/>
          <w:b/>
          <w:i/>
          <w:color w:val="000000" w:themeColor="text1"/>
          <w:sz w:val="24"/>
          <w:szCs w:val="24"/>
          <w:highlight w:val="white"/>
          <w:lang w:val="en-GB"/>
        </w:rPr>
        <w:t xml:space="preserve">“Public General Act” </w:t>
      </w:r>
      <w:r w:rsidRPr="000D3BEC">
        <w:rPr>
          <w:rFonts w:ascii="Times New Roman" w:eastAsia="Times New Roman" w:hAnsi="Times New Roman" w:cs="Times New Roman"/>
          <w:color w:val="000000" w:themeColor="text1"/>
          <w:sz w:val="24"/>
          <w:szCs w:val="24"/>
          <w:highlight w:val="white"/>
          <w:lang w:val="en-GB"/>
        </w:rPr>
        <w:t>deals with the public interest,</w:t>
      </w:r>
      <w:r w:rsidRPr="000D3BEC">
        <w:rPr>
          <w:rFonts w:ascii="Times New Roman" w:eastAsia="Times New Roman" w:hAnsi="Times New Roman" w:cs="Times New Roman"/>
          <w:b/>
          <w:i/>
          <w:color w:val="000000" w:themeColor="text1"/>
          <w:sz w:val="24"/>
          <w:szCs w:val="24"/>
          <w:highlight w:val="white"/>
          <w:lang w:val="en-GB"/>
        </w:rPr>
        <w:t xml:space="preserve"> primary legislation </w:t>
      </w:r>
      <w:r w:rsidRPr="000D3BEC">
        <w:rPr>
          <w:rFonts w:ascii="Times New Roman" w:eastAsia="Times New Roman" w:hAnsi="Times New Roman" w:cs="Times New Roman"/>
          <w:color w:val="000000" w:themeColor="text1"/>
          <w:sz w:val="24"/>
          <w:szCs w:val="24"/>
          <w:highlight w:val="white"/>
          <w:lang w:val="en-GB"/>
        </w:rPr>
        <w:t xml:space="preserve">included the acts of the parliaments or states and the </w:t>
      </w:r>
      <w:r w:rsidRPr="000D3BEC">
        <w:rPr>
          <w:rFonts w:ascii="Times New Roman" w:eastAsia="Times New Roman" w:hAnsi="Times New Roman" w:cs="Times New Roman"/>
          <w:b/>
          <w:i/>
          <w:color w:val="000000" w:themeColor="text1"/>
          <w:sz w:val="24"/>
          <w:szCs w:val="24"/>
          <w:highlight w:val="white"/>
          <w:lang w:val="en-GB"/>
        </w:rPr>
        <w:t>secondary legislation</w:t>
      </w:r>
      <w:r w:rsidRPr="000D3BEC">
        <w:rPr>
          <w:rFonts w:ascii="Times New Roman" w:eastAsia="Times New Roman" w:hAnsi="Times New Roman" w:cs="Times New Roman"/>
          <w:color w:val="000000" w:themeColor="text1"/>
          <w:sz w:val="24"/>
          <w:szCs w:val="24"/>
          <w:highlight w:val="white"/>
          <w:lang w:val="en-GB"/>
        </w:rPr>
        <w:t xml:space="preserve"> included statutory instruments such as codes, rules, regulations and orders (</w:t>
      </w:r>
      <w:proofErr w:type="spellStart"/>
      <w:r w:rsidRPr="000D3BEC">
        <w:rPr>
          <w:rFonts w:ascii="Times New Roman" w:eastAsia="Times New Roman" w:hAnsi="Times New Roman" w:cs="Times New Roman"/>
          <w:color w:val="000000" w:themeColor="text1"/>
          <w:sz w:val="24"/>
          <w:szCs w:val="24"/>
          <w:highlight w:val="white"/>
          <w:lang w:val="en-GB"/>
        </w:rPr>
        <w:t>Nedyalkova</w:t>
      </w:r>
      <w:proofErr w:type="spellEnd"/>
      <w:r w:rsidRPr="000D3BEC">
        <w:rPr>
          <w:rFonts w:ascii="Times New Roman" w:eastAsia="Times New Roman" w:hAnsi="Times New Roman" w:cs="Times New Roman"/>
          <w:i/>
          <w:color w:val="000000" w:themeColor="text1"/>
          <w:sz w:val="24"/>
          <w:szCs w:val="24"/>
          <w:highlight w:val="white"/>
          <w:lang w:val="en-GB"/>
        </w:rPr>
        <w:t xml:space="preserve"> et al., </w:t>
      </w:r>
      <w:r w:rsidRPr="000D3BEC">
        <w:rPr>
          <w:rFonts w:ascii="Times New Roman" w:eastAsia="Times New Roman" w:hAnsi="Times New Roman" w:cs="Times New Roman"/>
          <w:color w:val="000000" w:themeColor="text1"/>
          <w:sz w:val="24"/>
          <w:szCs w:val="24"/>
          <w:highlight w:val="white"/>
          <w:lang w:val="en-GB"/>
        </w:rPr>
        <w:t xml:space="preserve">2022). The legislation process includes the introduction of a bull and after the approval of the bill; it is received by the parliament. Some significant legislation includes </w:t>
      </w:r>
      <w:r w:rsidRPr="000D3BEC">
        <w:rPr>
          <w:rFonts w:ascii="Times New Roman" w:eastAsia="Times New Roman" w:hAnsi="Times New Roman" w:cs="Times New Roman"/>
          <w:b/>
          <w:color w:val="000000" w:themeColor="text1"/>
          <w:sz w:val="24"/>
          <w:szCs w:val="24"/>
          <w:highlight w:val="white"/>
          <w:lang w:val="en-GB"/>
        </w:rPr>
        <w:t>property law, contract law, criminal law, trust law, administrative law and constitutional law</w:t>
      </w:r>
      <w:r w:rsidRPr="000D3BEC">
        <w:rPr>
          <w:rFonts w:ascii="Times New Roman" w:eastAsia="Times New Roman" w:hAnsi="Times New Roman" w:cs="Times New Roman"/>
          <w:color w:val="000000" w:themeColor="text1"/>
          <w:sz w:val="24"/>
          <w:szCs w:val="24"/>
          <w:highlight w:val="white"/>
          <w:lang w:val="en-GB"/>
        </w:rPr>
        <w:t xml:space="preserve">. Those individual laws help in dealing with different activities state further help in running an effective government a swell. </w:t>
      </w:r>
    </w:p>
    <w:p w14:paraId="3A4818F4" w14:textId="77777777" w:rsidR="000D3BEC" w:rsidRPr="000D3BEC" w:rsidRDefault="00587AF3" w:rsidP="000D3BEC">
      <w:pPr>
        <w:pStyle w:val="Normal1"/>
        <w:spacing w:before="240" w:after="240" w:line="360" w:lineRule="auto"/>
        <w:rPr>
          <w:rFonts w:ascii="Times New Roman" w:eastAsia="Times New Roman" w:hAnsi="Times New Roman" w:cs="Times New Roman"/>
          <w:b/>
          <w:i/>
          <w:color w:val="000000" w:themeColor="text1"/>
          <w:sz w:val="24"/>
          <w:szCs w:val="24"/>
          <w:highlight w:val="white"/>
          <w:lang w:val="en-GB"/>
        </w:rPr>
      </w:pPr>
      <w:r w:rsidRPr="000D3BEC">
        <w:rPr>
          <w:rFonts w:ascii="Times New Roman" w:eastAsia="Times New Roman" w:hAnsi="Times New Roman" w:cs="Times New Roman"/>
          <w:b/>
          <w:i/>
          <w:color w:val="000000" w:themeColor="text1"/>
          <w:sz w:val="24"/>
          <w:szCs w:val="24"/>
          <w:highlight w:val="white"/>
          <w:lang w:val="en-GB"/>
        </w:rPr>
        <w:t xml:space="preserve">Relation between legislation, policies, and practices </w:t>
      </w:r>
    </w:p>
    <w:p w14:paraId="7AF22DDE" w14:textId="2248B836" w:rsidR="000D3BEC" w:rsidRPr="000D3BEC" w:rsidRDefault="00587AF3" w:rsidP="000D3BEC">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0D3BEC">
        <w:rPr>
          <w:rFonts w:ascii="Times New Roman" w:eastAsia="Times New Roman" w:hAnsi="Times New Roman" w:cs="Times New Roman"/>
          <w:color w:val="000000" w:themeColor="text1"/>
          <w:sz w:val="24"/>
          <w:szCs w:val="24"/>
          <w:shd w:val="clear" w:color="auto" w:fill="FBFBFB"/>
          <w:lang w:val="en-GB"/>
        </w:rPr>
        <w:t>A policy is the part of the action, which helps in the adoption of the proposition of the organization or any type of the individual. On the other hand, it has been seen that the Legislation helps in setting up the law for carrying over the procedure and the different type of organisation has to follow the rules and regulation (</w:t>
      </w:r>
      <w:r w:rsidRPr="000D3BEC">
        <w:rPr>
          <w:rFonts w:ascii="Times New Roman" w:eastAsia="Times New Roman" w:hAnsi="Times New Roman" w:cs="Times New Roman"/>
          <w:color w:val="000000" w:themeColor="text1"/>
          <w:sz w:val="24"/>
          <w:szCs w:val="24"/>
          <w:highlight w:val="white"/>
          <w:lang w:val="en-GB"/>
        </w:rPr>
        <w:t>Gales and Solan, 2019)</w:t>
      </w:r>
      <w:r w:rsidRPr="000D3BEC">
        <w:rPr>
          <w:rFonts w:ascii="Times New Roman" w:eastAsia="Times New Roman" w:hAnsi="Times New Roman" w:cs="Times New Roman"/>
          <w:color w:val="000000" w:themeColor="text1"/>
          <w:sz w:val="24"/>
          <w:szCs w:val="24"/>
          <w:shd w:val="clear" w:color="auto" w:fill="FBFBFB"/>
          <w:lang w:val="en-GB"/>
        </w:rPr>
        <w:t>.  Legislation, policies and procedure are all types of terms that have been used in the Legality process. This has been said that this policy and practice helps in taking out the guarantee bout the welfare and safety of personnel or individuals (</w:t>
      </w:r>
      <w:r w:rsidRPr="000D3BEC">
        <w:rPr>
          <w:rFonts w:ascii="Times New Roman" w:eastAsia="Times New Roman" w:hAnsi="Times New Roman" w:cs="Times New Roman"/>
          <w:color w:val="000000" w:themeColor="text1"/>
          <w:sz w:val="24"/>
          <w:szCs w:val="24"/>
          <w:highlight w:val="white"/>
          <w:lang w:val="en-GB"/>
        </w:rPr>
        <w:t>Mayo, 2022)</w:t>
      </w:r>
      <w:r w:rsidRPr="000D3BEC">
        <w:rPr>
          <w:rFonts w:ascii="Times New Roman" w:eastAsia="Times New Roman" w:hAnsi="Times New Roman" w:cs="Times New Roman"/>
          <w:color w:val="000000" w:themeColor="text1"/>
          <w:sz w:val="24"/>
          <w:szCs w:val="24"/>
          <w:shd w:val="clear" w:color="auto" w:fill="FBFBFB"/>
          <w:lang w:val="en-GB"/>
        </w:rPr>
        <w:t xml:space="preserve">. Through the legislation and procedure, there has been the possibility of setting up the rules for maintaining living at all times by every individual. Well, it can be said that these three are the legal component for serving the ultimate purpose of maintaining the immediate function of the law's </w:t>
      </w:r>
      <w:r w:rsidR="003F2DEE" w:rsidRPr="000D3BEC">
        <w:rPr>
          <w:rFonts w:ascii="Times New Roman" w:eastAsia="Times New Roman" w:hAnsi="Times New Roman" w:cs="Times New Roman"/>
          <w:color w:val="000000" w:themeColor="text1"/>
          <w:sz w:val="24"/>
          <w:szCs w:val="24"/>
          <w:shd w:val="clear" w:color="auto" w:fill="FBFBFB"/>
          <w:lang w:val="en-GB"/>
        </w:rPr>
        <w:t>regulation’s</w:t>
      </w:r>
      <w:r w:rsidRPr="000D3BEC">
        <w:rPr>
          <w:rFonts w:ascii="Times New Roman" w:eastAsia="Times New Roman" w:hAnsi="Times New Roman" w:cs="Times New Roman"/>
          <w:color w:val="000000" w:themeColor="text1"/>
          <w:sz w:val="24"/>
          <w:szCs w:val="24"/>
          <w:shd w:val="clear" w:color="auto" w:fill="FBFBFB"/>
          <w:lang w:val="en-GB"/>
        </w:rPr>
        <w:t xml:space="preserve"> purpose.</w:t>
      </w:r>
      <w:r w:rsidRPr="000D3BEC">
        <w:rPr>
          <w:rFonts w:ascii="Times New Roman" w:eastAsia="Times New Roman" w:hAnsi="Times New Roman" w:cs="Times New Roman"/>
          <w:color w:val="000000" w:themeColor="text1"/>
          <w:sz w:val="24"/>
          <w:szCs w:val="24"/>
          <w:highlight w:val="white"/>
          <w:lang w:val="en-GB"/>
        </w:rPr>
        <w:t xml:space="preserve"> </w:t>
      </w:r>
    </w:p>
    <w:p w14:paraId="37D686B3" w14:textId="77777777" w:rsidR="000D3BEC" w:rsidRPr="000D3BEC" w:rsidRDefault="000D3BEC" w:rsidP="000D3BEC">
      <w:pPr>
        <w:spacing w:before="240" w:line="360" w:lineRule="auto"/>
        <w:jc w:val="both"/>
        <w:rPr>
          <w:rFonts w:ascii="Times New Roman" w:hAnsi="Times New Roman" w:cs="Times New Roman"/>
          <w:bCs/>
          <w:color w:val="000000" w:themeColor="text1"/>
          <w:sz w:val="24"/>
          <w:szCs w:val="24"/>
          <w:shd w:val="clear" w:color="auto" w:fill="FFFFFF"/>
        </w:rPr>
      </w:pPr>
    </w:p>
    <w:p w14:paraId="3BFA4DFB" w14:textId="77777777" w:rsidR="000D3BEC" w:rsidRDefault="000D3BEC" w:rsidP="000D3BEC">
      <w:pPr>
        <w:spacing w:before="240" w:after="0" w:line="360" w:lineRule="auto"/>
        <w:jc w:val="both"/>
        <w:rPr>
          <w:rFonts w:ascii="Times New Roman" w:eastAsia="Times New Roman" w:hAnsi="Times New Roman" w:cs="Times New Roman"/>
          <w:b/>
          <w:bCs/>
          <w:color w:val="000000" w:themeColor="text1"/>
          <w:sz w:val="24"/>
          <w:szCs w:val="24"/>
          <w:shd w:val="clear" w:color="auto" w:fill="FFFFFF"/>
        </w:rPr>
      </w:pPr>
    </w:p>
    <w:p w14:paraId="0C8E5E91" w14:textId="77777777" w:rsidR="00961BB8" w:rsidRPr="000D3BEC" w:rsidRDefault="00587AF3" w:rsidP="000D3BEC">
      <w:pPr>
        <w:spacing w:before="240" w:after="0" w:line="360" w:lineRule="auto"/>
        <w:jc w:val="both"/>
        <w:rPr>
          <w:rFonts w:ascii="Times New Roman" w:eastAsia="Times New Roman" w:hAnsi="Times New Roman" w:cs="Times New Roman"/>
          <w:color w:val="000000" w:themeColor="text1"/>
          <w:sz w:val="24"/>
          <w:szCs w:val="24"/>
        </w:rPr>
      </w:pPr>
      <w:r w:rsidRPr="000D3BEC">
        <w:rPr>
          <w:rFonts w:ascii="Times New Roman" w:eastAsia="Times New Roman" w:hAnsi="Times New Roman" w:cs="Times New Roman"/>
          <w:b/>
          <w:bCs/>
          <w:color w:val="000000" w:themeColor="text1"/>
          <w:sz w:val="24"/>
          <w:szCs w:val="24"/>
          <w:shd w:val="clear" w:color="auto" w:fill="FFFFFF"/>
        </w:rPr>
        <w:t>Obstacles of Statutory interpretation </w:t>
      </w:r>
    </w:p>
    <w:p w14:paraId="4CCEA5FC" w14:textId="30685D26" w:rsidR="00961BB8" w:rsidRPr="000D3BEC" w:rsidRDefault="00587AF3" w:rsidP="000D3BEC">
      <w:pPr>
        <w:spacing w:before="240" w:after="0" w:line="360" w:lineRule="auto"/>
        <w:jc w:val="both"/>
        <w:rPr>
          <w:rFonts w:ascii="Times New Roman" w:eastAsia="Times New Roman" w:hAnsi="Times New Roman" w:cs="Times New Roman"/>
          <w:color w:val="000000" w:themeColor="text1"/>
          <w:sz w:val="24"/>
          <w:szCs w:val="24"/>
        </w:rPr>
      </w:pPr>
      <w:r w:rsidRPr="000D3BEC">
        <w:rPr>
          <w:rFonts w:ascii="Times New Roman" w:eastAsia="Times New Roman" w:hAnsi="Times New Roman" w:cs="Times New Roman"/>
          <w:color w:val="000000" w:themeColor="text1"/>
          <w:sz w:val="24"/>
          <w:szCs w:val="24"/>
          <w:shd w:val="clear" w:color="auto" w:fill="FFFFFF"/>
        </w:rPr>
        <w:t xml:space="preserve">The approach of the purposiveness of the factor can be seemed to be considered the predominant approach that can be considered to be the situation factor for the interpretation in the United Kingdom. Most importantly, it can be considered to consist of flawed rules such as the literal factor by casting aside the factors of the golden rule. Similarly, this may tend to help the judge of various courts to gain an upper hand on the factors of reasoning the final judgment.  On the other hand, it may tend to reflect that the interpreted statutes may not tend to reflect that sector without a static approach to the judgment (Breen </w:t>
      </w:r>
      <w:r w:rsidRPr="000D3BEC">
        <w:rPr>
          <w:rFonts w:ascii="Times New Roman" w:eastAsia="Times New Roman" w:hAnsi="Times New Roman" w:cs="Times New Roman"/>
          <w:i/>
          <w:iCs/>
          <w:color w:val="000000" w:themeColor="text1"/>
          <w:sz w:val="24"/>
          <w:szCs w:val="24"/>
          <w:shd w:val="clear" w:color="auto" w:fill="FFFFFF"/>
        </w:rPr>
        <w:t>et al</w:t>
      </w:r>
      <w:r w:rsidRPr="000D3BEC">
        <w:rPr>
          <w:rFonts w:ascii="Times New Roman" w:eastAsia="Times New Roman" w:hAnsi="Times New Roman" w:cs="Times New Roman"/>
          <w:color w:val="000000" w:themeColor="text1"/>
          <w:sz w:val="24"/>
          <w:szCs w:val="24"/>
          <w:shd w:val="clear" w:color="auto" w:fill="FFFFFF"/>
        </w:rPr>
        <w:t xml:space="preserve">. 2021). Most importantly, it may not tend to resonate with the factors.  The purposive approach may tend to resonate with the factors of the paramount aspects that can be interpreted by the European Union. Similarly, during the judgment time, the authorized body tends to give preference to the teleological factor. Most importantly it can be seen that the compatibility of the "Human rights Act 1998". On the other hand, it consists of an increase in the number of criminal factors in recent days. </w:t>
      </w:r>
      <w:r w:rsidR="003F2DEE" w:rsidRPr="000D3BEC">
        <w:rPr>
          <w:rFonts w:ascii="Times New Roman" w:eastAsia="Times New Roman" w:hAnsi="Times New Roman" w:cs="Times New Roman"/>
          <w:color w:val="000000" w:themeColor="text1"/>
          <w:sz w:val="24"/>
          <w:szCs w:val="24"/>
          <w:shd w:val="clear" w:color="auto" w:fill="FFFFFF"/>
        </w:rPr>
        <w:t>Therefore,</w:t>
      </w:r>
      <w:r w:rsidRPr="000D3BEC">
        <w:rPr>
          <w:rFonts w:ascii="Times New Roman" w:eastAsia="Times New Roman" w:hAnsi="Times New Roman" w:cs="Times New Roman"/>
          <w:color w:val="000000" w:themeColor="text1"/>
          <w:sz w:val="24"/>
          <w:szCs w:val="24"/>
          <w:shd w:val="clear" w:color="auto" w:fill="FFFFFF"/>
        </w:rPr>
        <w:t xml:space="preserve"> the courts of The United Kingdom tend to be strict constructionist of the point of view for the wider factor of adoption. Eventually, the interpreting status in the United Kingdom makes the purposive approach more dominant. </w:t>
      </w:r>
    </w:p>
    <w:p w14:paraId="2EC28F10" w14:textId="77777777" w:rsidR="00961BB8" w:rsidRPr="000D3BEC" w:rsidRDefault="00587AF3" w:rsidP="000D3BEC">
      <w:pPr>
        <w:spacing w:before="240" w:after="0" w:line="360" w:lineRule="auto"/>
        <w:jc w:val="both"/>
        <w:rPr>
          <w:rFonts w:ascii="Times New Roman" w:eastAsia="Times New Roman" w:hAnsi="Times New Roman" w:cs="Times New Roman"/>
          <w:color w:val="000000" w:themeColor="text1"/>
          <w:sz w:val="24"/>
          <w:szCs w:val="24"/>
        </w:rPr>
      </w:pPr>
      <w:r w:rsidRPr="000D3BEC">
        <w:rPr>
          <w:rFonts w:ascii="Times New Roman" w:eastAsia="Times New Roman" w:hAnsi="Times New Roman" w:cs="Times New Roman"/>
          <w:b/>
          <w:bCs/>
          <w:color w:val="000000" w:themeColor="text1"/>
          <w:sz w:val="24"/>
          <w:szCs w:val="24"/>
          <w:shd w:val="clear" w:color="auto" w:fill="FFFFFF"/>
        </w:rPr>
        <w:t>Rules behind the statutory interpretation</w:t>
      </w:r>
    </w:p>
    <w:p w14:paraId="78F71C78" w14:textId="77777777" w:rsidR="00961BB8" w:rsidRPr="000D3BEC" w:rsidRDefault="00587AF3" w:rsidP="000D3BEC">
      <w:pPr>
        <w:spacing w:before="240" w:line="360" w:lineRule="auto"/>
        <w:jc w:val="both"/>
        <w:rPr>
          <w:rFonts w:ascii="Times New Roman" w:eastAsia="Times New Roman" w:hAnsi="Times New Roman" w:cs="Times New Roman"/>
          <w:color w:val="000000" w:themeColor="text1"/>
          <w:sz w:val="24"/>
          <w:szCs w:val="24"/>
          <w:shd w:val="clear" w:color="auto" w:fill="FBFBFB"/>
        </w:rPr>
      </w:pPr>
      <w:r w:rsidRPr="000D3BEC">
        <w:rPr>
          <w:rFonts w:ascii="Times New Roman" w:eastAsia="Times New Roman" w:hAnsi="Times New Roman" w:cs="Times New Roman"/>
          <w:color w:val="000000" w:themeColor="text1"/>
          <w:sz w:val="24"/>
          <w:szCs w:val="24"/>
          <w:shd w:val="clear" w:color="auto" w:fill="FFFFFF"/>
        </w:rPr>
        <w:t xml:space="preserve">The rules behind the statutory interpretation can be considered to be a wider spectrum of the label codes that helps to demonstrate the pathway of complex mechanisms. The labels of the rules behind the statutory interpretation demonstrate that the evolution and development of laws may take place co-relating with the factors of the errors that seem to be not noticed by the authorized body of the United Kingdom. Similarly, the literal rule of the interpreted factor may not seem to be ordinary or literal in any spectrum. On the other hand, it can be seen that the judges of any court in the United Kingdom may not tend to make law without the consent of the parliamentary factor. Similarly, the rules may tend to pose an upper hand on the factors of mitigating the hurdles and the separation of powers must be preserved appropriately. </w:t>
      </w:r>
      <w:r w:rsidRPr="000D3BEC">
        <w:rPr>
          <w:rFonts w:ascii="Times New Roman" w:eastAsia="Times New Roman" w:hAnsi="Times New Roman" w:cs="Times New Roman"/>
          <w:color w:val="000000" w:themeColor="text1"/>
          <w:sz w:val="24"/>
          <w:szCs w:val="24"/>
          <w:shd w:val="clear" w:color="auto" w:fill="FBFBFB"/>
        </w:rPr>
        <w:t>Most of the models which have been related to the argument that has been seen fall under the category such as the “Case-Based” “Legal Discourse Model” (</w:t>
      </w:r>
      <w:r w:rsidRPr="000D3BEC">
        <w:rPr>
          <w:rFonts w:ascii="Times New Roman" w:eastAsia="Times New Roman" w:hAnsi="Times New Roman" w:cs="Times New Roman"/>
          <w:color w:val="000000" w:themeColor="text1"/>
          <w:sz w:val="24"/>
          <w:szCs w:val="24"/>
          <w:shd w:val="clear" w:color="auto" w:fill="FFFFFF"/>
        </w:rPr>
        <w:t xml:space="preserve">Smith </w:t>
      </w:r>
      <w:r w:rsidRPr="000D3BEC">
        <w:rPr>
          <w:rFonts w:ascii="Times New Roman" w:eastAsia="Times New Roman" w:hAnsi="Times New Roman" w:cs="Times New Roman"/>
          <w:i/>
          <w:iCs/>
          <w:color w:val="000000" w:themeColor="text1"/>
          <w:sz w:val="24"/>
          <w:szCs w:val="24"/>
          <w:shd w:val="clear" w:color="auto" w:fill="FFFFFF"/>
        </w:rPr>
        <w:t xml:space="preserve">et al. </w:t>
      </w:r>
      <w:r w:rsidRPr="000D3BEC">
        <w:rPr>
          <w:rFonts w:ascii="Times New Roman" w:eastAsia="Times New Roman" w:hAnsi="Times New Roman" w:cs="Times New Roman"/>
          <w:color w:val="000000" w:themeColor="text1"/>
          <w:sz w:val="24"/>
          <w:szCs w:val="24"/>
          <w:shd w:val="clear" w:color="auto" w:fill="FFFFFF"/>
        </w:rPr>
        <w:t>2019)</w:t>
      </w:r>
      <w:r w:rsidRPr="000D3BEC">
        <w:rPr>
          <w:rFonts w:ascii="Times New Roman" w:eastAsia="Times New Roman" w:hAnsi="Times New Roman" w:cs="Times New Roman"/>
          <w:color w:val="000000" w:themeColor="text1"/>
          <w:sz w:val="24"/>
          <w:szCs w:val="24"/>
          <w:shd w:val="clear" w:color="auto" w:fill="FBFBFB"/>
        </w:rPr>
        <w:t>. As they have the proper promise regarding the proper new direction for doing the Research works regarding legal reasoning.  The legal principle is very much important for proper determination of precedent for giving relieving on the principle of starting the decision through meaning for remaining in the standing in the decision making. It actually helps in remaining certain and consistent in the application of the law.</w:t>
      </w:r>
    </w:p>
    <w:p w14:paraId="3B0C289F" w14:textId="77777777" w:rsidR="000D3BEC" w:rsidRPr="000D3BEC" w:rsidRDefault="00587AF3" w:rsidP="000D3BEC">
      <w:pPr>
        <w:pStyle w:val="Heading1"/>
        <w:rPr>
          <w:rFonts w:eastAsia="Times New Roman"/>
          <w:lang w:val="en-GB"/>
        </w:rPr>
      </w:pPr>
      <w:bookmarkStart w:id="2" w:name="_Toc102242137"/>
      <w:r w:rsidRPr="000D3BEC">
        <w:rPr>
          <w:rFonts w:eastAsia="Times New Roman"/>
          <w:lang w:val="en-GB"/>
        </w:rPr>
        <w:t>Conclusion</w:t>
      </w:r>
      <w:bookmarkEnd w:id="2"/>
    </w:p>
    <w:p w14:paraId="5C7F2D82" w14:textId="60894454" w:rsidR="000D3BEC" w:rsidRPr="000D3BEC" w:rsidRDefault="00587AF3" w:rsidP="000D3BE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0D3BEC">
        <w:rPr>
          <w:rFonts w:ascii="Times New Roman" w:eastAsia="Times New Roman" w:hAnsi="Times New Roman" w:cs="Times New Roman"/>
          <w:color w:val="000000" w:themeColor="text1"/>
          <w:sz w:val="24"/>
          <w:szCs w:val="24"/>
          <w:lang w:val="en-GB"/>
        </w:rPr>
        <w:t xml:space="preserve">The parliaments create laws using the statutory, which is based on interpretation; these legislations include various rules such as the mischief rule, the golden rule and so on. Moreover, statutory interpretation leads to significant changes in power per the perspectives of lawyers or </w:t>
      </w:r>
      <w:r w:rsidR="003F2DEE" w:rsidRPr="000D3BEC">
        <w:rPr>
          <w:rFonts w:ascii="Times New Roman" w:eastAsia="Times New Roman" w:hAnsi="Times New Roman" w:cs="Times New Roman"/>
          <w:color w:val="000000" w:themeColor="text1"/>
          <w:sz w:val="24"/>
          <w:szCs w:val="24"/>
          <w:lang w:val="en-GB"/>
        </w:rPr>
        <w:t>individual’s</w:t>
      </w:r>
      <w:r w:rsidRPr="000D3BEC">
        <w:rPr>
          <w:rFonts w:ascii="Times New Roman" w:eastAsia="Times New Roman" w:hAnsi="Times New Roman" w:cs="Times New Roman"/>
          <w:color w:val="000000" w:themeColor="text1"/>
          <w:sz w:val="24"/>
          <w:szCs w:val="24"/>
          <w:lang w:val="en-GB"/>
        </w:rPr>
        <w:t xml:space="preserve"> characteristics. Some of the significant processes need to be followed to approve a rule therefore primary and secondary legislation is being included. In </w:t>
      </w:r>
      <w:r w:rsidR="003F2DEE" w:rsidRPr="000D3BEC">
        <w:rPr>
          <w:rFonts w:ascii="Times New Roman" w:eastAsia="Times New Roman" w:hAnsi="Times New Roman" w:cs="Times New Roman"/>
          <w:color w:val="000000" w:themeColor="text1"/>
          <w:sz w:val="24"/>
          <w:szCs w:val="24"/>
          <w:lang w:val="en-GB"/>
        </w:rPr>
        <w:t>addition,</w:t>
      </w:r>
      <w:r w:rsidRPr="000D3BEC">
        <w:rPr>
          <w:rFonts w:ascii="Times New Roman" w:eastAsia="Times New Roman" w:hAnsi="Times New Roman" w:cs="Times New Roman"/>
          <w:color w:val="000000" w:themeColor="text1"/>
          <w:sz w:val="24"/>
          <w:szCs w:val="24"/>
          <w:lang w:val="en-GB"/>
        </w:rPr>
        <w:t xml:space="preserve"> that the difference between legislation and policies has been included. Moreover, factors related to the legislation and the policies have been included.   </w:t>
      </w:r>
    </w:p>
    <w:p w14:paraId="1601B496" w14:textId="77777777" w:rsidR="000D3BEC" w:rsidRPr="000D3BEC" w:rsidRDefault="000D3BEC" w:rsidP="000D3BEC">
      <w:pPr>
        <w:spacing w:before="240" w:line="360" w:lineRule="auto"/>
        <w:jc w:val="both"/>
        <w:rPr>
          <w:rFonts w:ascii="Times New Roman" w:hAnsi="Times New Roman" w:cs="Times New Roman"/>
          <w:bCs/>
          <w:color w:val="000000" w:themeColor="text1"/>
          <w:sz w:val="24"/>
          <w:szCs w:val="24"/>
          <w:shd w:val="clear" w:color="auto" w:fill="FFFFFF"/>
        </w:rPr>
      </w:pPr>
    </w:p>
    <w:p w14:paraId="5A79A898" w14:textId="77777777" w:rsidR="008443C9" w:rsidRPr="000D3BEC" w:rsidRDefault="008443C9" w:rsidP="000D3BEC">
      <w:pPr>
        <w:spacing w:before="240" w:line="360" w:lineRule="auto"/>
        <w:jc w:val="both"/>
        <w:rPr>
          <w:rFonts w:ascii="Times New Roman" w:hAnsi="Times New Roman" w:cs="Times New Roman"/>
          <w:bCs/>
          <w:color w:val="000000" w:themeColor="text1"/>
          <w:sz w:val="24"/>
          <w:szCs w:val="24"/>
          <w:shd w:val="clear" w:color="auto" w:fill="FFFFFF"/>
        </w:rPr>
      </w:pPr>
    </w:p>
    <w:p w14:paraId="0845C1B7" w14:textId="77777777" w:rsidR="008A06E8" w:rsidRPr="000D3BEC" w:rsidRDefault="00587AF3" w:rsidP="000D3BEC">
      <w:pPr>
        <w:spacing w:before="240" w:line="360" w:lineRule="auto"/>
        <w:rPr>
          <w:rFonts w:ascii="Times New Roman" w:hAnsi="Times New Roman" w:cs="Times New Roman"/>
          <w:b/>
          <w:bCs/>
          <w:color w:val="000000" w:themeColor="text1"/>
          <w:sz w:val="24"/>
          <w:szCs w:val="24"/>
          <w:shd w:val="clear" w:color="auto" w:fill="FFFFFF"/>
        </w:rPr>
      </w:pPr>
      <w:r w:rsidRPr="000D3BEC">
        <w:rPr>
          <w:rFonts w:ascii="Times New Roman" w:hAnsi="Times New Roman" w:cs="Times New Roman"/>
          <w:b/>
          <w:bCs/>
          <w:color w:val="000000" w:themeColor="text1"/>
          <w:sz w:val="24"/>
          <w:szCs w:val="24"/>
          <w:shd w:val="clear" w:color="auto" w:fill="FFFFFF"/>
        </w:rPr>
        <w:br w:type="page"/>
      </w:r>
    </w:p>
    <w:p w14:paraId="77252B92" w14:textId="77777777" w:rsidR="00F97F88" w:rsidRPr="000D3BEC" w:rsidRDefault="00587AF3" w:rsidP="000D3BEC">
      <w:pPr>
        <w:pStyle w:val="Heading1"/>
        <w:rPr>
          <w:shd w:val="clear" w:color="auto" w:fill="FFFFFF"/>
        </w:rPr>
      </w:pPr>
      <w:bookmarkStart w:id="3" w:name="_Toc102242138"/>
      <w:r w:rsidRPr="000D3BEC">
        <w:rPr>
          <w:shd w:val="clear" w:color="auto" w:fill="FFFFFF"/>
        </w:rPr>
        <w:t>References</w:t>
      </w:r>
      <w:bookmarkEnd w:id="3"/>
    </w:p>
    <w:p w14:paraId="680572AD" w14:textId="77777777" w:rsidR="000D3BEC"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Appleby, G. and Carter, A., 2021. Parliaments, Proportionality and Facts. </w:t>
      </w:r>
      <w:r w:rsidRPr="000D3BEC">
        <w:rPr>
          <w:rFonts w:ascii="Times New Roman" w:hAnsi="Times New Roman" w:cs="Times New Roman"/>
          <w:bCs/>
          <w:i/>
          <w:iCs/>
          <w:color w:val="000000" w:themeColor="text1"/>
          <w:sz w:val="24"/>
          <w:szCs w:val="24"/>
          <w:shd w:val="clear" w:color="auto" w:fill="FFFFFF"/>
        </w:rPr>
        <w:t>Sydney Law Review</w:t>
      </w:r>
      <w:r w:rsidRPr="000D3BEC">
        <w:rPr>
          <w:rFonts w:ascii="Times New Roman" w:hAnsi="Times New Roman" w:cs="Times New Roman"/>
          <w:bCs/>
          <w:color w:val="000000" w:themeColor="text1"/>
          <w:sz w:val="24"/>
          <w:szCs w:val="24"/>
          <w:shd w:val="clear" w:color="auto" w:fill="FFFFFF"/>
        </w:rPr>
        <w:t>, </w:t>
      </w:r>
      <w:r w:rsidRPr="000D3BEC">
        <w:rPr>
          <w:rFonts w:ascii="Times New Roman" w:hAnsi="Times New Roman" w:cs="Times New Roman"/>
          <w:bCs/>
          <w:i/>
          <w:iCs/>
          <w:color w:val="000000" w:themeColor="text1"/>
          <w:sz w:val="24"/>
          <w:szCs w:val="24"/>
          <w:shd w:val="clear" w:color="auto" w:fill="FFFFFF"/>
        </w:rPr>
        <w:t>43</w:t>
      </w:r>
      <w:r w:rsidRPr="000D3BEC">
        <w:rPr>
          <w:rFonts w:ascii="Times New Roman" w:hAnsi="Times New Roman" w:cs="Times New Roman"/>
          <w:bCs/>
          <w:color w:val="000000" w:themeColor="text1"/>
          <w:sz w:val="24"/>
          <w:szCs w:val="24"/>
          <w:shd w:val="clear" w:color="auto" w:fill="FFFFFF"/>
        </w:rPr>
        <w:t>(3), pp.259-286.</w:t>
      </w:r>
    </w:p>
    <w:p w14:paraId="340D53C1" w14:textId="77777777" w:rsidR="000D3BEC" w:rsidRPr="000D3BEC" w:rsidRDefault="00587AF3" w:rsidP="000D3BEC">
      <w:pPr>
        <w:spacing w:before="240" w:line="360" w:lineRule="auto"/>
        <w:jc w:val="both"/>
        <w:rPr>
          <w:rFonts w:ascii="Times New Roman" w:hAnsi="Times New Roman" w:cs="Times New Roman"/>
          <w:color w:val="000000" w:themeColor="text1"/>
          <w:sz w:val="24"/>
          <w:szCs w:val="24"/>
          <w:shd w:val="clear" w:color="auto" w:fill="FFFFFF"/>
        </w:rPr>
      </w:pPr>
      <w:r w:rsidRPr="000D3BEC">
        <w:rPr>
          <w:rFonts w:ascii="Times New Roman" w:hAnsi="Times New Roman" w:cs="Times New Roman"/>
          <w:color w:val="000000" w:themeColor="text1"/>
          <w:sz w:val="24"/>
          <w:szCs w:val="24"/>
          <w:shd w:val="clear" w:color="auto" w:fill="FFFFFF"/>
        </w:rPr>
        <w:t xml:space="preserve">Breen, R., Karlson, K.B. and Holm, A., 2018. Interpreting and understanding logits, </w:t>
      </w:r>
      <w:proofErr w:type="spellStart"/>
      <w:r w:rsidRPr="000D3BEC">
        <w:rPr>
          <w:rFonts w:ascii="Times New Roman" w:hAnsi="Times New Roman" w:cs="Times New Roman"/>
          <w:color w:val="000000" w:themeColor="text1"/>
          <w:sz w:val="24"/>
          <w:szCs w:val="24"/>
          <w:shd w:val="clear" w:color="auto" w:fill="FFFFFF"/>
        </w:rPr>
        <w:t>probits</w:t>
      </w:r>
      <w:proofErr w:type="spellEnd"/>
      <w:r w:rsidRPr="000D3BEC">
        <w:rPr>
          <w:rFonts w:ascii="Times New Roman" w:hAnsi="Times New Roman" w:cs="Times New Roman"/>
          <w:color w:val="000000" w:themeColor="text1"/>
          <w:sz w:val="24"/>
          <w:szCs w:val="24"/>
          <w:shd w:val="clear" w:color="auto" w:fill="FFFFFF"/>
        </w:rPr>
        <w:t>, and other nonlinear probability models. </w:t>
      </w:r>
      <w:r w:rsidRPr="000D3BEC">
        <w:rPr>
          <w:rFonts w:ascii="Times New Roman" w:hAnsi="Times New Roman" w:cs="Times New Roman"/>
          <w:i/>
          <w:iCs/>
          <w:color w:val="000000" w:themeColor="text1"/>
          <w:sz w:val="24"/>
          <w:szCs w:val="24"/>
          <w:shd w:val="clear" w:color="auto" w:fill="FFFFFF"/>
        </w:rPr>
        <w:t>Annual Review of Sociology</w:t>
      </w:r>
      <w:r w:rsidRPr="000D3BEC">
        <w:rPr>
          <w:rFonts w:ascii="Times New Roman" w:hAnsi="Times New Roman" w:cs="Times New Roman"/>
          <w:color w:val="000000" w:themeColor="text1"/>
          <w:sz w:val="24"/>
          <w:szCs w:val="24"/>
          <w:shd w:val="clear" w:color="auto" w:fill="FFFFFF"/>
        </w:rPr>
        <w:t>, </w:t>
      </w:r>
      <w:r w:rsidRPr="000D3BEC">
        <w:rPr>
          <w:rFonts w:ascii="Times New Roman" w:hAnsi="Times New Roman" w:cs="Times New Roman"/>
          <w:i/>
          <w:iCs/>
          <w:color w:val="000000" w:themeColor="text1"/>
          <w:sz w:val="24"/>
          <w:szCs w:val="24"/>
          <w:shd w:val="clear" w:color="auto" w:fill="FFFFFF"/>
        </w:rPr>
        <w:t>44</w:t>
      </w:r>
      <w:r w:rsidRPr="000D3BEC">
        <w:rPr>
          <w:rFonts w:ascii="Times New Roman" w:hAnsi="Times New Roman" w:cs="Times New Roman"/>
          <w:color w:val="000000" w:themeColor="text1"/>
          <w:sz w:val="24"/>
          <w:szCs w:val="24"/>
          <w:shd w:val="clear" w:color="auto" w:fill="FFFFFF"/>
        </w:rPr>
        <w:t>, pp.39-54.</w:t>
      </w:r>
    </w:p>
    <w:p w14:paraId="7E52E515" w14:textId="77777777" w:rsidR="000D3BEC" w:rsidRPr="000D3BEC" w:rsidRDefault="00587AF3" w:rsidP="000D3BEC">
      <w:pPr>
        <w:spacing w:before="240" w:line="360" w:lineRule="auto"/>
        <w:jc w:val="both"/>
        <w:rPr>
          <w:rFonts w:ascii="Times New Roman" w:hAnsi="Times New Roman" w:cs="Times New Roman"/>
          <w:color w:val="222222"/>
          <w:sz w:val="24"/>
          <w:szCs w:val="24"/>
          <w:shd w:val="clear" w:color="auto" w:fill="FFFFFF"/>
        </w:rPr>
      </w:pPr>
      <w:r w:rsidRPr="000D3BEC">
        <w:rPr>
          <w:rFonts w:ascii="Times New Roman" w:hAnsi="Times New Roman" w:cs="Times New Roman"/>
          <w:color w:val="222222"/>
          <w:sz w:val="24"/>
          <w:szCs w:val="24"/>
          <w:shd w:val="clear" w:color="auto" w:fill="FFFFFF"/>
        </w:rPr>
        <w:t xml:space="preserve">Gales, T. and Solan, L.M., 2019. Revisiting a classic problem in statutory interpretation: Is a minister a </w:t>
      </w:r>
      <w:proofErr w:type="gramStart"/>
      <w:r w:rsidRPr="000D3BEC">
        <w:rPr>
          <w:rFonts w:ascii="Times New Roman" w:hAnsi="Times New Roman" w:cs="Times New Roman"/>
          <w:color w:val="222222"/>
          <w:sz w:val="24"/>
          <w:szCs w:val="24"/>
          <w:shd w:val="clear" w:color="auto" w:fill="FFFFFF"/>
        </w:rPr>
        <w:t>laborer?.</w:t>
      </w:r>
      <w:proofErr w:type="gramEnd"/>
      <w:r w:rsidRPr="000D3BEC">
        <w:rPr>
          <w:rFonts w:ascii="Times New Roman" w:hAnsi="Times New Roman" w:cs="Times New Roman"/>
          <w:color w:val="222222"/>
          <w:sz w:val="24"/>
          <w:szCs w:val="24"/>
          <w:shd w:val="clear" w:color="auto" w:fill="FFFFFF"/>
        </w:rPr>
        <w:t> </w:t>
      </w:r>
      <w:r w:rsidRPr="000D3BEC">
        <w:rPr>
          <w:rFonts w:ascii="Times New Roman" w:hAnsi="Times New Roman" w:cs="Times New Roman"/>
          <w:i/>
          <w:iCs/>
          <w:color w:val="222222"/>
          <w:sz w:val="24"/>
          <w:szCs w:val="24"/>
          <w:shd w:val="clear" w:color="auto" w:fill="FFFFFF"/>
        </w:rPr>
        <w:t>Ga. St. UL Rev.</w:t>
      </w:r>
      <w:r w:rsidRPr="000D3BEC">
        <w:rPr>
          <w:rFonts w:ascii="Times New Roman" w:hAnsi="Times New Roman" w:cs="Times New Roman"/>
          <w:color w:val="222222"/>
          <w:sz w:val="24"/>
          <w:szCs w:val="24"/>
          <w:shd w:val="clear" w:color="auto" w:fill="FFFFFF"/>
        </w:rPr>
        <w:t>, </w:t>
      </w:r>
      <w:r w:rsidRPr="000D3BEC">
        <w:rPr>
          <w:rFonts w:ascii="Times New Roman" w:hAnsi="Times New Roman" w:cs="Times New Roman"/>
          <w:i/>
          <w:iCs/>
          <w:color w:val="222222"/>
          <w:sz w:val="24"/>
          <w:szCs w:val="24"/>
          <w:shd w:val="clear" w:color="auto" w:fill="FFFFFF"/>
        </w:rPr>
        <w:t>36</w:t>
      </w:r>
      <w:r w:rsidRPr="000D3BEC">
        <w:rPr>
          <w:rFonts w:ascii="Times New Roman" w:hAnsi="Times New Roman" w:cs="Times New Roman"/>
          <w:color w:val="222222"/>
          <w:sz w:val="24"/>
          <w:szCs w:val="24"/>
          <w:shd w:val="clear" w:color="auto" w:fill="FFFFFF"/>
        </w:rPr>
        <w:t>, p.491.</w:t>
      </w:r>
    </w:p>
    <w:p w14:paraId="4D2B4BE4" w14:textId="77777777" w:rsidR="000D3BEC" w:rsidRPr="000D3BEC" w:rsidRDefault="00587AF3" w:rsidP="000D3BEC">
      <w:pPr>
        <w:spacing w:before="240" w:line="360" w:lineRule="auto"/>
        <w:jc w:val="both"/>
        <w:rPr>
          <w:rFonts w:ascii="Times New Roman" w:hAnsi="Times New Roman" w:cs="Times New Roman"/>
          <w:color w:val="222222"/>
          <w:sz w:val="24"/>
          <w:szCs w:val="24"/>
          <w:shd w:val="clear" w:color="auto" w:fill="FFFFFF"/>
        </w:rPr>
      </w:pPr>
      <w:r w:rsidRPr="000D3BEC">
        <w:rPr>
          <w:rFonts w:ascii="Times New Roman" w:hAnsi="Times New Roman" w:cs="Times New Roman"/>
          <w:color w:val="222222"/>
          <w:sz w:val="24"/>
          <w:szCs w:val="24"/>
          <w:shd w:val="clear" w:color="auto" w:fill="FFFFFF"/>
        </w:rPr>
        <w:t>Macleod, J.A., 2019. Ordinary causation: a study in experimental statutory interpretation. </w:t>
      </w:r>
      <w:r w:rsidRPr="000D3BEC">
        <w:rPr>
          <w:rFonts w:ascii="Times New Roman" w:hAnsi="Times New Roman" w:cs="Times New Roman"/>
          <w:i/>
          <w:iCs/>
          <w:color w:val="222222"/>
          <w:sz w:val="24"/>
          <w:szCs w:val="24"/>
          <w:shd w:val="clear" w:color="auto" w:fill="FFFFFF"/>
        </w:rPr>
        <w:t>Ind. LJ</w:t>
      </w:r>
      <w:r w:rsidRPr="000D3BEC">
        <w:rPr>
          <w:rFonts w:ascii="Times New Roman" w:hAnsi="Times New Roman" w:cs="Times New Roman"/>
          <w:color w:val="222222"/>
          <w:sz w:val="24"/>
          <w:szCs w:val="24"/>
          <w:shd w:val="clear" w:color="auto" w:fill="FFFFFF"/>
        </w:rPr>
        <w:t>, </w:t>
      </w:r>
      <w:r w:rsidRPr="000D3BEC">
        <w:rPr>
          <w:rFonts w:ascii="Times New Roman" w:hAnsi="Times New Roman" w:cs="Times New Roman"/>
          <w:i/>
          <w:iCs/>
          <w:color w:val="222222"/>
          <w:sz w:val="24"/>
          <w:szCs w:val="24"/>
          <w:shd w:val="clear" w:color="auto" w:fill="FFFFFF"/>
        </w:rPr>
        <w:t>94</w:t>
      </w:r>
      <w:r w:rsidRPr="000D3BEC">
        <w:rPr>
          <w:rFonts w:ascii="Times New Roman" w:hAnsi="Times New Roman" w:cs="Times New Roman"/>
          <w:color w:val="222222"/>
          <w:sz w:val="24"/>
          <w:szCs w:val="24"/>
          <w:shd w:val="clear" w:color="auto" w:fill="FFFFFF"/>
        </w:rPr>
        <w:t>, p.957.</w:t>
      </w:r>
    </w:p>
    <w:p w14:paraId="110B4E03" w14:textId="77777777" w:rsidR="000D3BEC" w:rsidRPr="000D3BEC" w:rsidRDefault="00587AF3" w:rsidP="000D3BEC">
      <w:pPr>
        <w:spacing w:before="240" w:line="360" w:lineRule="auto"/>
        <w:jc w:val="both"/>
        <w:rPr>
          <w:rFonts w:ascii="Times New Roman" w:hAnsi="Times New Roman" w:cs="Times New Roman"/>
          <w:sz w:val="24"/>
          <w:szCs w:val="24"/>
        </w:rPr>
      </w:pPr>
      <w:r w:rsidRPr="000D3BEC">
        <w:rPr>
          <w:rFonts w:ascii="Times New Roman" w:hAnsi="Times New Roman" w:cs="Times New Roman"/>
          <w:sz w:val="24"/>
          <w:szCs w:val="24"/>
        </w:rPr>
        <w:t>Mayo, C., 2022. </w:t>
      </w:r>
      <w:r w:rsidRPr="000D3BEC">
        <w:rPr>
          <w:rFonts w:ascii="Times New Roman" w:hAnsi="Times New Roman" w:cs="Times New Roman"/>
          <w:i/>
          <w:iCs/>
          <w:sz w:val="24"/>
          <w:szCs w:val="24"/>
        </w:rPr>
        <w:t>LGBTQ youth and education: Policies and practices</w:t>
      </w:r>
      <w:r w:rsidRPr="000D3BEC">
        <w:rPr>
          <w:rFonts w:ascii="Times New Roman" w:hAnsi="Times New Roman" w:cs="Times New Roman"/>
          <w:sz w:val="24"/>
          <w:szCs w:val="24"/>
        </w:rPr>
        <w:t>. Teachers College Press.</w:t>
      </w:r>
    </w:p>
    <w:p w14:paraId="79BC76F1" w14:textId="77777777" w:rsidR="000D3BEC" w:rsidRPr="000D3BEC" w:rsidRDefault="00587AF3" w:rsidP="000D3BEC">
      <w:pPr>
        <w:spacing w:before="240" w:line="360" w:lineRule="auto"/>
        <w:jc w:val="both"/>
        <w:rPr>
          <w:rFonts w:ascii="Times New Roman" w:hAnsi="Times New Roman" w:cs="Times New Roman"/>
          <w:sz w:val="24"/>
          <w:szCs w:val="24"/>
        </w:rPr>
      </w:pPr>
      <w:proofErr w:type="spellStart"/>
      <w:r w:rsidRPr="000D3BEC">
        <w:rPr>
          <w:rFonts w:ascii="Times New Roman" w:hAnsi="Times New Roman" w:cs="Times New Roman"/>
          <w:sz w:val="24"/>
          <w:szCs w:val="24"/>
        </w:rPr>
        <w:t>Nedyalkova</w:t>
      </w:r>
      <w:proofErr w:type="spellEnd"/>
      <w:r w:rsidRPr="000D3BEC">
        <w:rPr>
          <w:rFonts w:ascii="Times New Roman" w:hAnsi="Times New Roman" w:cs="Times New Roman"/>
          <w:sz w:val="24"/>
          <w:szCs w:val="24"/>
        </w:rPr>
        <w:t xml:space="preserve">, P., Dimitrova, D. and Bogdanov, H., 2022. New Features in the </w:t>
      </w:r>
      <w:proofErr w:type="spellStart"/>
      <w:r w:rsidRPr="000D3BEC">
        <w:rPr>
          <w:rFonts w:ascii="Times New Roman" w:hAnsi="Times New Roman" w:cs="Times New Roman"/>
          <w:sz w:val="24"/>
          <w:szCs w:val="24"/>
        </w:rPr>
        <w:t>bulgarian</w:t>
      </w:r>
      <w:proofErr w:type="spellEnd"/>
      <w:r w:rsidRPr="000D3BEC">
        <w:rPr>
          <w:rFonts w:ascii="Times New Roman" w:hAnsi="Times New Roman" w:cs="Times New Roman"/>
          <w:sz w:val="24"/>
          <w:szCs w:val="24"/>
        </w:rPr>
        <w:t xml:space="preserve"> legal framework and financial control practice for compliance with </w:t>
      </w:r>
      <w:proofErr w:type="spellStart"/>
      <w:r w:rsidRPr="000D3BEC">
        <w:rPr>
          <w:rFonts w:ascii="Times New Roman" w:hAnsi="Times New Roman" w:cs="Times New Roman"/>
          <w:sz w:val="24"/>
          <w:szCs w:val="24"/>
        </w:rPr>
        <w:t>labour</w:t>
      </w:r>
      <w:proofErr w:type="spellEnd"/>
      <w:r w:rsidRPr="000D3BEC">
        <w:rPr>
          <w:rFonts w:ascii="Times New Roman" w:hAnsi="Times New Roman" w:cs="Times New Roman"/>
          <w:sz w:val="24"/>
          <w:szCs w:val="24"/>
        </w:rPr>
        <w:t xml:space="preserve"> legislation in the age of globalization.</w:t>
      </w:r>
    </w:p>
    <w:p w14:paraId="4E2C020C" w14:textId="77777777" w:rsidR="000D3BEC" w:rsidRPr="000D3BEC" w:rsidRDefault="00587AF3" w:rsidP="000D3BEC">
      <w:pPr>
        <w:spacing w:before="240" w:line="360" w:lineRule="auto"/>
        <w:jc w:val="both"/>
        <w:rPr>
          <w:rFonts w:ascii="Times New Roman" w:hAnsi="Times New Roman" w:cs="Times New Roman"/>
          <w:color w:val="222222"/>
          <w:sz w:val="24"/>
          <w:szCs w:val="24"/>
          <w:shd w:val="clear" w:color="auto" w:fill="FFFFFF"/>
        </w:rPr>
      </w:pPr>
      <w:proofErr w:type="spellStart"/>
      <w:r w:rsidRPr="000D3BEC">
        <w:rPr>
          <w:rFonts w:ascii="Times New Roman" w:hAnsi="Times New Roman" w:cs="Times New Roman"/>
          <w:color w:val="222222"/>
          <w:sz w:val="24"/>
          <w:szCs w:val="24"/>
          <w:shd w:val="clear" w:color="auto" w:fill="FFFFFF"/>
        </w:rPr>
        <w:t>Shobe</w:t>
      </w:r>
      <w:proofErr w:type="spellEnd"/>
      <w:r w:rsidRPr="000D3BEC">
        <w:rPr>
          <w:rFonts w:ascii="Times New Roman" w:hAnsi="Times New Roman" w:cs="Times New Roman"/>
          <w:color w:val="222222"/>
          <w:sz w:val="24"/>
          <w:szCs w:val="24"/>
          <w:shd w:val="clear" w:color="auto" w:fill="FFFFFF"/>
        </w:rPr>
        <w:t>, J., 2019. Enacted legislative findings and purposes. </w:t>
      </w:r>
      <w:r w:rsidRPr="000D3BEC">
        <w:rPr>
          <w:rFonts w:ascii="Times New Roman" w:hAnsi="Times New Roman" w:cs="Times New Roman"/>
          <w:i/>
          <w:iCs/>
          <w:color w:val="222222"/>
          <w:sz w:val="24"/>
          <w:szCs w:val="24"/>
          <w:shd w:val="clear" w:color="auto" w:fill="FFFFFF"/>
        </w:rPr>
        <w:t>The University of Chicago Law Review</w:t>
      </w:r>
      <w:r w:rsidRPr="000D3BEC">
        <w:rPr>
          <w:rFonts w:ascii="Times New Roman" w:hAnsi="Times New Roman" w:cs="Times New Roman"/>
          <w:color w:val="222222"/>
          <w:sz w:val="24"/>
          <w:szCs w:val="24"/>
          <w:shd w:val="clear" w:color="auto" w:fill="FFFFFF"/>
        </w:rPr>
        <w:t>, </w:t>
      </w:r>
      <w:r w:rsidRPr="000D3BEC">
        <w:rPr>
          <w:rFonts w:ascii="Times New Roman" w:hAnsi="Times New Roman" w:cs="Times New Roman"/>
          <w:i/>
          <w:iCs/>
          <w:color w:val="222222"/>
          <w:sz w:val="24"/>
          <w:szCs w:val="24"/>
          <w:shd w:val="clear" w:color="auto" w:fill="FFFFFF"/>
        </w:rPr>
        <w:t>86</w:t>
      </w:r>
      <w:r w:rsidRPr="000D3BEC">
        <w:rPr>
          <w:rFonts w:ascii="Times New Roman" w:hAnsi="Times New Roman" w:cs="Times New Roman"/>
          <w:color w:val="222222"/>
          <w:sz w:val="24"/>
          <w:szCs w:val="24"/>
          <w:shd w:val="clear" w:color="auto" w:fill="FFFFFF"/>
        </w:rPr>
        <w:t>(3), pp.669-724.</w:t>
      </w:r>
    </w:p>
    <w:p w14:paraId="09576200" w14:textId="77777777" w:rsidR="000D3BEC" w:rsidRPr="000D3BEC" w:rsidRDefault="00587AF3" w:rsidP="000D3BEC">
      <w:pPr>
        <w:spacing w:before="240" w:line="360" w:lineRule="auto"/>
        <w:jc w:val="both"/>
        <w:rPr>
          <w:rFonts w:ascii="Times New Roman" w:hAnsi="Times New Roman" w:cs="Times New Roman"/>
          <w:color w:val="000000" w:themeColor="text1"/>
          <w:sz w:val="24"/>
          <w:szCs w:val="24"/>
          <w:shd w:val="clear" w:color="auto" w:fill="FFFFFF"/>
        </w:rPr>
      </w:pPr>
      <w:r w:rsidRPr="000D3BEC">
        <w:rPr>
          <w:rFonts w:ascii="Times New Roman" w:hAnsi="Times New Roman" w:cs="Times New Roman"/>
          <w:color w:val="000000" w:themeColor="text1"/>
          <w:sz w:val="24"/>
          <w:szCs w:val="24"/>
          <w:shd w:val="clear" w:color="auto" w:fill="FFFFFF"/>
        </w:rPr>
        <w:t>Smith, M.S., Lawrence, V., Sadler, E. and Easter, A., 2019. Barriers to accessing mental health services for women with perinatal mental illness: systematic review and meta-synthesis of qualitative studies in the UK. </w:t>
      </w:r>
      <w:r w:rsidRPr="000D3BEC">
        <w:rPr>
          <w:rFonts w:ascii="Times New Roman" w:hAnsi="Times New Roman" w:cs="Times New Roman"/>
          <w:i/>
          <w:iCs/>
          <w:color w:val="000000" w:themeColor="text1"/>
          <w:sz w:val="24"/>
          <w:szCs w:val="24"/>
          <w:shd w:val="clear" w:color="auto" w:fill="FFFFFF"/>
        </w:rPr>
        <w:t>BMJ open</w:t>
      </w:r>
      <w:r w:rsidRPr="000D3BEC">
        <w:rPr>
          <w:rFonts w:ascii="Times New Roman" w:hAnsi="Times New Roman" w:cs="Times New Roman"/>
          <w:color w:val="000000" w:themeColor="text1"/>
          <w:sz w:val="24"/>
          <w:szCs w:val="24"/>
          <w:shd w:val="clear" w:color="auto" w:fill="FFFFFF"/>
        </w:rPr>
        <w:t>, </w:t>
      </w:r>
      <w:r w:rsidRPr="000D3BEC">
        <w:rPr>
          <w:rFonts w:ascii="Times New Roman" w:hAnsi="Times New Roman" w:cs="Times New Roman"/>
          <w:i/>
          <w:iCs/>
          <w:color w:val="000000" w:themeColor="text1"/>
          <w:sz w:val="24"/>
          <w:szCs w:val="24"/>
          <w:shd w:val="clear" w:color="auto" w:fill="FFFFFF"/>
        </w:rPr>
        <w:t>9</w:t>
      </w:r>
      <w:r w:rsidRPr="000D3BEC">
        <w:rPr>
          <w:rFonts w:ascii="Times New Roman" w:hAnsi="Times New Roman" w:cs="Times New Roman"/>
          <w:color w:val="000000" w:themeColor="text1"/>
          <w:sz w:val="24"/>
          <w:szCs w:val="24"/>
          <w:shd w:val="clear" w:color="auto" w:fill="FFFFFF"/>
        </w:rPr>
        <w:t>(1), p.e024803</w:t>
      </w:r>
    </w:p>
    <w:p w14:paraId="78575318" w14:textId="77777777" w:rsidR="000D3BEC"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sz w:val="24"/>
          <w:szCs w:val="24"/>
        </w:rPr>
        <w:t>Sun, X., 2018, December. Analyzing the Implementation of “Rental with Right” And Relevant Legislation and Institutionalization. In </w:t>
      </w:r>
      <w:r w:rsidRPr="000D3BEC">
        <w:rPr>
          <w:rFonts w:ascii="Times New Roman" w:hAnsi="Times New Roman" w:cs="Times New Roman"/>
          <w:i/>
          <w:iCs/>
          <w:sz w:val="24"/>
          <w:szCs w:val="24"/>
        </w:rPr>
        <w:t>IOP Conference Series: Materials Science and Engineering</w:t>
      </w:r>
      <w:r w:rsidRPr="000D3BEC">
        <w:rPr>
          <w:rFonts w:ascii="Times New Roman" w:hAnsi="Times New Roman" w:cs="Times New Roman"/>
          <w:sz w:val="24"/>
          <w:szCs w:val="24"/>
        </w:rPr>
        <w:t> (Vol. 452, No. 3, p. 032128). IOP Publishing.</w:t>
      </w:r>
    </w:p>
    <w:p w14:paraId="491BA94B" w14:textId="77777777" w:rsidR="000D3BEC"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 xml:space="preserve">Supreme Court UK, 2021. </w:t>
      </w:r>
      <w:r w:rsidRPr="000D3BEC">
        <w:rPr>
          <w:rFonts w:ascii="Times New Roman" w:hAnsi="Times New Roman" w:cs="Times New Roman"/>
          <w:color w:val="000000" w:themeColor="text1"/>
          <w:sz w:val="24"/>
          <w:szCs w:val="24"/>
        </w:rPr>
        <w:t>Statutory Interpretation: A Collaboration between Democratic Legislatures and the Courts?</w:t>
      </w:r>
      <w:r w:rsidRPr="000D3BEC">
        <w:rPr>
          <w:rFonts w:ascii="Times New Roman" w:hAnsi="Times New Roman" w:cs="Times New Roman"/>
          <w:bCs/>
          <w:color w:val="000000" w:themeColor="text1"/>
          <w:sz w:val="24"/>
          <w:szCs w:val="24"/>
          <w:shd w:val="clear" w:color="auto" w:fill="FFFFFF"/>
        </w:rPr>
        <w:t xml:space="preserve"> Viewed from &lt;https://www.supremecourt.uk/docs/statutory-interpretation-a-collaboration-between-democratic-legislatures.pdf&gt;</w:t>
      </w:r>
    </w:p>
    <w:p w14:paraId="453A798A" w14:textId="77777777" w:rsidR="000D3BEC" w:rsidRPr="000D3BEC" w:rsidRDefault="00587AF3" w:rsidP="000D3BEC">
      <w:pPr>
        <w:spacing w:before="240" w:line="360" w:lineRule="auto"/>
        <w:jc w:val="both"/>
        <w:rPr>
          <w:rFonts w:ascii="Times New Roman" w:hAnsi="Times New Roman" w:cs="Times New Roman"/>
          <w:bCs/>
          <w:color w:val="000000" w:themeColor="text1"/>
          <w:sz w:val="24"/>
          <w:szCs w:val="24"/>
          <w:shd w:val="clear" w:color="auto" w:fill="FFFFFF"/>
        </w:rPr>
      </w:pPr>
      <w:r w:rsidRPr="000D3BEC">
        <w:rPr>
          <w:rFonts w:ascii="Times New Roman" w:hAnsi="Times New Roman" w:cs="Times New Roman"/>
          <w:bCs/>
          <w:color w:val="000000" w:themeColor="text1"/>
          <w:sz w:val="24"/>
          <w:szCs w:val="24"/>
          <w:shd w:val="clear" w:color="auto" w:fill="FFFFFF"/>
        </w:rPr>
        <w:t>Young, A.L., 2018. Populism and the UK Constitution. </w:t>
      </w:r>
      <w:r w:rsidRPr="000D3BEC">
        <w:rPr>
          <w:rFonts w:ascii="Times New Roman" w:hAnsi="Times New Roman" w:cs="Times New Roman"/>
          <w:bCs/>
          <w:i/>
          <w:iCs/>
          <w:color w:val="000000" w:themeColor="text1"/>
          <w:sz w:val="24"/>
          <w:szCs w:val="24"/>
          <w:shd w:val="clear" w:color="auto" w:fill="FFFFFF"/>
        </w:rPr>
        <w:t>Current Legal Problems</w:t>
      </w:r>
      <w:r w:rsidRPr="000D3BEC">
        <w:rPr>
          <w:rFonts w:ascii="Times New Roman" w:hAnsi="Times New Roman" w:cs="Times New Roman"/>
          <w:bCs/>
          <w:color w:val="000000" w:themeColor="text1"/>
          <w:sz w:val="24"/>
          <w:szCs w:val="24"/>
          <w:shd w:val="clear" w:color="auto" w:fill="FFFFFF"/>
        </w:rPr>
        <w:t>, </w:t>
      </w:r>
      <w:r w:rsidRPr="000D3BEC">
        <w:rPr>
          <w:rFonts w:ascii="Times New Roman" w:hAnsi="Times New Roman" w:cs="Times New Roman"/>
          <w:bCs/>
          <w:i/>
          <w:iCs/>
          <w:color w:val="000000" w:themeColor="text1"/>
          <w:sz w:val="24"/>
          <w:szCs w:val="24"/>
          <w:shd w:val="clear" w:color="auto" w:fill="FFFFFF"/>
        </w:rPr>
        <w:t>71</w:t>
      </w:r>
      <w:r w:rsidRPr="000D3BEC">
        <w:rPr>
          <w:rFonts w:ascii="Times New Roman" w:hAnsi="Times New Roman" w:cs="Times New Roman"/>
          <w:bCs/>
          <w:color w:val="000000" w:themeColor="text1"/>
          <w:sz w:val="24"/>
          <w:szCs w:val="24"/>
          <w:shd w:val="clear" w:color="auto" w:fill="FFFFFF"/>
        </w:rPr>
        <w:t>(1), pp.17-52.</w:t>
      </w:r>
    </w:p>
    <w:sectPr w:rsidR="000D3BEC" w:rsidRPr="000D3BEC" w:rsidSect="000D3BEC">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B6876" w14:textId="77777777" w:rsidR="00F934A9" w:rsidRDefault="00F934A9" w:rsidP="00CC27D5">
      <w:pPr>
        <w:spacing w:after="0" w:line="240" w:lineRule="auto"/>
      </w:pPr>
      <w:r>
        <w:separator/>
      </w:r>
    </w:p>
  </w:endnote>
  <w:endnote w:type="continuationSeparator" w:id="0">
    <w:p w14:paraId="4692A338" w14:textId="77777777" w:rsidR="00F934A9" w:rsidRDefault="00F934A9" w:rsidP="00CC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25391"/>
      <w:docPartObj>
        <w:docPartGallery w:val="Page Numbers (Bottom of Page)"/>
        <w:docPartUnique/>
      </w:docPartObj>
    </w:sdtPr>
    <w:sdtEndPr/>
    <w:sdtContent>
      <w:p w14:paraId="38AF9369" w14:textId="77777777" w:rsidR="000D3BEC" w:rsidRDefault="00CC27D5">
        <w:pPr>
          <w:pStyle w:val="Footer"/>
          <w:jc w:val="right"/>
        </w:pPr>
        <w:r w:rsidRPr="000D3BEC">
          <w:rPr>
            <w:rFonts w:ascii="Times New Roman" w:hAnsi="Times New Roman" w:cs="Times New Roman"/>
            <w:sz w:val="20"/>
            <w:szCs w:val="20"/>
          </w:rPr>
          <w:fldChar w:fldCharType="begin"/>
        </w:r>
        <w:r w:rsidR="00587AF3" w:rsidRPr="000D3BEC">
          <w:rPr>
            <w:rFonts w:ascii="Times New Roman" w:hAnsi="Times New Roman" w:cs="Times New Roman"/>
            <w:sz w:val="20"/>
            <w:szCs w:val="20"/>
          </w:rPr>
          <w:instrText xml:space="preserve"> PAGE   \* MERGEFORMAT </w:instrText>
        </w:r>
        <w:r w:rsidRPr="000D3BEC">
          <w:rPr>
            <w:rFonts w:ascii="Times New Roman" w:hAnsi="Times New Roman" w:cs="Times New Roman"/>
            <w:sz w:val="20"/>
            <w:szCs w:val="20"/>
          </w:rPr>
          <w:fldChar w:fldCharType="separate"/>
        </w:r>
        <w:r w:rsidR="0035487D">
          <w:rPr>
            <w:rFonts w:ascii="Times New Roman" w:hAnsi="Times New Roman" w:cs="Times New Roman"/>
            <w:noProof/>
            <w:sz w:val="20"/>
            <w:szCs w:val="20"/>
          </w:rPr>
          <w:t>8</w:t>
        </w:r>
        <w:r w:rsidRPr="000D3BEC">
          <w:rPr>
            <w:rFonts w:ascii="Times New Roman" w:hAnsi="Times New Roman" w:cs="Times New Roman"/>
            <w:sz w:val="20"/>
            <w:szCs w:val="20"/>
          </w:rPr>
          <w:fldChar w:fldCharType="end"/>
        </w:r>
      </w:p>
    </w:sdtContent>
  </w:sdt>
  <w:p w14:paraId="42B6EC93" w14:textId="77777777" w:rsidR="000D3BEC" w:rsidRDefault="000D3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CF1EF" w14:textId="77777777" w:rsidR="00F934A9" w:rsidRDefault="00F934A9" w:rsidP="00CC27D5">
      <w:pPr>
        <w:spacing w:after="0" w:line="240" w:lineRule="auto"/>
      </w:pPr>
      <w:r>
        <w:separator/>
      </w:r>
    </w:p>
  </w:footnote>
  <w:footnote w:type="continuationSeparator" w:id="0">
    <w:p w14:paraId="0BEB83A5" w14:textId="77777777" w:rsidR="00F934A9" w:rsidRDefault="00F934A9" w:rsidP="00CC2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593E"/>
    <w:rsid w:val="000D3BEC"/>
    <w:rsid w:val="00135D94"/>
    <w:rsid w:val="00216844"/>
    <w:rsid w:val="00224C98"/>
    <w:rsid w:val="0023593E"/>
    <w:rsid w:val="00242D9B"/>
    <w:rsid w:val="00262D03"/>
    <w:rsid w:val="0035487D"/>
    <w:rsid w:val="003F2DEE"/>
    <w:rsid w:val="00432306"/>
    <w:rsid w:val="00540D01"/>
    <w:rsid w:val="00587AF3"/>
    <w:rsid w:val="005D71E1"/>
    <w:rsid w:val="005E0A7E"/>
    <w:rsid w:val="00611AB3"/>
    <w:rsid w:val="00783371"/>
    <w:rsid w:val="008443C9"/>
    <w:rsid w:val="00892AFA"/>
    <w:rsid w:val="008A06E8"/>
    <w:rsid w:val="00961BB8"/>
    <w:rsid w:val="009B0DA6"/>
    <w:rsid w:val="009E33BB"/>
    <w:rsid w:val="00A84779"/>
    <w:rsid w:val="00B30E89"/>
    <w:rsid w:val="00C054F7"/>
    <w:rsid w:val="00CB2E7D"/>
    <w:rsid w:val="00CC27D5"/>
    <w:rsid w:val="00DD0251"/>
    <w:rsid w:val="00E053CE"/>
    <w:rsid w:val="00E35B88"/>
    <w:rsid w:val="00E43F32"/>
    <w:rsid w:val="00E6200D"/>
    <w:rsid w:val="00E72D1E"/>
    <w:rsid w:val="00ED574B"/>
    <w:rsid w:val="00F53F7E"/>
    <w:rsid w:val="00F934A9"/>
    <w:rsid w:val="00F9394E"/>
    <w:rsid w:val="00F97F88"/>
    <w:rsid w:val="00FA4DE5"/>
  </w:rsids>
  <m:mathPr>
    <m:mathFont m:val="Cambria Math"/>
    <m:brkBin m:val="before"/>
    <m:brkBinSub m:val="--"/>
    <m:smallFrac m:val="0"/>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BE5D"/>
  <w15:docId w15:val="{ED2263A6-2248-6B4F-90CA-E6E951D3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251"/>
  </w:style>
  <w:style w:type="paragraph" w:styleId="Heading1">
    <w:name w:val="heading 1"/>
    <w:basedOn w:val="Normal"/>
    <w:next w:val="Normal"/>
    <w:link w:val="Heading1Char"/>
    <w:autoRedefine/>
    <w:uiPriority w:val="9"/>
    <w:qFormat/>
    <w:rsid w:val="000D3BEC"/>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43C9"/>
    <w:rPr>
      <w:color w:val="0000FF" w:themeColor="hyperlink"/>
      <w:u w:val="single"/>
    </w:rPr>
  </w:style>
  <w:style w:type="paragraph" w:styleId="NormalWeb">
    <w:name w:val="Normal (Web)"/>
    <w:basedOn w:val="Normal"/>
    <w:uiPriority w:val="99"/>
    <w:semiHidden/>
    <w:unhideWhenUsed/>
    <w:rsid w:val="00961B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0D3BEC"/>
    <w:pPr>
      <w:spacing w:after="0"/>
    </w:pPr>
    <w:rPr>
      <w:rFonts w:ascii="Arial" w:eastAsia="Arial" w:hAnsi="Arial" w:cs="Arial"/>
    </w:rPr>
  </w:style>
  <w:style w:type="character" w:customStyle="1" w:styleId="Heading1Char">
    <w:name w:val="Heading 1 Char"/>
    <w:basedOn w:val="DefaultParagraphFont"/>
    <w:link w:val="Heading1"/>
    <w:uiPriority w:val="9"/>
    <w:rsid w:val="000D3BEC"/>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semiHidden/>
    <w:unhideWhenUsed/>
    <w:rsid w:val="000D3B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3BEC"/>
  </w:style>
  <w:style w:type="paragraph" w:styleId="Footer">
    <w:name w:val="footer"/>
    <w:basedOn w:val="Normal"/>
    <w:link w:val="FooterChar"/>
    <w:uiPriority w:val="99"/>
    <w:unhideWhenUsed/>
    <w:rsid w:val="000D3B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BEC"/>
  </w:style>
  <w:style w:type="paragraph" w:styleId="TOCHeading">
    <w:name w:val="TOC Heading"/>
    <w:basedOn w:val="Heading1"/>
    <w:next w:val="Normal"/>
    <w:uiPriority w:val="39"/>
    <w:semiHidden/>
    <w:unhideWhenUsed/>
    <w:qFormat/>
    <w:rsid w:val="000D3BEC"/>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D3BEC"/>
    <w:pPr>
      <w:spacing w:after="100"/>
    </w:pPr>
  </w:style>
  <w:style w:type="paragraph" w:styleId="BalloonText">
    <w:name w:val="Balloon Text"/>
    <w:basedOn w:val="Normal"/>
    <w:link w:val="BalloonTextChar"/>
    <w:uiPriority w:val="99"/>
    <w:semiHidden/>
    <w:unhideWhenUsed/>
    <w:rsid w:val="000D3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EA5E6746-1A60-4621-82C1-FEAE4B4D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khalid haile</cp:lastModifiedBy>
  <cp:revision>15</cp:revision>
  <dcterms:created xsi:type="dcterms:W3CDTF">2022-04-30T14:36:00Z</dcterms:created>
  <dcterms:modified xsi:type="dcterms:W3CDTF">2022-05-02T20:24:00Z</dcterms:modified>
</cp:coreProperties>
</file>