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3D6A49E" w14:textId="77777777" w:rsidR="00FD7A39" w:rsidRDefault="003C21D0">
      <w:pPr>
        <w:spacing w:after="576" w:line="259" w:lineRule="auto"/>
        <w:ind w:left="351" w:firstLine="0"/>
      </w:pPr>
      <w:r>
        <w:rPr>
          <w:rFonts w:ascii="Arial" w:eastAsia="Arial" w:hAnsi="Arial" w:cs="Arial"/>
          <w:b/>
          <w:sz w:val="36"/>
        </w:rPr>
        <w:t>University of Wales Trinity Saint David (UWTSD)</w:t>
      </w:r>
    </w:p>
    <w:p w14:paraId="0C762F66" w14:textId="77777777" w:rsidR="00FD7A39" w:rsidRDefault="003C21D0">
      <w:pPr>
        <w:spacing w:after="293" w:line="259" w:lineRule="auto"/>
        <w:jc w:val="center"/>
      </w:pPr>
      <w:r>
        <w:rPr>
          <w:rFonts w:ascii="Arial" w:eastAsia="Arial" w:hAnsi="Arial" w:cs="Arial"/>
          <w:b/>
          <w:sz w:val="36"/>
        </w:rPr>
        <w:t>LCHS4003</w:t>
      </w:r>
    </w:p>
    <w:p w14:paraId="2D05020B" w14:textId="213C9898" w:rsidR="00FD7A39" w:rsidRDefault="00FD7A39">
      <w:pPr>
        <w:spacing w:after="153" w:line="259" w:lineRule="auto"/>
        <w:jc w:val="center"/>
      </w:pPr>
    </w:p>
    <w:p w14:paraId="342C3D5C" w14:textId="4152C662" w:rsidR="00FD7A39" w:rsidRDefault="00FD7A39" w:rsidP="000E5700">
      <w:pPr>
        <w:spacing w:after="842" w:line="265" w:lineRule="auto"/>
      </w:pPr>
    </w:p>
    <w:p w14:paraId="203AB257" w14:textId="77777777" w:rsidR="00FD7A39" w:rsidRPr="00B61428" w:rsidRDefault="003C21D0">
      <w:pPr>
        <w:spacing w:after="167" w:line="259" w:lineRule="auto"/>
        <w:ind w:left="0" w:firstLine="0"/>
        <w:jc w:val="center"/>
        <w:rPr>
          <w:szCs w:val="22"/>
        </w:rPr>
      </w:pPr>
      <w:r w:rsidRPr="00B61428">
        <w:rPr>
          <w:rFonts w:ascii="Arial" w:eastAsia="Arial" w:hAnsi="Arial" w:cs="Arial"/>
          <w:b/>
          <w:szCs w:val="22"/>
        </w:rPr>
        <w:t>Student Name:</w:t>
      </w:r>
      <w:r w:rsidRPr="00B61428">
        <w:rPr>
          <w:rFonts w:ascii="Arial" w:eastAsia="Arial" w:hAnsi="Arial" w:cs="Arial"/>
          <w:szCs w:val="22"/>
        </w:rPr>
        <w:t xml:space="preserve"> Mamata KC</w:t>
      </w:r>
    </w:p>
    <w:p w14:paraId="06D864C3" w14:textId="0163718D" w:rsidR="00FD7A39" w:rsidRPr="00B61428" w:rsidRDefault="003C21D0">
      <w:pPr>
        <w:spacing w:after="161" w:line="265" w:lineRule="auto"/>
        <w:jc w:val="center"/>
        <w:rPr>
          <w:szCs w:val="22"/>
        </w:rPr>
      </w:pPr>
      <w:r w:rsidRPr="00B61428">
        <w:rPr>
          <w:rFonts w:ascii="Arial" w:eastAsia="Arial" w:hAnsi="Arial" w:cs="Arial"/>
          <w:b/>
          <w:szCs w:val="22"/>
        </w:rPr>
        <w:t>Student Number:</w:t>
      </w:r>
      <w:r w:rsidRPr="00B61428">
        <w:rPr>
          <w:rFonts w:ascii="Arial" w:eastAsia="Arial" w:hAnsi="Arial" w:cs="Arial"/>
          <w:szCs w:val="22"/>
        </w:rPr>
        <w:t xml:space="preserve"> </w:t>
      </w:r>
      <w:r w:rsidR="005D47BA" w:rsidRPr="00B61428">
        <w:rPr>
          <w:rFonts w:ascii="Arial" w:eastAsia="Arial" w:hAnsi="Arial" w:cs="Arial"/>
          <w:szCs w:val="22"/>
        </w:rPr>
        <w:t>2522180</w:t>
      </w:r>
    </w:p>
    <w:p w14:paraId="171B0CA3" w14:textId="7A5EDEE6" w:rsidR="00585C33" w:rsidRPr="00B61428" w:rsidRDefault="003C21D0" w:rsidP="00585C33">
      <w:pPr>
        <w:spacing w:after="161" w:line="265" w:lineRule="auto"/>
        <w:jc w:val="center"/>
        <w:rPr>
          <w:rFonts w:ascii="Arial" w:eastAsia="Arial" w:hAnsi="Arial" w:cs="Arial"/>
          <w:szCs w:val="22"/>
        </w:rPr>
      </w:pPr>
      <w:r w:rsidRPr="00B61428">
        <w:rPr>
          <w:rFonts w:ascii="Arial" w:eastAsia="Arial" w:hAnsi="Arial" w:cs="Arial"/>
          <w:b/>
          <w:szCs w:val="22"/>
        </w:rPr>
        <w:t>Module Code and Title:</w:t>
      </w:r>
      <w:r w:rsidRPr="00B61428">
        <w:rPr>
          <w:rFonts w:ascii="Arial" w:eastAsia="Arial" w:hAnsi="Arial" w:cs="Arial"/>
          <w:szCs w:val="22"/>
        </w:rPr>
        <w:t xml:space="preserve"> LCHS4003 – </w:t>
      </w:r>
      <w:r w:rsidR="00EA1F61" w:rsidRPr="00B61428">
        <w:rPr>
          <w:rFonts w:ascii="Arial" w:eastAsia="Arial" w:hAnsi="Arial" w:cs="Arial"/>
          <w:szCs w:val="22"/>
        </w:rPr>
        <w:t>Introduction to Health and social car</w:t>
      </w:r>
    </w:p>
    <w:p w14:paraId="70FC2AC0" w14:textId="7FA86F91" w:rsidR="00FD7A39" w:rsidRPr="00B61428" w:rsidRDefault="003C21D0">
      <w:pPr>
        <w:spacing w:after="161" w:line="265" w:lineRule="auto"/>
        <w:jc w:val="center"/>
        <w:rPr>
          <w:szCs w:val="22"/>
        </w:rPr>
      </w:pPr>
      <w:r w:rsidRPr="00B61428">
        <w:rPr>
          <w:rFonts w:ascii="Arial" w:eastAsia="Arial" w:hAnsi="Arial" w:cs="Arial"/>
          <w:b/>
          <w:szCs w:val="22"/>
        </w:rPr>
        <w:t>Lecturer’s Name:</w:t>
      </w:r>
      <w:r w:rsidRPr="00B61428">
        <w:rPr>
          <w:rFonts w:ascii="Arial" w:eastAsia="Arial" w:hAnsi="Arial" w:cs="Arial"/>
          <w:szCs w:val="22"/>
        </w:rPr>
        <w:t xml:space="preserve"> </w:t>
      </w:r>
      <w:r w:rsidR="0009145E" w:rsidRPr="00B61428">
        <w:rPr>
          <w:rFonts w:ascii="Arial" w:eastAsia="Arial" w:hAnsi="Arial" w:cs="Arial"/>
          <w:szCs w:val="22"/>
        </w:rPr>
        <w:t>Zarah Ahmed</w:t>
      </w:r>
    </w:p>
    <w:p w14:paraId="1500F0BA" w14:textId="77777777" w:rsidR="00FD7A39" w:rsidRPr="00B61428" w:rsidRDefault="003C21D0">
      <w:pPr>
        <w:spacing w:after="161" w:line="265" w:lineRule="auto"/>
        <w:jc w:val="center"/>
        <w:rPr>
          <w:szCs w:val="22"/>
        </w:rPr>
      </w:pPr>
      <w:r w:rsidRPr="00B61428">
        <w:rPr>
          <w:rFonts w:ascii="Arial" w:eastAsia="Arial" w:hAnsi="Arial" w:cs="Arial"/>
          <w:b/>
          <w:szCs w:val="22"/>
        </w:rPr>
        <w:t>Assignment Title:</w:t>
      </w:r>
      <w:r w:rsidRPr="00B61428">
        <w:rPr>
          <w:rFonts w:ascii="Arial" w:eastAsia="Arial" w:hAnsi="Arial" w:cs="Arial"/>
          <w:szCs w:val="22"/>
        </w:rPr>
        <w:t xml:space="preserve"> Portfolio – Task 1 Mini Report and Task 2 Essay</w:t>
      </w:r>
    </w:p>
    <w:p w14:paraId="601FD57A" w14:textId="78CFC14A" w:rsidR="00FD7A39" w:rsidRPr="00B61428" w:rsidRDefault="003C21D0">
      <w:pPr>
        <w:spacing w:after="161" w:line="955" w:lineRule="auto"/>
        <w:ind w:left="1340" w:right="1330"/>
        <w:jc w:val="center"/>
        <w:rPr>
          <w:szCs w:val="22"/>
        </w:rPr>
      </w:pPr>
      <w:r w:rsidRPr="00B61428">
        <w:rPr>
          <w:rFonts w:ascii="Arial" w:eastAsia="Arial" w:hAnsi="Arial" w:cs="Arial"/>
          <w:b/>
          <w:szCs w:val="22"/>
        </w:rPr>
        <w:t>Submission deadline:</w:t>
      </w:r>
      <w:r w:rsidRPr="00B61428">
        <w:rPr>
          <w:rFonts w:ascii="Arial" w:eastAsia="Arial" w:hAnsi="Arial" w:cs="Arial"/>
          <w:szCs w:val="22"/>
        </w:rPr>
        <w:t xml:space="preserve"> Monday, 19 October 2026, 10 am</w:t>
      </w:r>
    </w:p>
    <w:p w14:paraId="67425001" w14:textId="77777777" w:rsidR="007E5B7F" w:rsidRPr="00B61428" w:rsidRDefault="007E5B7F">
      <w:pPr>
        <w:pStyle w:val="Heading1"/>
        <w:ind w:left="-5"/>
        <w:rPr>
          <w:sz w:val="22"/>
          <w:szCs w:val="22"/>
        </w:rPr>
      </w:pPr>
    </w:p>
    <w:p w14:paraId="16D71694" w14:textId="77777777" w:rsidR="007E5B7F" w:rsidRPr="00B61428" w:rsidRDefault="007E5B7F">
      <w:pPr>
        <w:pStyle w:val="Heading1"/>
        <w:ind w:left="-5"/>
        <w:rPr>
          <w:sz w:val="22"/>
          <w:szCs w:val="22"/>
        </w:rPr>
      </w:pPr>
    </w:p>
    <w:p w14:paraId="4C736F16" w14:textId="77777777" w:rsidR="007E5B7F" w:rsidRDefault="007E5B7F">
      <w:pPr>
        <w:pStyle w:val="Heading1"/>
        <w:ind w:left="-5"/>
        <w:rPr>
          <w:sz w:val="22"/>
          <w:szCs w:val="22"/>
        </w:rPr>
      </w:pPr>
    </w:p>
    <w:p w14:paraId="470C08D2" w14:textId="77777777" w:rsidR="00AD7FAC" w:rsidRDefault="00AD7FAC" w:rsidP="00AD7FAC"/>
    <w:p w14:paraId="3166ED84" w14:textId="77777777" w:rsidR="00AD7FAC" w:rsidRDefault="00AD7FAC" w:rsidP="00AD7FAC"/>
    <w:p w14:paraId="6339E304" w14:textId="77777777" w:rsidR="00AD7FAC" w:rsidRDefault="00AD7FAC" w:rsidP="00AD7FAC"/>
    <w:p w14:paraId="74F978A9" w14:textId="77777777" w:rsidR="00AD7FAC" w:rsidRDefault="00AD7FAC" w:rsidP="00AD7FAC"/>
    <w:p w14:paraId="3197AF45" w14:textId="77777777" w:rsidR="00AD7FAC" w:rsidRDefault="00AD7FAC" w:rsidP="00AD7FAC"/>
    <w:p w14:paraId="5F4FA0BD" w14:textId="77777777" w:rsidR="00AD7FAC" w:rsidRPr="00AD7FAC" w:rsidRDefault="00AD7FAC" w:rsidP="00AD7FAC"/>
    <w:p w14:paraId="16B1601C" w14:textId="77777777" w:rsidR="00AD7FAC" w:rsidRDefault="00AD7FAC">
      <w:pPr>
        <w:pStyle w:val="Heading1"/>
        <w:ind w:left="-5"/>
        <w:rPr>
          <w:sz w:val="22"/>
          <w:szCs w:val="22"/>
        </w:rPr>
      </w:pPr>
    </w:p>
    <w:p w14:paraId="5B50B619" w14:textId="77777777" w:rsidR="00AD7FAC" w:rsidRDefault="00AD7FAC">
      <w:pPr>
        <w:pStyle w:val="Heading1"/>
        <w:ind w:left="-5"/>
        <w:rPr>
          <w:sz w:val="22"/>
          <w:szCs w:val="22"/>
        </w:rPr>
      </w:pPr>
    </w:p>
    <w:p w14:paraId="7D9D7E33" w14:textId="77777777" w:rsidR="00AD7FAC" w:rsidRDefault="00AD7FAC">
      <w:pPr>
        <w:pStyle w:val="Heading1"/>
        <w:ind w:left="-5"/>
        <w:rPr>
          <w:sz w:val="22"/>
          <w:szCs w:val="22"/>
        </w:rPr>
      </w:pPr>
    </w:p>
    <w:p w14:paraId="69698838" w14:textId="77777777" w:rsidR="00AD7FAC" w:rsidRDefault="00AD7FAC">
      <w:pPr>
        <w:pStyle w:val="Heading1"/>
        <w:ind w:left="-5"/>
        <w:rPr>
          <w:sz w:val="22"/>
          <w:szCs w:val="22"/>
        </w:rPr>
      </w:pPr>
    </w:p>
    <w:p w14:paraId="3EFE0257" w14:textId="77777777" w:rsidR="00AD7FAC" w:rsidRDefault="00AD7FAC">
      <w:pPr>
        <w:pStyle w:val="Heading1"/>
        <w:ind w:left="-5"/>
        <w:rPr>
          <w:sz w:val="22"/>
          <w:szCs w:val="22"/>
        </w:rPr>
      </w:pPr>
    </w:p>
    <w:p w14:paraId="46298FB3" w14:textId="77777777" w:rsidR="00AD7FAC" w:rsidRDefault="00AD7FAC">
      <w:pPr>
        <w:pStyle w:val="Heading1"/>
        <w:ind w:left="-5"/>
        <w:rPr>
          <w:sz w:val="22"/>
          <w:szCs w:val="22"/>
        </w:rPr>
      </w:pPr>
    </w:p>
    <w:p w14:paraId="50684F6F" w14:textId="77777777" w:rsidR="00AD7FAC" w:rsidRDefault="00AD7FAC">
      <w:pPr>
        <w:pStyle w:val="Heading1"/>
        <w:ind w:left="-5"/>
        <w:rPr>
          <w:sz w:val="22"/>
          <w:szCs w:val="22"/>
        </w:rPr>
      </w:pPr>
    </w:p>
    <w:p w14:paraId="6C783843" w14:textId="77777777" w:rsidR="00AD7FAC" w:rsidRDefault="00AD7FAC">
      <w:pPr>
        <w:pStyle w:val="Heading1"/>
        <w:ind w:left="-5"/>
        <w:rPr>
          <w:sz w:val="22"/>
          <w:szCs w:val="22"/>
        </w:rPr>
      </w:pPr>
    </w:p>
    <w:p w14:paraId="0DDE4C88" w14:textId="77777777" w:rsidR="00AD7FAC" w:rsidRDefault="00AD7FAC">
      <w:pPr>
        <w:pStyle w:val="Heading1"/>
        <w:ind w:left="-5"/>
        <w:rPr>
          <w:sz w:val="22"/>
          <w:szCs w:val="22"/>
        </w:rPr>
      </w:pPr>
    </w:p>
    <w:p w14:paraId="13DC4AC5" w14:textId="77777777" w:rsidR="00AD7FAC" w:rsidRDefault="00AD7FAC">
      <w:pPr>
        <w:pStyle w:val="Heading1"/>
        <w:ind w:left="-5"/>
        <w:rPr>
          <w:sz w:val="22"/>
          <w:szCs w:val="22"/>
        </w:rPr>
      </w:pPr>
    </w:p>
    <w:p w14:paraId="404D9538" w14:textId="242AAA84" w:rsidR="00FD7A39" w:rsidRPr="00B61428" w:rsidRDefault="003C21D0">
      <w:pPr>
        <w:pStyle w:val="Heading1"/>
        <w:ind w:left="-5"/>
        <w:rPr>
          <w:sz w:val="22"/>
          <w:szCs w:val="22"/>
        </w:rPr>
      </w:pPr>
      <w:r w:rsidRPr="00B61428">
        <w:rPr>
          <w:sz w:val="22"/>
          <w:szCs w:val="22"/>
        </w:rPr>
        <w:t>Task 1: Guided Scenario – Mini Report</w:t>
      </w:r>
    </w:p>
    <w:p w14:paraId="7B624E65" w14:textId="77777777" w:rsidR="00FD7A39" w:rsidRPr="00B61428" w:rsidRDefault="003C21D0">
      <w:pPr>
        <w:spacing w:after="107" w:line="265" w:lineRule="auto"/>
        <w:ind w:left="-5"/>
        <w:rPr>
          <w:szCs w:val="22"/>
        </w:rPr>
      </w:pPr>
      <w:r w:rsidRPr="00B61428">
        <w:rPr>
          <w:rFonts w:ascii="Arial" w:eastAsia="Arial" w:hAnsi="Arial" w:cs="Arial"/>
          <w:b/>
          <w:szCs w:val="22"/>
        </w:rPr>
        <w:t>To:</w:t>
      </w:r>
      <w:r w:rsidRPr="00B61428">
        <w:rPr>
          <w:rFonts w:ascii="Arial" w:eastAsia="Arial" w:hAnsi="Arial" w:cs="Arial"/>
          <w:szCs w:val="22"/>
        </w:rPr>
        <w:t xml:space="preserve"> Councillor Michael Savage, Nottingham City Council</w:t>
      </w:r>
    </w:p>
    <w:p w14:paraId="05667CB8" w14:textId="77777777" w:rsidR="00FD7A39" w:rsidRPr="00B61428" w:rsidRDefault="003C21D0">
      <w:pPr>
        <w:spacing w:after="107" w:line="265" w:lineRule="auto"/>
        <w:ind w:left="-5"/>
        <w:rPr>
          <w:szCs w:val="22"/>
        </w:rPr>
      </w:pPr>
      <w:r w:rsidRPr="00B61428">
        <w:rPr>
          <w:rFonts w:ascii="Arial" w:eastAsia="Arial" w:hAnsi="Arial" w:cs="Arial"/>
          <w:b/>
          <w:szCs w:val="22"/>
        </w:rPr>
        <w:t>Address:</w:t>
      </w:r>
      <w:r w:rsidRPr="00B61428">
        <w:rPr>
          <w:rFonts w:ascii="Arial" w:eastAsia="Arial" w:hAnsi="Arial" w:cs="Arial"/>
          <w:szCs w:val="22"/>
        </w:rPr>
        <w:t xml:space="preserve"> Box 28, </w:t>
      </w:r>
      <w:proofErr w:type="spellStart"/>
      <w:r w:rsidRPr="00B61428">
        <w:rPr>
          <w:rFonts w:ascii="Arial" w:eastAsia="Arial" w:hAnsi="Arial" w:cs="Arial"/>
          <w:szCs w:val="22"/>
        </w:rPr>
        <w:t>Loxley</w:t>
      </w:r>
      <w:proofErr w:type="spellEnd"/>
      <w:r w:rsidRPr="00B61428">
        <w:rPr>
          <w:rFonts w:ascii="Arial" w:eastAsia="Arial" w:hAnsi="Arial" w:cs="Arial"/>
          <w:szCs w:val="22"/>
        </w:rPr>
        <w:t xml:space="preserve"> House, Station Street, Nottingham, NG2 3NG</w:t>
      </w:r>
    </w:p>
    <w:p w14:paraId="47CB5444" w14:textId="77777777" w:rsidR="00FD7A39" w:rsidRPr="00B61428" w:rsidRDefault="003C21D0">
      <w:pPr>
        <w:spacing w:after="107" w:line="265" w:lineRule="auto"/>
        <w:ind w:left="-5"/>
        <w:rPr>
          <w:szCs w:val="22"/>
        </w:rPr>
      </w:pPr>
      <w:r w:rsidRPr="00B61428">
        <w:rPr>
          <w:rFonts w:ascii="Arial" w:eastAsia="Arial" w:hAnsi="Arial" w:cs="Arial"/>
          <w:b/>
          <w:szCs w:val="22"/>
        </w:rPr>
        <w:t>Subject:</w:t>
      </w:r>
      <w:r w:rsidRPr="00B61428">
        <w:rPr>
          <w:rFonts w:ascii="Arial" w:eastAsia="Arial" w:hAnsi="Arial" w:cs="Arial"/>
          <w:szCs w:val="22"/>
        </w:rPr>
        <w:t xml:space="preserve"> Addressing a shortage of domiciliary care services in Nottingham</w:t>
      </w:r>
    </w:p>
    <w:p w14:paraId="5E6CA219" w14:textId="77777777" w:rsidR="00FD7A39" w:rsidRPr="00B61428" w:rsidRDefault="003C21D0">
      <w:pPr>
        <w:spacing w:after="112" w:line="259" w:lineRule="auto"/>
        <w:ind w:left="0" w:firstLine="0"/>
        <w:rPr>
          <w:szCs w:val="22"/>
        </w:rPr>
      </w:pPr>
      <w:r w:rsidRPr="00B61428">
        <w:rPr>
          <w:rFonts w:ascii="Arial" w:eastAsia="Arial" w:hAnsi="Arial" w:cs="Arial"/>
          <w:b/>
          <w:szCs w:val="22"/>
        </w:rPr>
        <w:t>Prepared by:</w:t>
      </w:r>
      <w:r w:rsidRPr="00B61428">
        <w:rPr>
          <w:rFonts w:ascii="Arial" w:eastAsia="Arial" w:hAnsi="Arial" w:cs="Arial"/>
          <w:szCs w:val="22"/>
        </w:rPr>
        <w:t xml:space="preserve"> Mamata KC</w:t>
      </w:r>
    </w:p>
    <w:p w14:paraId="08937A6B" w14:textId="4312B979" w:rsidR="00FD7A39" w:rsidRPr="00B61428" w:rsidRDefault="003C21D0">
      <w:pPr>
        <w:spacing w:after="573" w:line="265" w:lineRule="auto"/>
        <w:ind w:left="-5"/>
        <w:rPr>
          <w:szCs w:val="22"/>
        </w:rPr>
      </w:pPr>
      <w:r w:rsidRPr="00B61428">
        <w:rPr>
          <w:rFonts w:ascii="Arial" w:eastAsia="Arial" w:hAnsi="Arial" w:cs="Arial"/>
          <w:b/>
          <w:szCs w:val="22"/>
        </w:rPr>
        <w:t>Date:</w:t>
      </w:r>
      <w:r w:rsidRPr="00B61428">
        <w:rPr>
          <w:rFonts w:ascii="Arial" w:eastAsia="Arial" w:hAnsi="Arial" w:cs="Arial"/>
          <w:szCs w:val="22"/>
        </w:rPr>
        <w:t xml:space="preserve"> </w:t>
      </w:r>
      <w:r w:rsidR="00EA1155" w:rsidRPr="00B61428">
        <w:rPr>
          <w:rFonts w:ascii="Arial" w:eastAsia="Arial" w:hAnsi="Arial" w:cs="Arial"/>
          <w:szCs w:val="22"/>
        </w:rPr>
        <w:t>13</w:t>
      </w:r>
      <w:r w:rsidR="00891A83" w:rsidRPr="00B61428">
        <w:rPr>
          <w:rFonts w:ascii="Arial" w:eastAsia="Arial" w:hAnsi="Arial" w:cs="Arial"/>
          <w:szCs w:val="22"/>
        </w:rPr>
        <w:t xml:space="preserve"> October </w:t>
      </w:r>
      <w:r w:rsidR="00DF4CBA" w:rsidRPr="00B61428">
        <w:rPr>
          <w:rFonts w:ascii="Arial" w:eastAsia="Arial" w:hAnsi="Arial" w:cs="Arial"/>
          <w:szCs w:val="22"/>
        </w:rPr>
        <w:t>2026</w:t>
      </w:r>
    </w:p>
    <w:p w14:paraId="1CCC0C7A" w14:textId="77777777" w:rsidR="00FD7A39" w:rsidRPr="00B61428" w:rsidRDefault="003C21D0">
      <w:pPr>
        <w:pStyle w:val="Heading2"/>
        <w:ind w:left="-5"/>
        <w:rPr>
          <w:sz w:val="22"/>
          <w:szCs w:val="22"/>
        </w:rPr>
      </w:pPr>
      <w:r w:rsidRPr="00B61428">
        <w:rPr>
          <w:sz w:val="22"/>
          <w:szCs w:val="22"/>
        </w:rPr>
        <w:t>Introduction</w:t>
      </w:r>
    </w:p>
    <w:p w14:paraId="5B07613C" w14:textId="77777777" w:rsidR="00FD7A39" w:rsidRPr="00B61428" w:rsidRDefault="003C21D0">
      <w:pPr>
        <w:spacing w:after="231"/>
        <w:ind w:left="-5" w:right="12"/>
        <w:rPr>
          <w:szCs w:val="22"/>
        </w:rPr>
      </w:pPr>
      <w:r w:rsidRPr="00B61428">
        <w:rPr>
          <w:szCs w:val="22"/>
        </w:rPr>
        <w:t xml:space="preserve">Domiciliary care means providing support to people in their own homes so they can manage everyday life as safely and independently as possible. Depending on a person’s needs, support may include personal care, preparing meals, help with medicines and assistance with daily tasks. When there are not enough home-care services in a community, people may have to wait for help or may not receive support at the time they need it. This report considers the effects of a shortage in Nottingham and suggests steps the </w:t>
      </w:r>
      <w:r w:rsidRPr="00B61428">
        <w:rPr>
          <w:szCs w:val="22"/>
        </w:rPr>
        <w:t>local authority could take. The Care Act 2014 is central to this issue because it places wellbeing, prevention and the meeting of eligible care and support needs at the heart of adult social care. These duties support the case for improving access to reliable home care (Care Act 2014; Department of Health and Social Care, 2024).</w:t>
      </w:r>
    </w:p>
    <w:p w14:paraId="452A2E7C" w14:textId="77777777" w:rsidR="00FD7A39" w:rsidRPr="00B61428" w:rsidRDefault="003C21D0">
      <w:pPr>
        <w:pStyle w:val="Heading2"/>
        <w:ind w:left="-5"/>
        <w:rPr>
          <w:sz w:val="22"/>
          <w:szCs w:val="22"/>
        </w:rPr>
      </w:pPr>
      <w:r w:rsidRPr="00B61428">
        <w:rPr>
          <w:sz w:val="22"/>
          <w:szCs w:val="22"/>
        </w:rPr>
        <w:t>Impact on the community</w:t>
      </w:r>
    </w:p>
    <w:p w14:paraId="7E463644" w14:textId="77777777" w:rsidR="00FD7A39" w:rsidRPr="00B61428" w:rsidRDefault="003C21D0">
      <w:pPr>
        <w:ind w:left="-5" w:right="12"/>
        <w:rPr>
          <w:szCs w:val="22"/>
        </w:rPr>
      </w:pPr>
      <w:r w:rsidRPr="00B61428">
        <w:rPr>
          <w:szCs w:val="22"/>
        </w:rPr>
        <w:t>A shortage of domiciliary care can affect older people, disabled adults and others who need help to live at home. Without regular support, a person may find it difficult to wash, dress, prepare food or follow a medication routine. Missed or late visits can also cause worry and may increase the risk of accidents or a person’s needs becoming more serious. The Care Act 2014 requires local authorities to promote individual wellbeing. This includes dignity, physical and mental health, control over daily life, pe</w:t>
      </w:r>
      <w:r w:rsidRPr="00B61428">
        <w:rPr>
          <w:szCs w:val="22"/>
        </w:rPr>
        <w:t>rsonal relationships and being able to take part in the community. For this reason, limited home care can affect more than practical tasks; it can also reduce confidence and independence (Care Act 2014).</w:t>
      </w:r>
    </w:p>
    <w:p w14:paraId="669CCC22" w14:textId="77777777" w:rsidR="00FD7A39" w:rsidRPr="00B61428" w:rsidRDefault="003C21D0">
      <w:pPr>
        <w:ind w:left="-5" w:right="12"/>
        <w:rPr>
          <w:szCs w:val="22"/>
        </w:rPr>
      </w:pPr>
      <w:r w:rsidRPr="00B61428">
        <w:rPr>
          <w:szCs w:val="22"/>
        </w:rPr>
        <w:t>The pressure may extend to relatives and friends who provide unpaid care. When formal support is not available, family members may need to spend more time helping with personal care or daily activities. This can affect their work, sleep, family life and own health. The Care Act recognises carers’ needs, so local planning should consider the wellbeing of both the person receiving care and the people who support them (Department of Health and Social Care, 2024).</w:t>
      </w:r>
    </w:p>
    <w:p w14:paraId="285010BD" w14:textId="77777777" w:rsidR="00FD7A39" w:rsidRPr="00B61428" w:rsidRDefault="003C21D0">
      <w:pPr>
        <w:ind w:left="-5" w:right="12"/>
        <w:rPr>
          <w:szCs w:val="22"/>
        </w:rPr>
      </w:pPr>
      <w:r w:rsidRPr="00B61428">
        <w:rPr>
          <w:szCs w:val="22"/>
        </w:rPr>
        <w:lastRenderedPageBreak/>
        <w:t xml:space="preserve">Staffing is another part of the problem. Care providers need enough trained workers to deliver safe and dependable visits. Skills for Care’s national workforce report identifies recruitment and retention as important pressures in adult social care (Skills for Care, 2025). When providers are short-staffed, visits may be difficult to cover and people may see different workers frequently. This can make it harder to build trust and provide care that reflects individual preferences. Research into older people’s </w:t>
      </w:r>
      <w:r w:rsidRPr="00B61428">
        <w:rPr>
          <w:szCs w:val="22"/>
        </w:rPr>
        <w:t>home-care experiences has also found a relationship between the quality of care experience and social-care-related quality of life (Towers et al., 2019). The response should therefore improve both availability and the quality of support.</w:t>
      </w:r>
    </w:p>
    <w:p w14:paraId="229EFB14" w14:textId="77777777" w:rsidR="00FD7A39" w:rsidRPr="00B61428" w:rsidRDefault="003C21D0">
      <w:pPr>
        <w:pStyle w:val="Heading2"/>
        <w:ind w:left="-5"/>
        <w:rPr>
          <w:sz w:val="22"/>
          <w:szCs w:val="22"/>
        </w:rPr>
      </w:pPr>
      <w:r w:rsidRPr="00B61428">
        <w:rPr>
          <w:sz w:val="22"/>
          <w:szCs w:val="22"/>
        </w:rPr>
        <w:t>Recommendations</w:t>
      </w:r>
    </w:p>
    <w:p w14:paraId="4812EEA1" w14:textId="77777777" w:rsidR="00FD7A39" w:rsidRPr="00B61428" w:rsidRDefault="003C21D0">
      <w:pPr>
        <w:ind w:left="-5" w:right="12"/>
        <w:rPr>
          <w:szCs w:val="22"/>
        </w:rPr>
      </w:pPr>
      <w:r w:rsidRPr="00B61428">
        <w:rPr>
          <w:szCs w:val="22"/>
        </w:rPr>
        <w:t>First, Nottingham City Council should build a clearer picture of unmet need across local neighbourhoods. It could review waiting times, missed visits, provider capacity, staff vacancies, hospital discharge information, complaints and feedback from residents and unpaid carers. Looking at this information together would help the council identify where delays are most serious and direct support where it is needed most.</w:t>
      </w:r>
    </w:p>
    <w:p w14:paraId="19597174" w14:textId="77777777" w:rsidR="00FD7A39" w:rsidRPr="00B61428" w:rsidRDefault="003C21D0">
      <w:pPr>
        <w:ind w:left="-5" w:right="12"/>
        <w:rPr>
          <w:szCs w:val="22"/>
        </w:rPr>
      </w:pPr>
      <w:r w:rsidRPr="00B61428">
        <w:rPr>
          <w:szCs w:val="22"/>
        </w:rPr>
        <w:t>Second, the council should work with care providers to improve recruitment and staff retention. Fair commissioning arrangements, suitable training, good supervision and opportunities to develop a career may help providers keep experienced workers. Wherever possible, people should receive visits from a consistent group of care workers, as familiarity can support trust and better communication. Workforce planning is important because a service cannot provide reliable care if it does not have enough staff (Ski</w:t>
      </w:r>
      <w:r w:rsidRPr="00B61428">
        <w:rPr>
          <w:szCs w:val="22"/>
        </w:rPr>
        <w:t>lls for Care, 2025).</w:t>
      </w:r>
    </w:p>
    <w:p w14:paraId="17623640" w14:textId="77777777" w:rsidR="00FD7A39" w:rsidRPr="00B61428" w:rsidRDefault="003C21D0">
      <w:pPr>
        <w:ind w:left="-5" w:right="12"/>
        <w:rPr>
          <w:szCs w:val="22"/>
        </w:rPr>
      </w:pPr>
      <w:r w:rsidRPr="00B61428">
        <w:rPr>
          <w:szCs w:val="22"/>
        </w:rPr>
        <w:t xml:space="preserve">Third, the council should strengthen prevention and early support. The Care Act guidance explains that local authorities should take steps to prevent, reduce or delay the need for care and support (Department of Health and Social Care, 2024). </w:t>
      </w:r>
      <w:proofErr w:type="spellStart"/>
      <w:r w:rsidRPr="00B61428">
        <w:rPr>
          <w:szCs w:val="22"/>
        </w:rPr>
        <w:t>Reablement</w:t>
      </w:r>
      <w:proofErr w:type="spellEnd"/>
      <w:r w:rsidRPr="00B61428">
        <w:rPr>
          <w:szCs w:val="22"/>
        </w:rPr>
        <w:t xml:space="preserve"> after illness, home adaptations, equipment, practical advice and links with community organisations may help some people remain independent for longer. These options should be used alongside necessary home-care visits, not as a substitute where personal care is required.</w:t>
      </w:r>
    </w:p>
    <w:p w14:paraId="2DC7F730" w14:textId="77777777" w:rsidR="00FD7A39" w:rsidRPr="00B61428" w:rsidRDefault="003C21D0">
      <w:pPr>
        <w:spacing w:after="231"/>
        <w:ind w:left="-5" w:right="12"/>
        <w:rPr>
          <w:szCs w:val="22"/>
        </w:rPr>
      </w:pPr>
      <w:r w:rsidRPr="00B61428">
        <w:rPr>
          <w:szCs w:val="22"/>
        </w:rPr>
        <w:t>Finally, the council should involve people who use the service, family carers, care providers and health professionals when reviewing local provision. Their feedback can show whether visits are reliable, respectful and helpful in meeting personal goals. Measuring outcomes as well as the number of visits would keep the service focused on people’s actual needs.</w:t>
      </w:r>
    </w:p>
    <w:p w14:paraId="6B62C048" w14:textId="77777777" w:rsidR="00FD7A39" w:rsidRPr="00B61428" w:rsidRDefault="003C21D0">
      <w:pPr>
        <w:pStyle w:val="Heading2"/>
        <w:ind w:left="-5"/>
        <w:rPr>
          <w:sz w:val="22"/>
          <w:szCs w:val="22"/>
        </w:rPr>
      </w:pPr>
      <w:r w:rsidRPr="00B61428">
        <w:rPr>
          <w:sz w:val="22"/>
          <w:szCs w:val="22"/>
        </w:rPr>
        <w:t>Conclusion</w:t>
      </w:r>
    </w:p>
    <w:p w14:paraId="46776DD0" w14:textId="77777777" w:rsidR="00FD7A39" w:rsidRPr="00B61428" w:rsidRDefault="003C21D0">
      <w:pPr>
        <w:ind w:left="-5" w:right="12"/>
        <w:rPr>
          <w:szCs w:val="22"/>
        </w:rPr>
      </w:pPr>
      <w:r w:rsidRPr="00B61428">
        <w:rPr>
          <w:szCs w:val="22"/>
        </w:rPr>
        <w:t>A shortage of domiciliary care can affect people’s independence, dignity, safety and quality of life, and can place extra demands on unpaid carers. The Care Act 2014 supports action through its focus on wellbeing, prevention, carers and meeting eligible needs. Nottingham City Council should assess unmet demand, support providers to maintain a stable workforce, invest in preventative help and involve local people in planning. Improvements should be judged by whether residents receive timely, dependable and p</w:t>
      </w:r>
      <w:r w:rsidRPr="00B61428">
        <w:rPr>
          <w:szCs w:val="22"/>
        </w:rPr>
        <w:t>erson-centred support.</w:t>
      </w:r>
    </w:p>
    <w:p w14:paraId="2F229EC8" w14:textId="77777777" w:rsidR="00AD7FAC" w:rsidRDefault="00AD7FAC">
      <w:pPr>
        <w:pStyle w:val="Heading1"/>
        <w:spacing w:after="147"/>
        <w:ind w:left="-5"/>
        <w:rPr>
          <w:sz w:val="22"/>
          <w:szCs w:val="22"/>
        </w:rPr>
      </w:pPr>
    </w:p>
    <w:p w14:paraId="446F772F" w14:textId="77777777" w:rsidR="00AD7FAC" w:rsidRDefault="00AD7FAC">
      <w:pPr>
        <w:pStyle w:val="Heading1"/>
        <w:spacing w:after="147"/>
        <w:ind w:left="-5"/>
        <w:rPr>
          <w:sz w:val="22"/>
          <w:szCs w:val="22"/>
        </w:rPr>
      </w:pPr>
    </w:p>
    <w:p w14:paraId="34D2037B" w14:textId="77777777" w:rsidR="00AD7FAC" w:rsidRDefault="00AD7FAC">
      <w:pPr>
        <w:pStyle w:val="Heading1"/>
        <w:spacing w:after="147"/>
        <w:ind w:left="-5"/>
        <w:rPr>
          <w:sz w:val="22"/>
          <w:szCs w:val="22"/>
        </w:rPr>
      </w:pPr>
    </w:p>
    <w:p w14:paraId="6EBC8E5D" w14:textId="033C2131" w:rsidR="00FD7A39" w:rsidRPr="00B61428" w:rsidRDefault="003C21D0">
      <w:pPr>
        <w:pStyle w:val="Heading1"/>
        <w:spacing w:after="147"/>
        <w:ind w:left="-5"/>
        <w:rPr>
          <w:sz w:val="22"/>
          <w:szCs w:val="22"/>
        </w:rPr>
      </w:pPr>
      <w:r w:rsidRPr="00B61428">
        <w:rPr>
          <w:sz w:val="22"/>
          <w:szCs w:val="22"/>
        </w:rPr>
        <w:t>Task 2: Essay – Dentistry Services</w:t>
      </w:r>
    </w:p>
    <w:p w14:paraId="52AE82C4" w14:textId="77777777" w:rsidR="00FD7A39" w:rsidRPr="00B61428" w:rsidRDefault="003C21D0">
      <w:pPr>
        <w:pStyle w:val="Heading2"/>
        <w:ind w:left="-5"/>
        <w:rPr>
          <w:sz w:val="22"/>
          <w:szCs w:val="22"/>
        </w:rPr>
      </w:pPr>
      <w:r w:rsidRPr="00B61428">
        <w:rPr>
          <w:sz w:val="22"/>
          <w:szCs w:val="22"/>
        </w:rPr>
        <w:t>Introduction</w:t>
      </w:r>
    </w:p>
    <w:p w14:paraId="0BDB7226" w14:textId="77777777" w:rsidR="00FD7A39" w:rsidRPr="00B61428" w:rsidRDefault="003C21D0">
      <w:pPr>
        <w:spacing w:after="231"/>
        <w:ind w:left="-5" w:right="12"/>
        <w:rPr>
          <w:szCs w:val="22"/>
        </w:rPr>
      </w:pPr>
      <w:r w:rsidRPr="00B61428">
        <w:rPr>
          <w:szCs w:val="22"/>
        </w:rPr>
        <w:t>Dentistry services help people protect their oral health and receive treatment when problems develop. They include check-ups, advice about prevention, fillings, extractions, gum care and urgent treatment. In England, dental care is available through NHS and private services, although access and costs can differ. Oral health is closely linked to everyday wellbeing because toothache, infection and other problems can affect eating, speaking, sleeping and confidence. This essay considers how dentistry developed</w:t>
      </w:r>
      <w:r w:rsidRPr="00B61428">
        <w:rPr>
          <w:szCs w:val="22"/>
        </w:rPr>
        <w:t>, how the service works today, and the main strengths and limitations that affect people who need dental care.</w:t>
      </w:r>
    </w:p>
    <w:p w14:paraId="7CB6C037" w14:textId="77777777" w:rsidR="00FD7A39" w:rsidRPr="00B61428" w:rsidRDefault="003C21D0">
      <w:pPr>
        <w:pStyle w:val="Heading2"/>
        <w:ind w:left="-5"/>
        <w:rPr>
          <w:sz w:val="22"/>
          <w:szCs w:val="22"/>
        </w:rPr>
      </w:pPr>
      <w:r w:rsidRPr="00B61428">
        <w:rPr>
          <w:sz w:val="22"/>
          <w:szCs w:val="22"/>
        </w:rPr>
        <w:t>Historical context and current function</w:t>
      </w:r>
    </w:p>
    <w:p w14:paraId="09F908D4" w14:textId="77777777" w:rsidR="00FD7A39" w:rsidRPr="00B61428" w:rsidRDefault="003C21D0">
      <w:pPr>
        <w:spacing w:after="11"/>
        <w:ind w:left="-5" w:right="12"/>
        <w:rPr>
          <w:szCs w:val="22"/>
        </w:rPr>
      </w:pPr>
      <w:r w:rsidRPr="00B61428">
        <w:rPr>
          <w:szCs w:val="22"/>
        </w:rPr>
        <w:t>The establishment of the National Health Service in 1948 was an important stage in the development of publicly funded healthcare in Britain, including dental services. At that time, there was substantial demand for dental treatment. Over the following decades, dentistry continued to change through developments in clinical practice, professional training, regulation and public-health policy.</w:t>
      </w:r>
    </w:p>
    <w:p w14:paraId="31D45075" w14:textId="77777777" w:rsidR="00FD7A39" w:rsidRPr="00B61428" w:rsidRDefault="003C21D0">
      <w:pPr>
        <w:spacing w:after="14"/>
        <w:ind w:left="-5" w:right="12"/>
        <w:rPr>
          <w:szCs w:val="22"/>
        </w:rPr>
      </w:pPr>
      <w:r w:rsidRPr="00B61428">
        <w:rPr>
          <w:szCs w:val="22"/>
        </w:rPr>
        <w:t>Prevention became an important part of dental care, alongside treatment for existing problems.</w:t>
      </w:r>
    </w:p>
    <w:p w14:paraId="391F6F1F" w14:textId="77777777" w:rsidR="00FD7A39" w:rsidRPr="00B61428" w:rsidRDefault="003C21D0">
      <w:pPr>
        <w:ind w:left="-5" w:right="12"/>
        <w:rPr>
          <w:szCs w:val="22"/>
        </w:rPr>
      </w:pPr>
      <w:r w:rsidRPr="00B61428">
        <w:rPr>
          <w:szCs w:val="22"/>
        </w:rPr>
        <w:t>Private dentistry also continued to operate alongside NHS provision.</w:t>
      </w:r>
    </w:p>
    <w:p w14:paraId="05F6D135" w14:textId="77777777" w:rsidR="00FD7A39" w:rsidRPr="00B61428" w:rsidRDefault="003C21D0">
      <w:pPr>
        <w:ind w:left="-5" w:right="12"/>
        <w:rPr>
          <w:szCs w:val="22"/>
        </w:rPr>
      </w:pPr>
      <w:r w:rsidRPr="00B61428">
        <w:rPr>
          <w:szCs w:val="22"/>
        </w:rPr>
        <w:t>Modern dental care is delivered by a team of professionals. Dentists assess oral health, diagnose conditions and plan treatment. Dental nurses support the clinical team and help maintain safe care. Dental hygienists and dental therapists provide preventive and other treatments within their professional scope, while dental technicians make items such as crowns, bridges and dentures to a prescription. The General Dental Council regulates dental professionals and sets standards intended to protect patients.</w:t>
      </w:r>
    </w:p>
    <w:p w14:paraId="68C482AB" w14:textId="77777777" w:rsidR="00FD7A39" w:rsidRPr="00B61428" w:rsidRDefault="003C21D0">
      <w:pPr>
        <w:spacing w:after="231"/>
        <w:ind w:left="-5" w:right="12"/>
        <w:rPr>
          <w:szCs w:val="22"/>
        </w:rPr>
      </w:pPr>
      <w:r w:rsidRPr="00B61428">
        <w:rPr>
          <w:szCs w:val="22"/>
        </w:rPr>
        <w:t>NHS primary dental services provide routine and urgent care, with specialist services available for people who have more complex needs. People may also choose private treatment. NHS England’s 2024 plan for recovering and reforming NHS dentistry identified access, prevention and workforce development as important areas for improvement (NHS England, 2024). This shows that the service continues to respond to problems with appointment availability and the capacity of dental teams.</w:t>
      </w:r>
    </w:p>
    <w:p w14:paraId="55D5BE99" w14:textId="77777777" w:rsidR="00FD7A39" w:rsidRPr="00B61428" w:rsidRDefault="003C21D0">
      <w:pPr>
        <w:pStyle w:val="Heading2"/>
        <w:ind w:left="-5"/>
        <w:rPr>
          <w:sz w:val="22"/>
          <w:szCs w:val="22"/>
        </w:rPr>
      </w:pPr>
      <w:r w:rsidRPr="00B61428">
        <w:rPr>
          <w:sz w:val="22"/>
          <w:szCs w:val="22"/>
        </w:rPr>
        <w:t>Critical evaluation and significance for service users</w:t>
      </w:r>
    </w:p>
    <w:p w14:paraId="03FDE3AE" w14:textId="77777777" w:rsidR="00FD7A39" w:rsidRPr="00B61428" w:rsidRDefault="003C21D0">
      <w:pPr>
        <w:ind w:left="-5" w:right="12"/>
        <w:rPr>
          <w:szCs w:val="22"/>
        </w:rPr>
      </w:pPr>
      <w:r w:rsidRPr="00B61428">
        <w:rPr>
          <w:szCs w:val="22"/>
        </w:rPr>
        <w:t>One strength of dentistry is its ability to prevent problems or identify them before they become more serious. Check-ups and advice about oral hygiene, diet and fluoride can help people look after their teeth and gums. When treatment is provided at the right time, it can relieve pain, manage infection and help people eat and speak comfortably. Guidance for urgent dental care also highlights the need for safe and appropriate treatment when people have urgent problems (NHS England, 2025).</w:t>
      </w:r>
    </w:p>
    <w:p w14:paraId="3E14337F" w14:textId="77777777" w:rsidR="00FD7A39" w:rsidRPr="00B61428" w:rsidRDefault="003C21D0">
      <w:pPr>
        <w:ind w:left="-5" w:right="12"/>
        <w:rPr>
          <w:szCs w:val="22"/>
        </w:rPr>
      </w:pPr>
      <w:r w:rsidRPr="00B61428">
        <w:rPr>
          <w:szCs w:val="22"/>
        </w:rPr>
        <w:t xml:space="preserve">However, access is still a major challenge. Some people find it difficult to locate an NHS dentist who is accepting new patients, or they may wait longer than they would like for an appointment. If a problem is left untreated, it can become more painful and may require more complex care. These barriers can be especially difficult for people on low incomes, people with additional needs and those who face transport or mobility difficulties. Reforms may improve access, but their impact depends on how they are </w:t>
      </w:r>
      <w:r w:rsidRPr="00B61428">
        <w:rPr>
          <w:szCs w:val="22"/>
        </w:rPr>
        <w:t>delivered locally and whether practices have enough staff and appointment capacity.</w:t>
      </w:r>
    </w:p>
    <w:p w14:paraId="28086C33" w14:textId="77777777" w:rsidR="00FD7A39" w:rsidRPr="00B61428" w:rsidRDefault="003C21D0">
      <w:pPr>
        <w:ind w:left="-5" w:right="12"/>
        <w:rPr>
          <w:szCs w:val="22"/>
        </w:rPr>
      </w:pPr>
      <w:r w:rsidRPr="00B61428">
        <w:rPr>
          <w:szCs w:val="22"/>
        </w:rPr>
        <w:lastRenderedPageBreak/>
        <w:t>Workforce capacity is another important issue. Dental services need enough trained professionals to provide care safely and consistently. NHS England publishes dental workforce information to help describe staffing across providers (NHS England, 2025b). Patient survey findings can also help show how people experience access to dental care (NHS England, 2025a). These types of evidence are useful because they help assess the service from both the workforce and patient perspectives.</w:t>
      </w:r>
    </w:p>
    <w:p w14:paraId="662BAAEE" w14:textId="77777777" w:rsidR="00FD7A39" w:rsidRPr="00B61428" w:rsidRDefault="003C21D0">
      <w:pPr>
        <w:spacing w:after="231"/>
        <w:ind w:left="-5" w:right="12"/>
        <w:rPr>
          <w:szCs w:val="22"/>
        </w:rPr>
      </w:pPr>
      <w:r w:rsidRPr="00B61428">
        <w:rPr>
          <w:szCs w:val="22"/>
        </w:rPr>
        <w:t>Overall, dentistry can improve health and quality of life, but these benefits are limited when people cannot obtain care in time. A service should not be judged only by the treatments it offers; it should also be assessed by whether people can reach it, afford the care they need and receive support suited to their circumstances. Prevention, a stable workforce and fair access are therefore all important.</w:t>
      </w:r>
    </w:p>
    <w:p w14:paraId="34495476" w14:textId="77777777" w:rsidR="00FD7A39" w:rsidRPr="00B61428" w:rsidRDefault="003C21D0">
      <w:pPr>
        <w:pStyle w:val="Heading2"/>
        <w:ind w:left="-5"/>
        <w:rPr>
          <w:sz w:val="22"/>
          <w:szCs w:val="22"/>
        </w:rPr>
      </w:pPr>
      <w:r w:rsidRPr="00B61428">
        <w:rPr>
          <w:sz w:val="22"/>
          <w:szCs w:val="22"/>
        </w:rPr>
        <w:t>Conclusion</w:t>
      </w:r>
    </w:p>
    <w:p w14:paraId="7C3A1133" w14:textId="77777777" w:rsidR="00FD7A39" w:rsidRPr="00B61428" w:rsidRDefault="003C21D0">
      <w:pPr>
        <w:ind w:left="-5" w:right="12"/>
        <w:rPr>
          <w:szCs w:val="22"/>
        </w:rPr>
      </w:pPr>
      <w:r w:rsidRPr="00B61428">
        <w:rPr>
          <w:szCs w:val="22"/>
        </w:rPr>
        <w:t>Since the NHS began in 1948, dentistry has become an established part of healthcare in England. It offers prevention, assessment, routine treatment and urgent care, and it can reduce pain while helping people maintain everyday activities and confidence. However, difficulties accessing NHS appointments and workforce pressures can reduce these benefits. Continued improvement should focus on prevention, sufficient staffing and fair access so that people with different needs can receive timely and appropriate d</w:t>
      </w:r>
      <w:r w:rsidRPr="00B61428">
        <w:rPr>
          <w:szCs w:val="22"/>
        </w:rPr>
        <w:t>ental care.</w:t>
      </w:r>
      <w:r w:rsidRPr="00B61428">
        <w:rPr>
          <w:szCs w:val="22"/>
        </w:rPr>
        <w:br w:type="page"/>
      </w:r>
    </w:p>
    <w:p w14:paraId="5AB2C5AA" w14:textId="77777777" w:rsidR="00FD7A39" w:rsidRPr="00B61428" w:rsidRDefault="003C21D0">
      <w:pPr>
        <w:pStyle w:val="Heading1"/>
        <w:ind w:left="-5"/>
        <w:rPr>
          <w:sz w:val="22"/>
          <w:szCs w:val="22"/>
        </w:rPr>
      </w:pPr>
      <w:r w:rsidRPr="00B61428">
        <w:rPr>
          <w:sz w:val="22"/>
          <w:szCs w:val="22"/>
        </w:rPr>
        <w:lastRenderedPageBreak/>
        <w:t>Combined Reference List</w:t>
      </w:r>
    </w:p>
    <w:p w14:paraId="1755F96E" w14:textId="77777777" w:rsidR="00FD7A39" w:rsidRPr="00B61428" w:rsidRDefault="003C21D0">
      <w:pPr>
        <w:spacing w:after="125" w:line="264" w:lineRule="auto"/>
        <w:ind w:left="-15" w:firstLine="0"/>
        <w:rPr>
          <w:szCs w:val="22"/>
        </w:rPr>
      </w:pPr>
      <w:r w:rsidRPr="00B61428">
        <w:rPr>
          <w:szCs w:val="22"/>
        </w:rPr>
        <w:t xml:space="preserve">Care Act 2014 (2014) </w:t>
      </w:r>
      <w:r w:rsidRPr="00B61428">
        <w:rPr>
          <w:i/>
          <w:szCs w:val="22"/>
        </w:rPr>
        <w:t>Care Act 2014</w:t>
      </w:r>
      <w:r w:rsidRPr="00B61428">
        <w:rPr>
          <w:szCs w:val="22"/>
        </w:rPr>
        <w:t>. London: The Stationery Office.</w:t>
      </w:r>
    </w:p>
    <w:p w14:paraId="584EAF4D" w14:textId="77777777" w:rsidR="00FD7A39" w:rsidRPr="00B61428" w:rsidRDefault="003C21D0">
      <w:pPr>
        <w:spacing w:after="125" w:line="264" w:lineRule="auto"/>
        <w:ind w:left="235" w:hanging="250"/>
        <w:rPr>
          <w:szCs w:val="22"/>
        </w:rPr>
      </w:pPr>
      <w:r w:rsidRPr="00B61428">
        <w:rPr>
          <w:szCs w:val="22"/>
        </w:rPr>
        <w:t xml:space="preserve">Department of Health and Social Care (2024) </w:t>
      </w:r>
      <w:r w:rsidRPr="00B61428">
        <w:rPr>
          <w:i/>
          <w:szCs w:val="22"/>
        </w:rPr>
        <w:t>Care and support statutory guidance</w:t>
      </w:r>
      <w:r w:rsidRPr="00B61428">
        <w:rPr>
          <w:szCs w:val="22"/>
        </w:rPr>
        <w:t>. London: Department of Health and Social Care.</w:t>
      </w:r>
    </w:p>
    <w:p w14:paraId="5DA7FB9B" w14:textId="77777777" w:rsidR="00FD7A39" w:rsidRPr="00B61428" w:rsidRDefault="003C21D0">
      <w:pPr>
        <w:spacing w:after="125" w:line="264" w:lineRule="auto"/>
        <w:ind w:left="235" w:hanging="250"/>
        <w:rPr>
          <w:szCs w:val="22"/>
        </w:rPr>
      </w:pPr>
      <w:r w:rsidRPr="00B61428">
        <w:rPr>
          <w:szCs w:val="22"/>
        </w:rPr>
        <w:t xml:space="preserve">NHS England (2024) </w:t>
      </w:r>
      <w:r w:rsidRPr="00B61428">
        <w:rPr>
          <w:i/>
          <w:szCs w:val="22"/>
        </w:rPr>
        <w:t>Faster, simpler and fairer: our plan to recover and reform NHS dentistry</w:t>
      </w:r>
      <w:r w:rsidRPr="00B61428">
        <w:rPr>
          <w:szCs w:val="22"/>
        </w:rPr>
        <w:t>. London: NHS England.</w:t>
      </w:r>
    </w:p>
    <w:p w14:paraId="106C52F6" w14:textId="77777777" w:rsidR="00FD7A39" w:rsidRPr="00B61428" w:rsidRDefault="003C21D0">
      <w:pPr>
        <w:spacing w:after="125" w:line="264" w:lineRule="auto"/>
        <w:ind w:left="235" w:hanging="250"/>
        <w:rPr>
          <w:szCs w:val="22"/>
        </w:rPr>
      </w:pPr>
      <w:r w:rsidRPr="00B61428">
        <w:rPr>
          <w:szCs w:val="22"/>
        </w:rPr>
        <w:t xml:space="preserve">NHS England (2025) </w:t>
      </w:r>
      <w:r w:rsidRPr="00B61428">
        <w:rPr>
          <w:i/>
          <w:szCs w:val="22"/>
        </w:rPr>
        <w:t>Clinical guidance: unscheduled urgent and non-urgent dental care</w:t>
      </w:r>
      <w:r w:rsidRPr="00B61428">
        <w:rPr>
          <w:szCs w:val="22"/>
        </w:rPr>
        <w:t>. London: NHS England.</w:t>
      </w:r>
    </w:p>
    <w:p w14:paraId="26B75F31" w14:textId="77777777" w:rsidR="00FD7A39" w:rsidRPr="00B61428" w:rsidRDefault="003C21D0">
      <w:pPr>
        <w:spacing w:after="125" w:line="264" w:lineRule="auto"/>
        <w:ind w:left="-15" w:firstLine="0"/>
        <w:rPr>
          <w:szCs w:val="22"/>
        </w:rPr>
      </w:pPr>
      <w:r w:rsidRPr="00B61428">
        <w:rPr>
          <w:szCs w:val="22"/>
        </w:rPr>
        <w:t xml:space="preserve">NHS England (2025a) </w:t>
      </w:r>
      <w:r w:rsidRPr="00B61428">
        <w:rPr>
          <w:i/>
          <w:szCs w:val="22"/>
        </w:rPr>
        <w:t>GP Patient Survey dental statistics</w:t>
      </w:r>
      <w:r w:rsidRPr="00B61428">
        <w:rPr>
          <w:szCs w:val="22"/>
        </w:rPr>
        <w:t>. London: NHS England.</w:t>
      </w:r>
    </w:p>
    <w:p w14:paraId="63CB9AA3" w14:textId="77777777" w:rsidR="00FD7A39" w:rsidRPr="00B61428" w:rsidRDefault="003C21D0">
      <w:pPr>
        <w:spacing w:after="125" w:line="264" w:lineRule="auto"/>
        <w:ind w:left="-15" w:firstLine="0"/>
        <w:rPr>
          <w:szCs w:val="22"/>
        </w:rPr>
      </w:pPr>
      <w:r w:rsidRPr="00B61428">
        <w:rPr>
          <w:szCs w:val="22"/>
        </w:rPr>
        <w:t xml:space="preserve">NHS England (2025b) </w:t>
      </w:r>
      <w:r w:rsidRPr="00B61428">
        <w:rPr>
          <w:i/>
          <w:szCs w:val="22"/>
        </w:rPr>
        <w:t>Dental Workforce Publication December 2024</w:t>
      </w:r>
      <w:r w:rsidRPr="00B61428">
        <w:rPr>
          <w:szCs w:val="22"/>
        </w:rPr>
        <w:t>. London: NHS England.</w:t>
      </w:r>
    </w:p>
    <w:p w14:paraId="14F85621" w14:textId="77777777" w:rsidR="00FD7A39" w:rsidRPr="00B61428" w:rsidRDefault="003C21D0">
      <w:pPr>
        <w:spacing w:after="125" w:line="264" w:lineRule="auto"/>
        <w:ind w:left="235" w:hanging="250"/>
        <w:rPr>
          <w:szCs w:val="22"/>
        </w:rPr>
      </w:pPr>
      <w:r w:rsidRPr="00B61428">
        <w:rPr>
          <w:szCs w:val="22"/>
        </w:rPr>
        <w:t xml:space="preserve">Skills for Care (2025) </w:t>
      </w:r>
      <w:r w:rsidRPr="00B61428">
        <w:rPr>
          <w:i/>
          <w:szCs w:val="22"/>
        </w:rPr>
        <w:t>The state of the adult social care sector and workforce in England, 2025</w:t>
      </w:r>
      <w:r w:rsidRPr="00B61428">
        <w:rPr>
          <w:szCs w:val="22"/>
        </w:rPr>
        <w:t>. Leeds: Skills for Care.</w:t>
      </w:r>
    </w:p>
    <w:p w14:paraId="160CED95" w14:textId="77777777" w:rsidR="00FD7A39" w:rsidRPr="00B61428" w:rsidRDefault="003C21D0">
      <w:pPr>
        <w:spacing w:after="125" w:line="264" w:lineRule="auto"/>
        <w:ind w:left="235" w:hanging="250"/>
        <w:rPr>
          <w:szCs w:val="22"/>
        </w:rPr>
      </w:pPr>
      <w:r w:rsidRPr="00B61428">
        <w:rPr>
          <w:szCs w:val="22"/>
        </w:rPr>
        <w:t xml:space="preserve">Towers, A.-M. et al. (2019) ‘What is the relationship between the quality of care experience and quality of life outcomes? Some evidence from long-term home care in England’, </w:t>
      </w:r>
      <w:r w:rsidRPr="00B61428">
        <w:rPr>
          <w:i/>
          <w:szCs w:val="22"/>
        </w:rPr>
        <w:t>Health and Social Care in the Community</w:t>
      </w:r>
      <w:r w:rsidRPr="00B61428">
        <w:rPr>
          <w:szCs w:val="22"/>
        </w:rPr>
        <w:t>, 27(6), pp. 1499–1508.</w:t>
      </w:r>
    </w:p>
    <w:sectPr w:rsidR="00FD7A39" w:rsidRPr="00B61428" w:rsidSect="0043682E">
      <w:footerReference w:type="even" r:id="rId6"/>
      <w:footerReference w:type="default" r:id="rId7"/>
      <w:footerReference w:type="first" r:id="rId8"/>
      <w:pgSz w:w="11906" w:h="16838"/>
      <w:pgMar w:top="1322" w:right="1481" w:bottom="1336" w:left="1481" w:header="720" w:footer="643" w:gutter="0"/>
      <w:pgBorders w:offsetFrom="page">
        <w:left w:val="single" w:sz="8" w:space="24" w:color="auto"/>
        <w:right w:val="single" w:sz="8"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F091ABE" w14:textId="77777777" w:rsidR="00451B22" w:rsidRDefault="00451B22">
      <w:pPr>
        <w:spacing w:after="0" w:line="240" w:lineRule="auto"/>
      </w:pPr>
      <w:r>
        <w:separator/>
      </w:r>
    </w:p>
  </w:endnote>
  <w:endnote w:type="continuationSeparator" w:id="0">
    <w:p w14:paraId="39BF4C6C" w14:textId="77777777" w:rsidR="00451B22" w:rsidRDefault="00451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F929278" w14:textId="77777777" w:rsidR="00FD7A39" w:rsidRDefault="003C21D0">
    <w:pPr>
      <w:spacing w:after="0" w:line="259" w:lineRule="auto"/>
      <w:ind w:left="0" w:firstLine="0"/>
      <w:jc w:val="center"/>
    </w:pPr>
    <w:r>
      <w:fldChar w:fldCharType="begin"/>
    </w:r>
    <w:r>
      <w:instrText xml:space="preserve"> PAGE   \* MERGEFORMAT </w:instrText>
    </w:r>
    <w:r>
      <w:fldChar w:fldCharType="separate"/>
    </w:r>
    <w:r>
      <w:rPr>
        <w:rFonts w:ascii="Arial" w:eastAsia="Arial" w:hAnsi="Arial" w:cs="Arial"/>
        <w:color w:val="808080"/>
        <w:sz w:val="18"/>
      </w:rPr>
      <w:t>1</w:t>
    </w:r>
    <w:r>
      <w:rPr>
        <w:rFonts w:ascii="Arial" w:eastAsia="Arial" w:hAnsi="Arial" w:cs="Arial"/>
        <w:color w:val="808080"/>
        <w:sz w:val="18"/>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C6216B8" w14:textId="77777777" w:rsidR="00FD7A39" w:rsidRDefault="003C21D0">
    <w:pPr>
      <w:spacing w:after="0" w:line="259" w:lineRule="auto"/>
      <w:ind w:left="0" w:firstLine="0"/>
      <w:jc w:val="center"/>
    </w:pPr>
    <w:r>
      <w:fldChar w:fldCharType="begin"/>
    </w:r>
    <w:r>
      <w:instrText xml:space="preserve"> PAGE   \* MERGEFORMAT </w:instrText>
    </w:r>
    <w:r>
      <w:fldChar w:fldCharType="separate"/>
    </w:r>
    <w:r>
      <w:rPr>
        <w:rFonts w:ascii="Arial" w:eastAsia="Arial" w:hAnsi="Arial" w:cs="Arial"/>
        <w:color w:val="808080"/>
        <w:sz w:val="18"/>
      </w:rPr>
      <w:t>1</w:t>
    </w:r>
    <w:r>
      <w:rPr>
        <w:rFonts w:ascii="Arial" w:eastAsia="Arial" w:hAnsi="Arial" w:cs="Arial"/>
        <w:color w:val="808080"/>
        <w:sz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92058B" w14:textId="77777777" w:rsidR="00FD7A39" w:rsidRDefault="003C21D0">
    <w:pPr>
      <w:spacing w:after="0" w:line="259" w:lineRule="auto"/>
      <w:ind w:left="0" w:firstLine="0"/>
      <w:jc w:val="center"/>
    </w:pPr>
    <w:r>
      <w:fldChar w:fldCharType="begin"/>
    </w:r>
    <w:r>
      <w:instrText xml:space="preserve"> PAGE   \* MERGEFORMAT </w:instrText>
    </w:r>
    <w:r>
      <w:fldChar w:fldCharType="separate"/>
    </w:r>
    <w:r>
      <w:rPr>
        <w:rFonts w:ascii="Arial" w:eastAsia="Arial" w:hAnsi="Arial" w:cs="Arial"/>
        <w:color w:val="808080"/>
        <w:sz w:val="18"/>
      </w:rPr>
      <w:t>1</w:t>
    </w:r>
    <w:r>
      <w:rPr>
        <w:rFonts w:ascii="Arial" w:eastAsia="Arial" w:hAnsi="Arial" w:cs="Arial"/>
        <w:color w:val="808080"/>
        <w:sz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08569CE" w14:textId="77777777" w:rsidR="00451B22" w:rsidRDefault="00451B22">
      <w:pPr>
        <w:spacing w:after="0" w:line="240" w:lineRule="auto"/>
      </w:pPr>
      <w:r>
        <w:separator/>
      </w:r>
    </w:p>
  </w:footnote>
  <w:footnote w:type="continuationSeparator" w:id="0">
    <w:p w14:paraId="4238EE93" w14:textId="77777777" w:rsidR="00451B22" w:rsidRDefault="00451B22">
      <w:pPr>
        <w:spacing w:after="0" w:line="240" w:lineRule="auto"/>
      </w:pPr>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7A39"/>
    <w:rsid w:val="00065B8B"/>
    <w:rsid w:val="0009145E"/>
    <w:rsid w:val="000E5700"/>
    <w:rsid w:val="001709A4"/>
    <w:rsid w:val="00173A37"/>
    <w:rsid w:val="00220D9B"/>
    <w:rsid w:val="00224B80"/>
    <w:rsid w:val="002511B2"/>
    <w:rsid w:val="002E4FA9"/>
    <w:rsid w:val="003C21D0"/>
    <w:rsid w:val="0043682E"/>
    <w:rsid w:val="00451B22"/>
    <w:rsid w:val="00476924"/>
    <w:rsid w:val="00585C33"/>
    <w:rsid w:val="005A47A0"/>
    <w:rsid w:val="005D47BA"/>
    <w:rsid w:val="005D7DCA"/>
    <w:rsid w:val="0077013F"/>
    <w:rsid w:val="007C6892"/>
    <w:rsid w:val="007E5B7F"/>
    <w:rsid w:val="00891A83"/>
    <w:rsid w:val="00AD7FAC"/>
    <w:rsid w:val="00B4490C"/>
    <w:rsid w:val="00B61428"/>
    <w:rsid w:val="00C8157A"/>
    <w:rsid w:val="00DF4CBA"/>
    <w:rsid w:val="00EA1155"/>
    <w:rsid w:val="00EA1F61"/>
    <w:rsid w:val="00EB7ED6"/>
    <w:rsid w:val="00FD7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C84A97"/>
  <w15:docId w15:val="{62A2328A-3B85-B642-A52F-35F0D82CD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72" w:line="271" w:lineRule="auto"/>
      <w:ind w:left="10" w:hanging="10"/>
    </w:pPr>
    <w:rPr>
      <w:rFonts w:ascii="Times New Roman" w:eastAsia="Times New Roman" w:hAnsi="Times New Roman" w:cs="Times New Roman"/>
      <w:color w:val="000000"/>
      <w:sz w:val="22"/>
    </w:rPr>
  </w:style>
  <w:style w:type="paragraph" w:styleId="Heading1">
    <w:name w:val="heading 1"/>
    <w:next w:val="Normal"/>
    <w:link w:val="Heading1Char"/>
    <w:uiPriority w:val="9"/>
    <w:qFormat/>
    <w:pPr>
      <w:keepNext/>
      <w:keepLines/>
      <w:spacing w:after="67" w:line="259" w:lineRule="auto"/>
      <w:ind w:left="10" w:hanging="10"/>
      <w:outlineLvl w:val="0"/>
    </w:pPr>
    <w:rPr>
      <w:rFonts w:ascii="Arial" w:eastAsia="Arial" w:hAnsi="Arial" w:cs="Arial"/>
      <w:b/>
      <w:color w:val="000000"/>
      <w:sz w:val="30"/>
    </w:rPr>
  </w:style>
  <w:style w:type="paragraph" w:styleId="Heading2">
    <w:name w:val="heading 2"/>
    <w:next w:val="Normal"/>
    <w:link w:val="Heading2Char"/>
    <w:uiPriority w:val="9"/>
    <w:unhideWhenUsed/>
    <w:qFormat/>
    <w:pPr>
      <w:keepNext/>
      <w:keepLines/>
      <w:spacing w:after="102" w:line="259" w:lineRule="auto"/>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1736</Words>
  <Characters>9897</Characters>
  <Application>Microsoft Office Word</Application>
  <DocSecurity>0</DocSecurity>
  <Lines>82</Lines>
  <Paragraphs>23</Paragraphs>
  <ScaleCrop>false</ScaleCrop>
  <Company/>
  <LinksUpToDate>false</LinksUpToDate>
  <CharactersWithSpaces>11610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Mamata Kc (2522180)</cp:lastModifiedBy>
  <cp:revision>2</cp:revision>
  <dcterms:created xsi:type="dcterms:W3CDTF">2026-10-13T12:10:00Z</dcterms:created>
  <dcterms:modified xsi:type="dcterms:W3CDTF">2026-10-13T12:10:00Z</dcterms:modified>
</cp:coreProperties>
</file>