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66C86E" w14:textId="429D7CA6" w:rsidR="003768C1" w:rsidRPr="00A241BA" w:rsidRDefault="00996023" w:rsidP="00A241BA">
      <w:pPr>
        <w:spacing w:line="360" w:lineRule="auto"/>
        <w:jc w:val="center"/>
        <w:rPr>
          <w:rFonts w:cs="Al Tarikh"/>
          <w:b/>
          <w:bCs/>
          <w:u w:val="single"/>
        </w:rPr>
      </w:pPr>
      <w:r w:rsidRPr="00A241BA">
        <w:rPr>
          <w:rFonts w:cs="Al Tarikh"/>
          <w:b/>
          <w:bCs/>
          <w:u w:val="single"/>
        </w:rPr>
        <w:t xml:space="preserve">An explanation to how a therapy assistant practitioner can promote person centred care within their </w:t>
      </w:r>
      <w:r w:rsidRPr="00F07999">
        <w:rPr>
          <w:rFonts w:cs="Al Tarikh"/>
          <w:b/>
          <w:bCs/>
          <w:u w:val="single"/>
        </w:rPr>
        <w:t>own workplace.</w:t>
      </w:r>
    </w:p>
    <w:p w14:paraId="20B1AA82" w14:textId="4D74BC37" w:rsidR="00A241BA" w:rsidRPr="00A241BA" w:rsidRDefault="00C64550" w:rsidP="00A241BA">
      <w:pPr>
        <w:spacing w:line="360" w:lineRule="auto"/>
        <w:rPr>
          <w:rFonts w:cs="Al Tarikh"/>
        </w:rPr>
      </w:pPr>
      <w:r w:rsidRPr="00A241BA">
        <w:rPr>
          <w:rFonts w:cs="Al Tarikh"/>
        </w:rPr>
        <w:t>Person centred care is the cornerstone of effective healthcare, with a focus on individualised care which is tailored to each patient</w:t>
      </w:r>
      <w:r w:rsidRPr="00A241BA">
        <w:rPr>
          <w:rFonts w:cs="Times New Roman"/>
        </w:rPr>
        <w:t>’</w:t>
      </w:r>
      <w:r w:rsidRPr="00A241BA">
        <w:rPr>
          <w:rFonts w:cs="Al Tarikh"/>
        </w:rPr>
        <w:t>s needs, preferences and values (Stonehouse, 2021).</w:t>
      </w:r>
      <w:r w:rsidR="00675B18" w:rsidRPr="00A241BA">
        <w:rPr>
          <w:rFonts w:cs="Al Tarikh"/>
        </w:rPr>
        <w:t xml:space="preserve">  </w:t>
      </w:r>
      <w:r w:rsidRPr="00A241BA">
        <w:rPr>
          <w:rFonts w:cs="Al Tarikh"/>
        </w:rPr>
        <w:t xml:space="preserve">Therapy assistant practitioners </w:t>
      </w:r>
      <w:r w:rsidR="00F07999">
        <w:rPr>
          <w:rFonts w:cs="Al Tarikh"/>
        </w:rPr>
        <w:t xml:space="preserve">(TAP) </w:t>
      </w:r>
      <w:r w:rsidRPr="00A241BA">
        <w:rPr>
          <w:rFonts w:cs="Al Tarikh"/>
        </w:rPr>
        <w:t>play a piv</w:t>
      </w:r>
      <w:r w:rsidR="00A138E1" w:rsidRPr="00A241BA">
        <w:rPr>
          <w:rFonts w:cs="Al Tarikh"/>
        </w:rPr>
        <w:t xml:space="preserve">otal role in promoting person-centred care within their workplace, by ensuring the care provided respects </w:t>
      </w:r>
      <w:r w:rsidR="00F07999">
        <w:rPr>
          <w:rFonts w:cs="Al Tarikh"/>
        </w:rPr>
        <w:t xml:space="preserve">patients </w:t>
      </w:r>
      <w:r w:rsidR="00A138E1" w:rsidRPr="00A241BA">
        <w:rPr>
          <w:rFonts w:cs="Al Tarikh"/>
        </w:rPr>
        <w:t xml:space="preserve">dignity and autonomy </w:t>
      </w:r>
      <w:r w:rsidR="00401849" w:rsidRPr="00A241BA">
        <w:rPr>
          <w:rFonts w:cs="Al Tarikh"/>
        </w:rPr>
        <w:t xml:space="preserve">(National Health Service </w:t>
      </w:r>
      <w:r w:rsidR="00675B18" w:rsidRPr="00A241BA">
        <w:rPr>
          <w:rFonts w:cs="Al Tarikh"/>
        </w:rPr>
        <w:t xml:space="preserve">(NHS) </w:t>
      </w:r>
      <w:r w:rsidR="00401849" w:rsidRPr="00A241BA">
        <w:rPr>
          <w:rFonts w:cs="Al Tarikh"/>
        </w:rPr>
        <w:t>Wales, 2024</w:t>
      </w:r>
      <w:r w:rsidR="00675B18" w:rsidRPr="00A241BA">
        <w:rPr>
          <w:rFonts w:cs="Al Tarikh"/>
        </w:rPr>
        <w:t>a</w:t>
      </w:r>
      <w:r w:rsidR="00401849" w:rsidRPr="00A241BA">
        <w:rPr>
          <w:rFonts w:cs="Al Tarikh"/>
        </w:rPr>
        <w:t>).</w:t>
      </w:r>
      <w:r w:rsidR="00A241BA">
        <w:rPr>
          <w:rFonts w:cs="Al Tarikh"/>
        </w:rPr>
        <w:t xml:space="preserve">  </w:t>
      </w:r>
      <w:r w:rsidR="00071D2A" w:rsidRPr="00A241BA">
        <w:rPr>
          <w:rFonts w:cs="Al Tarikh"/>
        </w:rPr>
        <w:t>According to NHS Wales</w:t>
      </w:r>
      <w:r w:rsidR="00071D2A" w:rsidRPr="00A241BA">
        <w:rPr>
          <w:rFonts w:cs="Times New Roman"/>
        </w:rPr>
        <w:t>’</w:t>
      </w:r>
      <w:r w:rsidR="00071D2A" w:rsidRPr="00A241BA">
        <w:rPr>
          <w:rFonts w:cs="Al Tarikh"/>
        </w:rPr>
        <w:t xml:space="preserve"> Health and Care Quality Standards, (2024b), fostering relationships built on trust, empathy is crucial to achieving this.</w:t>
      </w:r>
      <w:r w:rsidR="00071D2A">
        <w:rPr>
          <w:rFonts w:cs="Al Tarikh"/>
        </w:rPr>
        <w:t xml:space="preserve">  This is further support</w:t>
      </w:r>
      <w:r w:rsidR="00F07999">
        <w:rPr>
          <w:rFonts w:cs="Al Tarikh"/>
        </w:rPr>
        <w:t xml:space="preserve">ed </w:t>
      </w:r>
      <w:r w:rsidR="00071D2A">
        <w:rPr>
          <w:rFonts w:cs="Al Tarikh"/>
        </w:rPr>
        <w:t xml:space="preserve">by Ahmed, van den Muijsenbergh and Vrijhoef, (2022) who state that </w:t>
      </w:r>
      <w:r w:rsidR="00A241BA">
        <w:rPr>
          <w:rFonts w:cs="Al Tarikh"/>
        </w:rPr>
        <w:t>having a thorough understanding of the principles of person-centred care and implementing these into practice can have a significant impact on quality of care</w:t>
      </w:r>
      <w:r w:rsidR="00071D2A">
        <w:rPr>
          <w:rFonts w:cs="Al Tarikh"/>
        </w:rPr>
        <w:t>.</w:t>
      </w:r>
      <w:r w:rsidR="0038735D">
        <w:rPr>
          <w:rFonts w:cs="Al Tarikh"/>
        </w:rPr>
        <w:t xml:space="preserve">  This essay explores how the </w:t>
      </w:r>
      <w:r w:rsidR="00F07999">
        <w:rPr>
          <w:rFonts w:cs="Al Tarikh"/>
        </w:rPr>
        <w:t>TAP</w:t>
      </w:r>
      <w:r w:rsidR="0038735D">
        <w:rPr>
          <w:rFonts w:cs="Al Tarikh"/>
        </w:rPr>
        <w:t xml:space="preserve"> can promote person-centred care, focusing on breadth and scope of practice, professional standards, accountability systems and other essential aspects. </w:t>
      </w:r>
    </w:p>
    <w:p w14:paraId="5FC0A1FD" w14:textId="0A852D78" w:rsidR="004B521D" w:rsidRDefault="00A449EB" w:rsidP="00A241BA">
      <w:pPr>
        <w:spacing w:line="360" w:lineRule="auto"/>
        <w:rPr>
          <w:rFonts w:cs="Al Tarikh"/>
        </w:rPr>
      </w:pPr>
      <w:r>
        <w:rPr>
          <w:rFonts w:cs="Al Tarikh"/>
        </w:rPr>
        <w:t>TAPs</w:t>
      </w:r>
      <w:r w:rsidR="001B056D">
        <w:rPr>
          <w:rFonts w:cs="Al Tarikh"/>
        </w:rPr>
        <w:t xml:space="preserve"> operate under a clearly defined code of conduct</w:t>
      </w:r>
      <w:r w:rsidR="004B521D">
        <w:rPr>
          <w:rFonts w:cs="Al Tarikh"/>
        </w:rPr>
        <w:t>,</w:t>
      </w:r>
      <w:r w:rsidR="007B3EA3">
        <w:rPr>
          <w:rFonts w:cs="Al Tarikh"/>
        </w:rPr>
        <w:t xml:space="preserve"> this involves working under the supervision of a qualified professional </w:t>
      </w:r>
      <w:r w:rsidR="000B3672">
        <w:rPr>
          <w:rFonts w:cs="Al Tarikh"/>
        </w:rPr>
        <w:t xml:space="preserve">and </w:t>
      </w:r>
      <w:r w:rsidR="00D010E9">
        <w:rPr>
          <w:rFonts w:cs="Al Tarikh"/>
        </w:rPr>
        <w:t>were</w:t>
      </w:r>
      <w:r w:rsidR="007B3EA3">
        <w:rPr>
          <w:rFonts w:cs="Al Tarikh"/>
        </w:rPr>
        <w:t xml:space="preserve"> deemed appropriate perform delegated tasks independently </w:t>
      </w:r>
      <w:r w:rsidR="00696A83">
        <w:rPr>
          <w:rFonts w:cs="Al Tarikh"/>
        </w:rPr>
        <w:t>(NHS Wales, 2024a)</w:t>
      </w:r>
      <w:r w:rsidR="007B3EA3">
        <w:rPr>
          <w:rFonts w:cs="Al Tarikh"/>
        </w:rPr>
        <w:t>.</w:t>
      </w:r>
      <w:r w:rsidR="000B3672">
        <w:rPr>
          <w:rFonts w:cs="Al Tarikh"/>
        </w:rPr>
        <w:t xml:space="preserve">  By understanding the scope of their role</w:t>
      </w:r>
      <w:r>
        <w:rPr>
          <w:rFonts w:cs="Al Tarikh"/>
        </w:rPr>
        <w:t xml:space="preserve">, </w:t>
      </w:r>
      <w:r w:rsidR="000B3672">
        <w:rPr>
          <w:rFonts w:cs="Al Tarikh"/>
        </w:rPr>
        <w:t xml:space="preserve">a </w:t>
      </w:r>
      <w:r>
        <w:rPr>
          <w:rFonts w:cs="Al Tarikh"/>
        </w:rPr>
        <w:t>TAP</w:t>
      </w:r>
      <w:r w:rsidR="000B3672">
        <w:rPr>
          <w:rFonts w:cs="Al Tarikh"/>
        </w:rPr>
        <w:t xml:space="preserve"> can confidently contribute to patient care while advocating for person-centred approaches </w:t>
      </w:r>
      <w:r w:rsidR="003802DD">
        <w:rPr>
          <w:rFonts w:cs="Al Tarikh"/>
        </w:rPr>
        <w:t>(Stonehouse, 2021)</w:t>
      </w:r>
      <w:r w:rsidR="00C108C3">
        <w:rPr>
          <w:rFonts w:cs="Al Tarikh"/>
        </w:rPr>
        <w:t>.</w:t>
      </w:r>
      <w:r w:rsidR="00B93417">
        <w:rPr>
          <w:rFonts w:cs="Al Tarikh"/>
        </w:rPr>
        <w:t xml:space="preserve">  </w:t>
      </w:r>
      <w:r w:rsidR="00C108C3">
        <w:rPr>
          <w:rFonts w:cs="Al Tarikh"/>
        </w:rPr>
        <w:t xml:space="preserve">For example, they can conduct </w:t>
      </w:r>
      <w:r w:rsidR="00B93417">
        <w:rPr>
          <w:rFonts w:cs="Al Tarikh"/>
        </w:rPr>
        <w:t>therapeutic</w:t>
      </w:r>
      <w:r w:rsidR="00C108C3">
        <w:rPr>
          <w:rFonts w:cs="Al Tarikh"/>
        </w:rPr>
        <w:t xml:space="preserve"> exercises, emotional support and implement care plans tailored to individual preferences.</w:t>
      </w:r>
      <w:r w:rsidR="00B93417">
        <w:rPr>
          <w:rFonts w:cs="Al Tarikh"/>
        </w:rPr>
        <w:t xml:space="preserve">  </w:t>
      </w:r>
      <w:r w:rsidR="00C108C3">
        <w:rPr>
          <w:rFonts w:cs="Al Tarikh"/>
        </w:rPr>
        <w:t xml:space="preserve">It is important for them to recognise their capacity for independent practice </w:t>
      </w:r>
      <w:r w:rsidR="00B93417">
        <w:rPr>
          <w:rFonts w:cs="Al Tarikh"/>
        </w:rPr>
        <w:t xml:space="preserve">which enables them to build trusting relationships with patients, fostering open communication </w:t>
      </w:r>
      <w:r w:rsidR="00EB177C">
        <w:rPr>
          <w:rFonts w:cs="Al Tarikh"/>
        </w:rPr>
        <w:t>(Havana et al, 2023).</w:t>
      </w:r>
      <w:r w:rsidR="00B0017A">
        <w:rPr>
          <w:rFonts w:cs="Al Tarikh"/>
        </w:rPr>
        <w:t xml:space="preserve">  </w:t>
      </w:r>
      <w:r w:rsidR="00EC502C">
        <w:rPr>
          <w:rFonts w:cs="Al Tarikh"/>
        </w:rPr>
        <w:t>In addition, e</w:t>
      </w:r>
      <w:r w:rsidR="00183F25">
        <w:rPr>
          <w:rFonts w:cs="Al Tarikh"/>
        </w:rPr>
        <w:t>nsuring clarity with patients on the</w:t>
      </w:r>
      <w:r>
        <w:rPr>
          <w:rFonts w:cs="Al Tarikh"/>
        </w:rPr>
        <w:t>ir</w:t>
      </w:r>
      <w:r w:rsidR="00183F25">
        <w:rPr>
          <w:rFonts w:cs="Al Tarikh"/>
        </w:rPr>
        <w:t xml:space="preserve"> limits of practice not only safeguards patients but it also builds trust</w:t>
      </w:r>
      <w:r w:rsidR="00067571">
        <w:rPr>
          <w:rFonts w:cs="Al Tarikh"/>
        </w:rPr>
        <w:t xml:space="preserve"> (Rimmer, 2024).  </w:t>
      </w:r>
      <w:r>
        <w:rPr>
          <w:rFonts w:cs="Al Tarikh"/>
        </w:rPr>
        <w:t>TAPs</w:t>
      </w:r>
      <w:r w:rsidR="00D0312C">
        <w:rPr>
          <w:rFonts w:cs="Al Tarikh"/>
        </w:rPr>
        <w:t xml:space="preserve"> working within </w:t>
      </w:r>
      <w:r w:rsidR="004B521D">
        <w:rPr>
          <w:rFonts w:cs="Al Tarikh"/>
        </w:rPr>
        <w:t>a</w:t>
      </w:r>
      <w:r w:rsidR="00D0312C">
        <w:rPr>
          <w:rFonts w:cs="Al Tarikh"/>
        </w:rPr>
        <w:t xml:space="preserve"> </w:t>
      </w:r>
      <w:r w:rsidR="004B521D">
        <w:rPr>
          <w:rFonts w:cs="Al Tarikh"/>
        </w:rPr>
        <w:t>multidisciplinary team (MDT)</w:t>
      </w:r>
      <w:r w:rsidR="00D0312C">
        <w:rPr>
          <w:rFonts w:cs="Al Tarikh"/>
        </w:rPr>
        <w:t xml:space="preserve"> </w:t>
      </w:r>
      <w:r w:rsidR="0059220C">
        <w:rPr>
          <w:rFonts w:cs="Al Tarikh"/>
        </w:rPr>
        <w:t xml:space="preserve">are able to collaborate with the wider workforce, seeking </w:t>
      </w:r>
      <w:r>
        <w:rPr>
          <w:rFonts w:cs="Al Tarikh"/>
        </w:rPr>
        <w:t>guidance,</w:t>
      </w:r>
      <w:r w:rsidR="0059220C">
        <w:rPr>
          <w:rFonts w:cs="Al Tarikh"/>
        </w:rPr>
        <w:t xml:space="preserve"> </w:t>
      </w:r>
      <w:r w:rsidR="00D010E9">
        <w:rPr>
          <w:rFonts w:cs="Al Tarikh"/>
        </w:rPr>
        <w:t>allowing</w:t>
      </w:r>
      <w:r w:rsidR="0059220C">
        <w:rPr>
          <w:rFonts w:cs="Al Tarikh"/>
        </w:rPr>
        <w:t xml:space="preserve"> them to </w:t>
      </w:r>
      <w:r w:rsidR="00A6310E">
        <w:rPr>
          <w:rFonts w:cs="Al Tarikh"/>
        </w:rPr>
        <w:t xml:space="preserve">maintain high standards of care while respecting the </w:t>
      </w:r>
      <w:r w:rsidR="00F76FC0">
        <w:rPr>
          <w:rFonts w:cs="Al Tarikh"/>
        </w:rPr>
        <w:t>patient’s</w:t>
      </w:r>
      <w:r w:rsidR="00A6310E">
        <w:rPr>
          <w:rFonts w:cs="Al Tarikh"/>
        </w:rPr>
        <w:t xml:space="preserve"> individual needs (NHS Wales, 2024a).  </w:t>
      </w:r>
    </w:p>
    <w:p w14:paraId="199C746E" w14:textId="3BB66800" w:rsidR="00156213" w:rsidRDefault="00156213" w:rsidP="00A241BA">
      <w:pPr>
        <w:spacing w:line="360" w:lineRule="auto"/>
        <w:rPr>
          <w:rFonts w:cs="Al Tarikh"/>
        </w:rPr>
      </w:pPr>
      <w:r>
        <w:rPr>
          <w:rFonts w:cs="Al Tarikh"/>
        </w:rPr>
        <w:t xml:space="preserve">Effective communication with the qualified professional who is delegating tasks ensures the patients’ needs, preferences, and goals are the forefront, the TAP can </w:t>
      </w:r>
      <w:r>
        <w:rPr>
          <w:rFonts w:cs="Al Tarikh"/>
        </w:rPr>
        <w:lastRenderedPageBreak/>
        <w:t xml:space="preserve">provide feedback on the patient’s progress, and this ensures the care plan remains aligned with their evolving preferences and goals </w:t>
      </w:r>
      <w:r w:rsidRPr="007078B2">
        <w:rPr>
          <w:rFonts w:cs="Al Tarikh"/>
        </w:rPr>
        <w:t>(Lizarondo et al, 2010).</w:t>
      </w:r>
      <w:r>
        <w:rPr>
          <w:rFonts w:cs="Al Tarikh"/>
        </w:rPr>
        <w:t xml:space="preserve"> </w:t>
      </w:r>
    </w:p>
    <w:p w14:paraId="30464D9E" w14:textId="7E408013" w:rsidR="00F76FC0" w:rsidRDefault="00A449EB" w:rsidP="00A241BA">
      <w:pPr>
        <w:spacing w:line="360" w:lineRule="auto"/>
        <w:rPr>
          <w:rFonts w:cs="Al Tarikh"/>
        </w:rPr>
      </w:pPr>
      <w:r>
        <w:rPr>
          <w:rFonts w:cs="Al Tarikh"/>
        </w:rPr>
        <w:t>TAPs</w:t>
      </w:r>
      <w:r w:rsidR="00F76FC0">
        <w:rPr>
          <w:rFonts w:cs="Al Tarikh"/>
        </w:rPr>
        <w:t xml:space="preserve"> </w:t>
      </w:r>
      <w:r w:rsidR="00C6353C">
        <w:rPr>
          <w:rFonts w:cs="Al Tarikh"/>
        </w:rPr>
        <w:t>must adhere to Code of Conduct for Health Care Support Workers in Wales, this code of conduct emphasises respect, dignity, and patient autonomy</w:t>
      </w:r>
      <w:r>
        <w:rPr>
          <w:rFonts w:cs="Al Tarikh"/>
        </w:rPr>
        <w:t xml:space="preserve">, </w:t>
      </w:r>
      <w:r w:rsidR="00082969">
        <w:rPr>
          <w:rFonts w:cs="Al Tarikh"/>
        </w:rPr>
        <w:t xml:space="preserve">following </w:t>
      </w:r>
      <w:r w:rsidR="008C785A">
        <w:rPr>
          <w:rFonts w:cs="Al Tarikh"/>
        </w:rPr>
        <w:t>these principles can support their practice to align with person-centred care</w:t>
      </w:r>
      <w:r w:rsidR="00D010E9">
        <w:rPr>
          <w:rFonts w:cs="Al Tarikh"/>
        </w:rPr>
        <w:t xml:space="preserve"> (NHS Wales, 2024a)</w:t>
      </w:r>
      <w:r w:rsidR="008C785A">
        <w:rPr>
          <w:rFonts w:cs="Al Tarikh"/>
        </w:rPr>
        <w:t>.</w:t>
      </w:r>
      <w:r w:rsidR="00FD1423">
        <w:rPr>
          <w:rFonts w:cs="Al Tarikh"/>
        </w:rPr>
        <w:t xml:space="preserve">  </w:t>
      </w:r>
      <w:r w:rsidR="008C785A">
        <w:rPr>
          <w:rFonts w:cs="Al Tarikh"/>
        </w:rPr>
        <w:t xml:space="preserve">For example, maintaining confidentiality, obtaining informed consent, and upholding </w:t>
      </w:r>
      <w:r w:rsidR="00FD1423">
        <w:rPr>
          <w:rFonts w:cs="Al Tarikh"/>
        </w:rPr>
        <w:t>the patients right to make decisions about their care essential components of professional conduct (Miller 2013).</w:t>
      </w:r>
    </w:p>
    <w:p w14:paraId="225BD7F7" w14:textId="0761E23F" w:rsidR="00FF0259" w:rsidRDefault="00CE7E1C" w:rsidP="00A241BA">
      <w:pPr>
        <w:spacing w:line="360" w:lineRule="auto"/>
        <w:rPr>
          <w:rFonts w:cs="Al Tarikh"/>
        </w:rPr>
      </w:pPr>
      <w:r>
        <w:rPr>
          <w:rFonts w:cs="Al Tarikh"/>
        </w:rPr>
        <w:t>Accountability is integral to promoting person-centred care</w:t>
      </w:r>
      <w:r w:rsidR="0033038E">
        <w:rPr>
          <w:rFonts w:cs="Al Tarikh"/>
        </w:rPr>
        <w:t xml:space="preserve"> (Sheikh, Ranson and Gilson, 2014).  </w:t>
      </w:r>
      <w:r>
        <w:rPr>
          <w:rFonts w:cs="Al Tarikh"/>
        </w:rPr>
        <w:t xml:space="preserve">As part of their roles </w:t>
      </w:r>
      <w:r w:rsidR="00A449EB">
        <w:rPr>
          <w:rFonts w:cs="Al Tarikh"/>
        </w:rPr>
        <w:t>TAP</w:t>
      </w:r>
      <w:r>
        <w:rPr>
          <w:rFonts w:cs="Al Tarikh"/>
        </w:rPr>
        <w:t xml:space="preserve"> are accountable </w:t>
      </w:r>
      <w:r w:rsidR="007078B2">
        <w:rPr>
          <w:rFonts w:cs="Al Tarikh"/>
        </w:rPr>
        <w:t xml:space="preserve">to </w:t>
      </w:r>
      <w:r>
        <w:rPr>
          <w:rFonts w:cs="Al Tarikh"/>
        </w:rPr>
        <w:t xml:space="preserve">their </w:t>
      </w:r>
      <w:r w:rsidR="004B521D">
        <w:rPr>
          <w:rFonts w:cs="Al Tarikh"/>
        </w:rPr>
        <w:t>supervisor</w:t>
      </w:r>
      <w:r w:rsidR="008571F0">
        <w:rPr>
          <w:rFonts w:cs="Al Tarikh"/>
        </w:rPr>
        <w:t>, the organisation and ultimately the patients (Department of Health and Social Care, 2024).  By document</w:t>
      </w:r>
      <w:r w:rsidR="00A449EB">
        <w:rPr>
          <w:rFonts w:cs="Al Tarikh"/>
        </w:rPr>
        <w:t>ing</w:t>
      </w:r>
      <w:r w:rsidR="008571F0">
        <w:rPr>
          <w:rFonts w:cs="Al Tarikh"/>
        </w:rPr>
        <w:t xml:space="preserve"> care and interactions with patients accurately and transparently, demonstrates their commitment to ethical practice (NHS Wales, 2024a).</w:t>
      </w:r>
      <w:r w:rsidR="001518BE">
        <w:rPr>
          <w:rFonts w:cs="Al Tarikh"/>
        </w:rPr>
        <w:t xml:space="preserve">  </w:t>
      </w:r>
      <w:r w:rsidR="00047E4F">
        <w:rPr>
          <w:rFonts w:cs="Al Tarikh"/>
        </w:rPr>
        <w:t>As reported by Abu-Jeyyab et al, (2024) r</w:t>
      </w:r>
      <w:r w:rsidR="001518BE">
        <w:rPr>
          <w:rFonts w:cs="Al Tarikh"/>
        </w:rPr>
        <w:t xml:space="preserve">egular audits </w:t>
      </w:r>
      <w:r w:rsidR="00047E4F">
        <w:rPr>
          <w:rFonts w:cs="Al Tarikh"/>
        </w:rPr>
        <w:t xml:space="preserve">ensure good adherence </w:t>
      </w:r>
      <w:r w:rsidR="00E03A86">
        <w:rPr>
          <w:rFonts w:cs="Al Tarikh"/>
        </w:rPr>
        <w:t xml:space="preserve">to </w:t>
      </w:r>
      <w:r w:rsidR="00047E4F">
        <w:rPr>
          <w:rFonts w:cs="Al Tarikh"/>
        </w:rPr>
        <w:t>person-centred principles, demonstrating the value in recognising and addressing errors or concerns in a prompt manner</w:t>
      </w:r>
      <w:r w:rsidR="00A449EB">
        <w:rPr>
          <w:rFonts w:cs="Al Tarikh"/>
        </w:rPr>
        <w:t xml:space="preserve">, </w:t>
      </w:r>
      <w:r w:rsidR="00047E4F">
        <w:rPr>
          <w:rFonts w:cs="Al Tarikh"/>
        </w:rPr>
        <w:t>this can foster a culture of trust and safety</w:t>
      </w:r>
      <w:r w:rsidR="00A449EB">
        <w:rPr>
          <w:rFonts w:cs="Al Tarikh"/>
        </w:rPr>
        <w:t>.</w:t>
      </w:r>
      <w:r w:rsidR="00047E4F">
        <w:rPr>
          <w:rFonts w:cs="Al Tarikh"/>
        </w:rPr>
        <w:t xml:space="preserve"> </w:t>
      </w:r>
    </w:p>
    <w:p w14:paraId="0F0B11CA" w14:textId="6801952A" w:rsidR="00D90CDE" w:rsidRDefault="00746F00" w:rsidP="00A241BA">
      <w:pPr>
        <w:spacing w:line="360" w:lineRule="auto"/>
        <w:rPr>
          <w:rFonts w:cs="Al Tarikh"/>
        </w:rPr>
      </w:pPr>
      <w:r>
        <w:rPr>
          <w:rFonts w:cs="Al Tarikh"/>
        </w:rPr>
        <w:t xml:space="preserve">It is important that </w:t>
      </w:r>
      <w:r w:rsidR="00A449EB">
        <w:rPr>
          <w:rFonts w:cs="Al Tarikh"/>
        </w:rPr>
        <w:t>TAPs</w:t>
      </w:r>
      <w:r>
        <w:rPr>
          <w:rFonts w:cs="Al Tarikh"/>
        </w:rPr>
        <w:t xml:space="preserve"> function within organisation policies and national guidance (NHS Wales, 2024a)</w:t>
      </w:r>
      <w:r w:rsidR="00A449EB">
        <w:rPr>
          <w:rFonts w:cs="Al Tarikh"/>
        </w:rPr>
        <w:t xml:space="preserve">, </w:t>
      </w:r>
      <w:r>
        <w:rPr>
          <w:rFonts w:cs="Al Tarikh"/>
        </w:rPr>
        <w:t xml:space="preserve">these provide a foundation for </w:t>
      </w:r>
      <w:r w:rsidR="00A449EB">
        <w:rPr>
          <w:rFonts w:cs="Al Tarikh"/>
        </w:rPr>
        <w:t xml:space="preserve">TAPs </w:t>
      </w:r>
      <w:r w:rsidR="00EF5DB3">
        <w:rPr>
          <w:rFonts w:cs="Al Tarikh"/>
        </w:rPr>
        <w:t>which support them to deliver consistent and high-quality care.  For example, the Health and Care Act (2022) emphasises the importance of involving individuals in decisions regarding their care.</w:t>
      </w:r>
      <w:r w:rsidR="00D85CAD">
        <w:rPr>
          <w:rFonts w:cs="Al Tarikh"/>
        </w:rPr>
        <w:t xml:space="preserve">  These types of legislation, policies and guidance allow </w:t>
      </w:r>
      <w:r w:rsidR="00A449EB">
        <w:rPr>
          <w:rFonts w:cs="Al Tarikh"/>
        </w:rPr>
        <w:t>TAPs</w:t>
      </w:r>
      <w:r w:rsidR="00D90CDE">
        <w:rPr>
          <w:rFonts w:cs="Al Tarikh"/>
        </w:rPr>
        <w:t xml:space="preserve"> to help advocate for patients and person-centred approaches and ensuring practice aligns with these policies.</w:t>
      </w:r>
    </w:p>
    <w:p w14:paraId="4DE06C06" w14:textId="217ACBBA" w:rsidR="00A35DA0" w:rsidRDefault="00084A52" w:rsidP="00A241BA">
      <w:pPr>
        <w:spacing w:line="360" w:lineRule="auto"/>
        <w:rPr>
          <w:rFonts w:cs="Al Tarikh"/>
        </w:rPr>
      </w:pPr>
      <w:r>
        <w:rPr>
          <w:rFonts w:cs="Al Tarikh"/>
        </w:rPr>
        <w:t xml:space="preserve">Collaboration with </w:t>
      </w:r>
      <w:r w:rsidR="001C65E3">
        <w:rPr>
          <w:rFonts w:cs="Al Tarikh"/>
        </w:rPr>
        <w:t xml:space="preserve">other professionals </w:t>
      </w:r>
      <w:r w:rsidR="00F11223">
        <w:rPr>
          <w:rFonts w:cs="Al Tarikh"/>
        </w:rPr>
        <w:t>is important in supporting patients and addressing their needs</w:t>
      </w:r>
      <w:r w:rsidR="007637BF">
        <w:rPr>
          <w:rFonts w:cs="Al Tarikh"/>
        </w:rPr>
        <w:t xml:space="preserve"> (NHS Wales, 2024a). </w:t>
      </w:r>
      <w:r w:rsidR="00FB4DC8">
        <w:rPr>
          <w:rFonts w:cs="Al Tarikh"/>
        </w:rPr>
        <w:t>TAPs</w:t>
      </w:r>
      <w:r w:rsidR="007637BF">
        <w:rPr>
          <w:rFonts w:cs="Al Tarikh"/>
        </w:rPr>
        <w:t xml:space="preserve"> work alongside a multitude of health professionals to deliver holistic care </w:t>
      </w:r>
      <w:r w:rsidR="00C736C7">
        <w:rPr>
          <w:rFonts w:cs="Al Tarikh"/>
        </w:rPr>
        <w:t xml:space="preserve">(Garvey, 2019).  </w:t>
      </w:r>
      <w:r w:rsidR="00FB4DC8">
        <w:rPr>
          <w:rFonts w:cs="Al Tarikh"/>
        </w:rPr>
        <w:t>TAPs</w:t>
      </w:r>
      <w:r w:rsidR="00C736C7">
        <w:rPr>
          <w:rFonts w:cs="Al Tarikh"/>
        </w:rPr>
        <w:t xml:space="preserve"> have the ability to share insights into patient preferences and needs </w:t>
      </w:r>
      <w:r w:rsidR="00E03A86">
        <w:rPr>
          <w:rFonts w:cs="Al Tarikh"/>
        </w:rPr>
        <w:t>allowing</w:t>
      </w:r>
      <w:r w:rsidR="00C736C7">
        <w:rPr>
          <w:rFonts w:cs="Al Tarikh"/>
        </w:rPr>
        <w:t xml:space="preserve"> them to contribute to a patients care plan</w:t>
      </w:r>
      <w:r w:rsidR="004A32D5">
        <w:rPr>
          <w:rFonts w:cs="Al Tarikh"/>
        </w:rPr>
        <w:t xml:space="preserve"> (Ahmed, </w:t>
      </w:r>
      <w:r w:rsidR="002B5094">
        <w:rPr>
          <w:rFonts w:cs="Al Tarikh"/>
        </w:rPr>
        <w:t>Muijsenbergh and Vrijhoef, 2022).</w:t>
      </w:r>
      <w:r w:rsidR="00A35DA0">
        <w:rPr>
          <w:rFonts w:cs="Al Tarikh"/>
        </w:rPr>
        <w:t xml:space="preserve">  Relationships with external stakeholders, such as community organisations, healthcare providers, or family members are equally important. </w:t>
      </w:r>
      <w:r w:rsidR="00FB4DC8">
        <w:rPr>
          <w:rFonts w:cs="Al Tarikh"/>
        </w:rPr>
        <w:t xml:space="preserve"> TAPs</w:t>
      </w:r>
      <w:r w:rsidR="00A35DA0">
        <w:rPr>
          <w:rFonts w:cs="Al Tarikh"/>
        </w:rPr>
        <w:t xml:space="preserve"> ca</w:t>
      </w:r>
      <w:r w:rsidR="00FB4DC8">
        <w:rPr>
          <w:rFonts w:cs="Al Tarikh"/>
        </w:rPr>
        <w:t>n</w:t>
      </w:r>
      <w:r w:rsidR="00A35DA0">
        <w:rPr>
          <w:rFonts w:cs="Al Tarikh"/>
        </w:rPr>
        <w:t xml:space="preserve"> engage with external partners by maintaining </w:t>
      </w:r>
      <w:r w:rsidR="00A35DA0">
        <w:rPr>
          <w:rFonts w:cs="Al Tarikh"/>
        </w:rPr>
        <w:lastRenderedPageBreak/>
        <w:t>professionalism, demonstrating empathy and providing updates about patient care or liaising with services to support patient</w:t>
      </w:r>
      <w:r w:rsidR="002527D5">
        <w:rPr>
          <w:rFonts w:cs="Al Tarikh"/>
        </w:rPr>
        <w:t xml:space="preserve">, ensuring they communicate effectively to ensure seamless transfer of care (NHS England, 2019). </w:t>
      </w:r>
    </w:p>
    <w:p w14:paraId="73E55E88" w14:textId="2D267683" w:rsidR="002B5094" w:rsidRDefault="002B5094" w:rsidP="00A241BA">
      <w:pPr>
        <w:spacing w:line="360" w:lineRule="auto"/>
        <w:rPr>
          <w:rFonts w:cs="Al Tarikh"/>
        </w:rPr>
      </w:pPr>
      <w:r>
        <w:rPr>
          <w:rFonts w:cs="Al Tarikh"/>
        </w:rPr>
        <w:t xml:space="preserve">Effective caseload management is essential for ensuring patients receive the care they need.  </w:t>
      </w:r>
      <w:r w:rsidR="007078B2">
        <w:rPr>
          <w:rFonts w:cs="Al Tarikh"/>
        </w:rPr>
        <w:t>T</w:t>
      </w:r>
      <w:r w:rsidR="00FB4DC8">
        <w:rPr>
          <w:rFonts w:cs="Al Tarikh"/>
        </w:rPr>
        <w:t>AP</w:t>
      </w:r>
      <w:r w:rsidR="007078B2">
        <w:rPr>
          <w:rFonts w:cs="Al Tarikh"/>
        </w:rPr>
        <w:t xml:space="preserve">s </w:t>
      </w:r>
      <w:r>
        <w:rPr>
          <w:rFonts w:cs="Al Tarikh"/>
        </w:rPr>
        <w:t xml:space="preserve">can prioritise tasks based on urgency, individual needs, and available resources </w:t>
      </w:r>
      <w:r w:rsidR="007078B2">
        <w:rPr>
          <w:rFonts w:cs="Al Tarikh"/>
        </w:rPr>
        <w:t>(</w:t>
      </w:r>
      <w:r w:rsidR="00024AD2">
        <w:rPr>
          <w:rFonts w:cs="Al Tarikh"/>
        </w:rPr>
        <w:t>Lizarondo et al, 2010)</w:t>
      </w:r>
      <w:r w:rsidR="008C1E06">
        <w:rPr>
          <w:rFonts w:cs="Al Tarikh"/>
        </w:rPr>
        <w:t xml:space="preserve">. </w:t>
      </w:r>
      <w:r w:rsidR="00024AD2">
        <w:rPr>
          <w:rFonts w:cs="Al Tarikh"/>
        </w:rPr>
        <w:t xml:space="preserve"> </w:t>
      </w:r>
      <w:r w:rsidR="008C1E06">
        <w:rPr>
          <w:rFonts w:cs="Al Tarikh"/>
        </w:rPr>
        <w:t xml:space="preserve">A </w:t>
      </w:r>
      <w:r w:rsidR="00FB4DC8">
        <w:rPr>
          <w:rFonts w:cs="Al Tarikh"/>
        </w:rPr>
        <w:t>TAP</w:t>
      </w:r>
      <w:r w:rsidR="008C1E06">
        <w:rPr>
          <w:rFonts w:cs="Al Tarikh"/>
        </w:rPr>
        <w:t xml:space="preserve"> within acute oncology may prioritise a patient who requires</w:t>
      </w:r>
      <w:r w:rsidR="00B71910">
        <w:rPr>
          <w:rFonts w:cs="Al Tarikh"/>
        </w:rPr>
        <w:t xml:space="preserve"> intensive input while still having regular check ins with more stable patients.</w:t>
      </w:r>
      <w:r w:rsidR="00024AD2">
        <w:rPr>
          <w:rFonts w:cs="Al Tarikh"/>
        </w:rPr>
        <w:t xml:space="preserve">  </w:t>
      </w:r>
      <w:r w:rsidR="00B71910">
        <w:rPr>
          <w:rFonts w:cs="Al Tarikh"/>
        </w:rPr>
        <w:t>This type of approach ensures that care can remain equitable and person-centred even in busy periods</w:t>
      </w:r>
      <w:r w:rsidR="000E124E">
        <w:rPr>
          <w:rFonts w:cs="Al Tarikh"/>
        </w:rPr>
        <w:t xml:space="preserve"> (</w:t>
      </w:r>
      <w:r w:rsidR="00F0012C" w:rsidRPr="00F0012C">
        <w:rPr>
          <w:rFonts w:cs="Al Tarikh"/>
          <w:lang w:val="en-US"/>
        </w:rPr>
        <w:t>Schmutz, Meier, and Manser</w:t>
      </w:r>
      <w:r w:rsidR="00F0012C">
        <w:rPr>
          <w:rFonts w:cs="Al Tarikh"/>
          <w:lang w:val="en-US"/>
        </w:rPr>
        <w:t xml:space="preserve">, </w:t>
      </w:r>
      <w:r w:rsidR="00F0012C" w:rsidRPr="00F0012C">
        <w:rPr>
          <w:rFonts w:cs="Al Tarikh"/>
          <w:lang w:val="en-US"/>
        </w:rPr>
        <w:t>2019</w:t>
      </w:r>
      <w:r w:rsidR="00F0012C">
        <w:rPr>
          <w:rFonts w:cs="Al Tarikh"/>
          <w:lang w:val="en-US"/>
        </w:rPr>
        <w:t>)</w:t>
      </w:r>
      <w:r w:rsidR="00B71910">
        <w:rPr>
          <w:rFonts w:cs="Al Tarikh"/>
        </w:rPr>
        <w:t xml:space="preserve">.  </w:t>
      </w:r>
    </w:p>
    <w:p w14:paraId="0141B63A" w14:textId="379D4905" w:rsidR="00024AD2" w:rsidRDefault="00024AD2" w:rsidP="00A241BA">
      <w:pPr>
        <w:spacing w:line="360" w:lineRule="auto"/>
        <w:rPr>
          <w:rFonts w:cs="Al Tarikh"/>
        </w:rPr>
      </w:pPr>
      <w:r>
        <w:rPr>
          <w:rFonts w:cs="Al Tarikh"/>
        </w:rPr>
        <w:t xml:space="preserve">As part of their roles </w:t>
      </w:r>
      <w:r w:rsidR="00FB4DC8">
        <w:rPr>
          <w:rFonts w:cs="Al Tarikh"/>
        </w:rPr>
        <w:t>TAPs</w:t>
      </w:r>
      <w:r>
        <w:rPr>
          <w:rFonts w:cs="Al Tarikh"/>
        </w:rPr>
        <w:t xml:space="preserve"> face many challenges including emotional labour, time pressures and the need to balance a range of </w:t>
      </w:r>
      <w:r w:rsidR="00612854">
        <w:rPr>
          <w:rFonts w:cs="Al Tarikh"/>
        </w:rPr>
        <w:t xml:space="preserve">responsibilities </w:t>
      </w:r>
      <w:r w:rsidR="001027AC">
        <w:rPr>
          <w:rFonts w:cs="Al Tarikh"/>
        </w:rPr>
        <w:t>(</w:t>
      </w:r>
      <w:r w:rsidR="00612854">
        <w:rPr>
          <w:rFonts w:cs="Al Tarikh"/>
        </w:rPr>
        <w:t xml:space="preserve">Lizarondo et al, 2010).  As reported by </w:t>
      </w:r>
      <w:r w:rsidR="001B0C40">
        <w:rPr>
          <w:rFonts w:cs="Al Tarikh"/>
        </w:rPr>
        <w:t>Pipe et al, (2011) it is important for healthcare staff to adopt effective</w:t>
      </w:r>
      <w:r w:rsidR="007078B2">
        <w:rPr>
          <w:rFonts w:cs="Al Tarikh"/>
        </w:rPr>
        <w:t xml:space="preserve"> </w:t>
      </w:r>
      <w:r w:rsidR="001B0C40">
        <w:rPr>
          <w:rFonts w:cs="Al Tarikh"/>
        </w:rPr>
        <w:t xml:space="preserve">stress management strategies which allow for growth and </w:t>
      </w:r>
      <w:r w:rsidR="00FB4DC8">
        <w:rPr>
          <w:rFonts w:cs="Al Tarikh"/>
        </w:rPr>
        <w:t xml:space="preserve">increased </w:t>
      </w:r>
      <w:r w:rsidR="001B0C40">
        <w:rPr>
          <w:rFonts w:cs="Al Tarikh"/>
        </w:rPr>
        <w:t>self-awareness</w:t>
      </w:r>
      <w:r w:rsidR="00BB424A">
        <w:rPr>
          <w:rFonts w:cs="Al Tarikh"/>
        </w:rPr>
        <w:t xml:space="preserve">, this enables </w:t>
      </w:r>
      <w:r w:rsidR="00FB4DC8">
        <w:rPr>
          <w:rFonts w:cs="Al Tarikh"/>
        </w:rPr>
        <w:t>TAPs</w:t>
      </w:r>
      <w:r w:rsidR="00BB424A">
        <w:rPr>
          <w:rFonts w:cs="Al Tarikh"/>
        </w:rPr>
        <w:t xml:space="preserve"> to build resilience, recognising emotional triggers</w:t>
      </w:r>
      <w:r w:rsidR="007078B2">
        <w:rPr>
          <w:rFonts w:cs="Al Tarikh"/>
        </w:rPr>
        <w:t xml:space="preserve">, and </w:t>
      </w:r>
      <w:r w:rsidR="00BB424A">
        <w:rPr>
          <w:rFonts w:cs="Al Tarikh"/>
        </w:rPr>
        <w:t>using strategies to manage them allow for a safer patient environment (Southwick and Charney, 2012).</w:t>
      </w:r>
      <w:r w:rsidR="003E2862">
        <w:rPr>
          <w:rFonts w:cs="Al Tarikh"/>
        </w:rPr>
        <w:t xml:space="preserve"> </w:t>
      </w:r>
      <w:r w:rsidR="00FB4DC8">
        <w:rPr>
          <w:rFonts w:cs="Al Tarikh"/>
        </w:rPr>
        <w:t xml:space="preserve"> </w:t>
      </w:r>
    </w:p>
    <w:p w14:paraId="4B9537C5" w14:textId="252D75B6" w:rsidR="007A13C4" w:rsidRDefault="00095338" w:rsidP="007A13C4">
      <w:pPr>
        <w:spacing w:line="360" w:lineRule="auto"/>
        <w:rPr>
          <w:rFonts w:cs="Al Tarikh"/>
        </w:rPr>
      </w:pPr>
      <w:r>
        <w:rPr>
          <w:rFonts w:cs="Al Tarikh"/>
        </w:rPr>
        <w:t>According to Miciak et al, (2018) the therapeutic relationship is fundamental to person-centred care and can be attributed to better clinical outcomes.</w:t>
      </w:r>
      <w:r w:rsidR="00F7219F">
        <w:rPr>
          <w:rFonts w:cs="Al Tarikh"/>
        </w:rPr>
        <w:t xml:space="preserve">  Therapeutic relationships rely on </w:t>
      </w:r>
      <w:r w:rsidR="00EA602A">
        <w:rPr>
          <w:rFonts w:cs="Al Tarikh"/>
        </w:rPr>
        <w:t>trust, empathy and a good understanding of each patient’s needs, preferences and goals</w:t>
      </w:r>
      <w:r w:rsidR="009F198B">
        <w:rPr>
          <w:rFonts w:cs="Al Tarikh"/>
        </w:rPr>
        <w:t xml:space="preserve"> (Kornhaber et al, 2016).</w:t>
      </w:r>
      <w:r w:rsidR="007A13C4">
        <w:rPr>
          <w:rFonts w:cs="Al Tarikh"/>
        </w:rPr>
        <w:t xml:space="preserve">  </w:t>
      </w:r>
      <w:r w:rsidR="00FB4DC8">
        <w:rPr>
          <w:rFonts w:cs="Al Tarikh"/>
        </w:rPr>
        <w:t>TAPs</w:t>
      </w:r>
      <w:r w:rsidR="007A13C4">
        <w:rPr>
          <w:rFonts w:cs="Al Tarikh"/>
        </w:rPr>
        <w:t xml:space="preserve"> within acute oncology ha</w:t>
      </w:r>
      <w:r w:rsidR="000E4B91">
        <w:rPr>
          <w:rFonts w:cs="Al Tarikh"/>
        </w:rPr>
        <w:t>ve</w:t>
      </w:r>
      <w:r w:rsidR="007A13C4">
        <w:rPr>
          <w:rFonts w:cs="Al Tarikh"/>
        </w:rPr>
        <w:t xml:space="preserve"> the opportunity to build therapeutic relationships during the screening process and with each interaction</w:t>
      </w:r>
      <w:r w:rsidR="000E4B91">
        <w:rPr>
          <w:rFonts w:cs="Al Tarikh"/>
        </w:rPr>
        <w:t>.  T</w:t>
      </w:r>
      <w:r w:rsidR="007A13C4">
        <w:rPr>
          <w:rFonts w:cs="Al Tarikh"/>
        </w:rPr>
        <w:t xml:space="preserve">his can be a challenge in an acute setting therefore a focus on active listening and responding to a </w:t>
      </w:r>
      <w:r w:rsidR="00FB4DC8">
        <w:rPr>
          <w:rFonts w:cs="Al Tarikh"/>
        </w:rPr>
        <w:t>patient’s</w:t>
      </w:r>
      <w:r w:rsidR="007A13C4">
        <w:rPr>
          <w:rFonts w:cs="Al Tarikh"/>
        </w:rPr>
        <w:t xml:space="preserve"> unmet needs </w:t>
      </w:r>
      <w:r w:rsidR="000E4B91">
        <w:rPr>
          <w:rFonts w:cs="Al Tarikh"/>
        </w:rPr>
        <w:t xml:space="preserve">and </w:t>
      </w:r>
      <w:r w:rsidR="007A13C4">
        <w:rPr>
          <w:rFonts w:cs="Al Tarikh"/>
        </w:rPr>
        <w:t>w</w:t>
      </w:r>
      <w:r w:rsidR="00FB4DC8">
        <w:rPr>
          <w:rFonts w:cs="Al Tarikh"/>
        </w:rPr>
        <w:t>h</w:t>
      </w:r>
      <w:r w:rsidR="007A13C4">
        <w:rPr>
          <w:rFonts w:cs="Al Tarikh"/>
        </w:rPr>
        <w:t>ere</w:t>
      </w:r>
      <w:r w:rsidR="00B0017A">
        <w:rPr>
          <w:rFonts w:cs="Al Tarikh"/>
        </w:rPr>
        <w:t xml:space="preserve"> </w:t>
      </w:r>
      <w:r w:rsidR="007A13C4">
        <w:rPr>
          <w:rFonts w:cs="Al Tarikh"/>
        </w:rPr>
        <w:t xml:space="preserve">strategies could be applied to improve therapeutic </w:t>
      </w:r>
      <w:r w:rsidR="000E4B91">
        <w:rPr>
          <w:rFonts w:cs="Al Tarikh"/>
        </w:rPr>
        <w:t xml:space="preserve">relationships </w:t>
      </w:r>
      <w:r w:rsidR="007A13C4">
        <w:rPr>
          <w:rFonts w:cs="Al Tarikh"/>
        </w:rPr>
        <w:t>demonstrates a person-centred approach to care</w:t>
      </w:r>
      <w:r w:rsidR="000E4B91">
        <w:rPr>
          <w:rFonts w:cs="Al Tarikh"/>
        </w:rPr>
        <w:t xml:space="preserve"> (Kornhaber et al, 2016)</w:t>
      </w:r>
      <w:r w:rsidR="007A13C4">
        <w:rPr>
          <w:rFonts w:cs="Al Tarikh"/>
        </w:rPr>
        <w:t>.</w:t>
      </w:r>
      <w:r w:rsidR="00F62887">
        <w:rPr>
          <w:rFonts w:cs="Al Tarikh"/>
        </w:rPr>
        <w:t xml:space="preserve">  </w:t>
      </w:r>
    </w:p>
    <w:p w14:paraId="2282C107" w14:textId="16CFFD44" w:rsidR="005E5852" w:rsidRDefault="00601934" w:rsidP="007A13C4">
      <w:pPr>
        <w:spacing w:line="360" w:lineRule="auto"/>
        <w:rPr>
          <w:rFonts w:cs="Al Tarikh"/>
        </w:rPr>
      </w:pPr>
      <w:r w:rsidRPr="004B521D">
        <w:rPr>
          <w:rFonts w:cs="Al Tarikh"/>
        </w:rPr>
        <w:t xml:space="preserve">As </w:t>
      </w:r>
      <w:r w:rsidR="00FB4DC8" w:rsidRPr="004B521D">
        <w:rPr>
          <w:rFonts w:cs="Al Tarikh"/>
        </w:rPr>
        <w:t>a</w:t>
      </w:r>
      <w:r w:rsidR="00673DE4">
        <w:rPr>
          <w:rFonts w:cs="Al Tarikh"/>
        </w:rPr>
        <w:t xml:space="preserve"> </w:t>
      </w:r>
      <w:r w:rsidR="00FB4DC8">
        <w:rPr>
          <w:rFonts w:cs="Al Tarikh"/>
        </w:rPr>
        <w:t>TAP</w:t>
      </w:r>
      <w:r>
        <w:rPr>
          <w:rFonts w:cs="Al Tarikh"/>
        </w:rPr>
        <w:t xml:space="preserve"> it is reasonable to</w:t>
      </w:r>
      <w:r w:rsidR="000E4B91">
        <w:rPr>
          <w:rFonts w:cs="Al Tarikh"/>
        </w:rPr>
        <w:t xml:space="preserve"> be</w:t>
      </w:r>
      <w:r>
        <w:rPr>
          <w:rFonts w:cs="Al Tarikh"/>
        </w:rPr>
        <w:t xml:space="preserve"> expect</w:t>
      </w:r>
      <w:r w:rsidR="00FB4DC8">
        <w:rPr>
          <w:rFonts w:cs="Al Tarikh"/>
        </w:rPr>
        <w:t>ed</w:t>
      </w:r>
      <w:r>
        <w:rPr>
          <w:rFonts w:cs="Al Tarikh"/>
        </w:rPr>
        <w:t xml:space="preserve"> to justify decisions </w:t>
      </w:r>
      <w:r w:rsidR="000E4B91">
        <w:rPr>
          <w:rFonts w:cs="Al Tarikh"/>
        </w:rPr>
        <w:t>to colleagues</w:t>
      </w:r>
      <w:r w:rsidR="00673DE4">
        <w:rPr>
          <w:rFonts w:cs="Al Tarikh"/>
        </w:rPr>
        <w:t>, patients and other stakeholders</w:t>
      </w:r>
      <w:r w:rsidR="00F62887">
        <w:rPr>
          <w:rFonts w:cs="Al Tarikh"/>
        </w:rPr>
        <w:t xml:space="preserve"> (Mackey and Nancarrow, 2005).  </w:t>
      </w:r>
      <w:r w:rsidR="007A00A2">
        <w:rPr>
          <w:rFonts w:cs="Al Tarikh"/>
        </w:rPr>
        <w:t xml:space="preserve">Justification begins with evidence-based practice, </w:t>
      </w:r>
      <w:r w:rsidR="00FB4DC8">
        <w:rPr>
          <w:rFonts w:cs="Al Tarikh"/>
        </w:rPr>
        <w:t>TAPs</w:t>
      </w:r>
      <w:r w:rsidR="001411BC">
        <w:rPr>
          <w:rFonts w:cs="Al Tarikh"/>
        </w:rPr>
        <w:t xml:space="preserve"> should ensure all actions are done with clinical guidelines, research and best practice at the forefront (Lala, Susilo and Tutiany, 2024).  </w:t>
      </w:r>
      <w:r w:rsidR="005E5852">
        <w:rPr>
          <w:rFonts w:cs="Al Tarikh"/>
        </w:rPr>
        <w:t>Mathioudakis et al, (2016) stress the importance of accurate documentation of medical records, it demonstrate good practice and delivery of quality healthcare</w:t>
      </w:r>
      <w:r w:rsidR="000E4B91">
        <w:rPr>
          <w:rFonts w:cs="Al Tarikh"/>
        </w:rPr>
        <w:t>, and i</w:t>
      </w:r>
      <w:r w:rsidR="005E5852">
        <w:rPr>
          <w:rFonts w:cs="Al Tarikh"/>
        </w:rPr>
        <w:t xml:space="preserve">t supports </w:t>
      </w:r>
      <w:r w:rsidR="005E5852">
        <w:rPr>
          <w:rFonts w:cs="Al Tarikh"/>
        </w:rPr>
        <w:lastRenderedPageBreak/>
        <w:t>the continuity of care enhanc</w:t>
      </w:r>
      <w:r w:rsidR="000E4B91">
        <w:rPr>
          <w:rFonts w:cs="Al Tarikh"/>
        </w:rPr>
        <w:t>ing</w:t>
      </w:r>
      <w:r w:rsidR="005E5852">
        <w:rPr>
          <w:rFonts w:cs="Al Tarikh"/>
        </w:rPr>
        <w:t xml:space="preserve"> good communication between healthcare professionals which support a person-centred approach. </w:t>
      </w:r>
    </w:p>
    <w:p w14:paraId="33151477" w14:textId="4433CDEE" w:rsidR="00176CA0" w:rsidRDefault="009263A2" w:rsidP="007A13C4">
      <w:pPr>
        <w:spacing w:line="360" w:lineRule="auto"/>
        <w:rPr>
          <w:rFonts w:cs="Al Tarikh"/>
        </w:rPr>
      </w:pPr>
      <w:r>
        <w:rPr>
          <w:rFonts w:cs="Al Tarikh"/>
        </w:rPr>
        <w:t>Reflection is a vital tool when it comes to identifying strengths and areas of improvement (Ooi, Fisher, and Coker, 2021).</w:t>
      </w:r>
      <w:r w:rsidR="00CB7890">
        <w:rPr>
          <w:rFonts w:cs="Al Tarikh"/>
        </w:rPr>
        <w:t xml:space="preserve">  Reflective practice can provide the opportunity for a </w:t>
      </w:r>
      <w:r w:rsidR="00F12829">
        <w:rPr>
          <w:rFonts w:cs="Al Tarikh"/>
        </w:rPr>
        <w:t>TAP</w:t>
      </w:r>
      <w:r w:rsidR="00CB7890">
        <w:rPr>
          <w:rFonts w:cs="Al Tarikh"/>
        </w:rPr>
        <w:t xml:space="preserve"> to evaluate how well they are promoting person-centred care</w:t>
      </w:r>
      <w:r w:rsidR="00F12829">
        <w:rPr>
          <w:rFonts w:cs="Al Tarikh"/>
        </w:rPr>
        <w:t>,</w:t>
      </w:r>
      <w:r w:rsidR="00CB7890">
        <w:rPr>
          <w:rFonts w:cs="Al Tarikh"/>
        </w:rPr>
        <w:t xml:space="preserve"> it allows them to look critically at their practice (Ooi, Fisher and Coker, 2021). </w:t>
      </w:r>
      <w:r w:rsidR="00F12829">
        <w:rPr>
          <w:rFonts w:cs="Al Tarikh"/>
        </w:rPr>
        <w:t xml:space="preserve"> </w:t>
      </w:r>
    </w:p>
    <w:p w14:paraId="0A3DD3AB" w14:textId="34340498" w:rsidR="00176CA0" w:rsidRDefault="00176CA0" w:rsidP="007A13C4">
      <w:pPr>
        <w:spacing w:line="360" w:lineRule="auto"/>
        <w:rPr>
          <w:rFonts w:cs="Al Tarikh"/>
        </w:rPr>
      </w:pPr>
      <w:r>
        <w:rPr>
          <w:rFonts w:cs="Al Tarikh"/>
        </w:rPr>
        <w:t xml:space="preserve">Edgar, Moroney, and Wilson, (2022) </w:t>
      </w:r>
      <w:r w:rsidR="001027AC">
        <w:rPr>
          <w:rFonts w:cs="Al Tarikh"/>
        </w:rPr>
        <w:t xml:space="preserve">note </w:t>
      </w:r>
      <w:r>
        <w:rPr>
          <w:rFonts w:cs="Al Tarikh"/>
        </w:rPr>
        <w:t>supervision is a common practice within healthcare</w:t>
      </w:r>
      <w:r w:rsidR="007954C9">
        <w:rPr>
          <w:rFonts w:cs="Al Tarikh"/>
        </w:rPr>
        <w:t>,</w:t>
      </w:r>
      <w:r>
        <w:rPr>
          <w:rFonts w:cs="Al Tarikh"/>
        </w:rPr>
        <w:t xml:space="preserve"> </w:t>
      </w:r>
      <w:r w:rsidR="007954C9">
        <w:rPr>
          <w:rFonts w:cs="Al Tarikh"/>
        </w:rPr>
        <w:t>offering professionals the opportunity to reflect on the</w:t>
      </w:r>
      <w:r w:rsidR="00F12829">
        <w:rPr>
          <w:rFonts w:cs="Al Tarikh"/>
        </w:rPr>
        <w:t xml:space="preserve">ir practice </w:t>
      </w:r>
      <w:r w:rsidR="007954C9">
        <w:rPr>
          <w:rFonts w:cs="Al Tarikh"/>
        </w:rPr>
        <w:t xml:space="preserve">and factors that have influenced it.  This is supported by NHS Wales (2024a) Code of Conduct for Health Care Support Workers in Wales </w:t>
      </w:r>
      <w:r w:rsidR="00F12829">
        <w:rPr>
          <w:rFonts w:cs="Al Tarikh"/>
        </w:rPr>
        <w:t>who</w:t>
      </w:r>
      <w:r w:rsidR="007954C9">
        <w:rPr>
          <w:rFonts w:cs="Al Tarikh"/>
        </w:rPr>
        <w:t xml:space="preserve"> state</w:t>
      </w:r>
      <w:r w:rsidR="00F12829">
        <w:rPr>
          <w:rFonts w:cs="Al Tarikh"/>
        </w:rPr>
        <w:t xml:space="preserve"> </w:t>
      </w:r>
      <w:r w:rsidR="007954C9">
        <w:rPr>
          <w:rFonts w:cs="Al Tarikh"/>
        </w:rPr>
        <w:t xml:space="preserve">it is necessary for </w:t>
      </w:r>
      <w:r w:rsidR="00F12829">
        <w:rPr>
          <w:rFonts w:cs="Al Tarikh"/>
        </w:rPr>
        <w:t xml:space="preserve">TAPs </w:t>
      </w:r>
      <w:r w:rsidR="007954C9">
        <w:rPr>
          <w:rFonts w:cs="Al Tarikh"/>
        </w:rPr>
        <w:t xml:space="preserve">to undertake regular supervision to improve the quality and safety of care for patients. </w:t>
      </w:r>
      <w:r w:rsidR="005C28A2">
        <w:rPr>
          <w:rFonts w:cs="Al Tarikh"/>
        </w:rPr>
        <w:t xml:space="preserve"> </w:t>
      </w:r>
      <w:r w:rsidR="00F12829">
        <w:rPr>
          <w:rFonts w:cs="Al Tarikh"/>
        </w:rPr>
        <w:t>Supervision</w:t>
      </w:r>
      <w:r w:rsidR="007954C9">
        <w:rPr>
          <w:rFonts w:cs="Al Tarikh"/>
        </w:rPr>
        <w:t xml:space="preserve"> allows </w:t>
      </w:r>
      <w:r w:rsidR="00F12829">
        <w:rPr>
          <w:rFonts w:cs="Al Tarikh"/>
        </w:rPr>
        <w:t>TAPs</w:t>
      </w:r>
      <w:r w:rsidR="007954C9">
        <w:rPr>
          <w:rFonts w:cs="Al Tarikh"/>
        </w:rPr>
        <w:t xml:space="preserve"> to explore how they can </w:t>
      </w:r>
      <w:r w:rsidR="005C28A2">
        <w:rPr>
          <w:rFonts w:cs="Al Tarikh"/>
        </w:rPr>
        <w:t xml:space="preserve">foster </w:t>
      </w:r>
      <w:r w:rsidR="007954C9">
        <w:rPr>
          <w:rFonts w:cs="Al Tarikh"/>
        </w:rPr>
        <w:t xml:space="preserve">a more person-centred </w:t>
      </w:r>
      <w:r w:rsidR="005C28A2">
        <w:rPr>
          <w:rFonts w:cs="Al Tarikh"/>
        </w:rPr>
        <w:t>approach</w:t>
      </w:r>
      <w:r w:rsidR="00F12829">
        <w:rPr>
          <w:rFonts w:cs="Al Tarikh"/>
        </w:rPr>
        <w:t xml:space="preserve">, </w:t>
      </w:r>
      <w:r w:rsidR="001027AC">
        <w:rPr>
          <w:rFonts w:cs="Al Tarikh"/>
        </w:rPr>
        <w:t>identify</w:t>
      </w:r>
      <w:r w:rsidR="005C28A2">
        <w:rPr>
          <w:rFonts w:cs="Al Tarikh"/>
        </w:rPr>
        <w:t xml:space="preserve"> strategies to engage patients in goal setting or managing more complex needs (Edgar, Moroney, and Wilson, 2022).  </w:t>
      </w:r>
    </w:p>
    <w:p w14:paraId="1DC6CDE1" w14:textId="762DE6CC" w:rsidR="005C28A2" w:rsidRDefault="00536854" w:rsidP="007A13C4">
      <w:pPr>
        <w:spacing w:line="360" w:lineRule="auto"/>
        <w:rPr>
          <w:rFonts w:cs="Al Tarikh"/>
        </w:rPr>
      </w:pPr>
      <w:r>
        <w:rPr>
          <w:rFonts w:cs="Al Tarikh"/>
        </w:rPr>
        <w:t xml:space="preserve">As part of their </w:t>
      </w:r>
      <w:r w:rsidR="000E4B91">
        <w:rPr>
          <w:rFonts w:cs="Al Tarikh"/>
        </w:rPr>
        <w:t>role</w:t>
      </w:r>
      <w:r w:rsidR="00B14491">
        <w:rPr>
          <w:rFonts w:cs="Al Tarikh"/>
        </w:rPr>
        <w:t>,</w:t>
      </w:r>
      <w:r>
        <w:rPr>
          <w:rFonts w:cs="Al Tarikh"/>
        </w:rPr>
        <w:t xml:space="preserve"> </w:t>
      </w:r>
      <w:r w:rsidR="00F12829">
        <w:rPr>
          <w:rFonts w:cs="Al Tarikh"/>
        </w:rPr>
        <w:t>TAPs</w:t>
      </w:r>
      <w:r>
        <w:rPr>
          <w:rFonts w:cs="Al Tarikh"/>
        </w:rPr>
        <w:t xml:space="preserve"> </w:t>
      </w:r>
      <w:r w:rsidR="00F12829">
        <w:rPr>
          <w:rFonts w:cs="Al Tarikh"/>
        </w:rPr>
        <w:t xml:space="preserve">must take </w:t>
      </w:r>
      <w:r>
        <w:rPr>
          <w:rFonts w:cs="Al Tarikh"/>
        </w:rPr>
        <w:t xml:space="preserve">responsibility for professional development, ensuring skills remain current and aligned with best practice </w:t>
      </w:r>
      <w:r w:rsidR="00B14491">
        <w:rPr>
          <w:rFonts w:cs="Al Tarikh"/>
        </w:rPr>
        <w:t>(Cardiff and Vale University Health Board, 2024).  Outlining clear objectives, attending training, workshops and courses that incorporate person-centred care can enhance their knowledge and abilities and be</w:t>
      </w:r>
      <w:r w:rsidR="00F12829">
        <w:rPr>
          <w:rFonts w:cs="Al Tarikh"/>
        </w:rPr>
        <w:t xml:space="preserve"> </w:t>
      </w:r>
      <w:r w:rsidR="00B14491">
        <w:rPr>
          <w:rFonts w:cs="Al Tarikh"/>
        </w:rPr>
        <w:t>able to recognise and addres</w:t>
      </w:r>
      <w:r w:rsidR="000E4B91">
        <w:rPr>
          <w:rFonts w:cs="Al Tarikh"/>
        </w:rPr>
        <w:t>s</w:t>
      </w:r>
      <w:r w:rsidR="00B14491">
        <w:rPr>
          <w:rFonts w:cs="Al Tarikh"/>
        </w:rPr>
        <w:t xml:space="preserve"> practice limitations is equally as important </w:t>
      </w:r>
      <w:r w:rsidR="00655892">
        <w:rPr>
          <w:rFonts w:cs="Al Tarikh"/>
        </w:rPr>
        <w:t>(</w:t>
      </w:r>
      <w:r w:rsidR="00E5073C">
        <w:rPr>
          <w:rFonts w:cs="Al Tarikh"/>
        </w:rPr>
        <w:t>Ramani, McMahon and Armstrong, 2019</w:t>
      </w:r>
      <w:r w:rsidR="00220BFD" w:rsidRPr="000B3E79">
        <w:rPr>
          <w:rFonts w:cs="Al Tarikh"/>
        </w:rPr>
        <w:t>)</w:t>
      </w:r>
      <w:r w:rsidR="000B3E79" w:rsidRPr="000B3E79">
        <w:rPr>
          <w:rFonts w:cs="Al Tarikh"/>
        </w:rPr>
        <w:t>.</w:t>
      </w:r>
    </w:p>
    <w:p w14:paraId="01E2FD09" w14:textId="00336FC3" w:rsidR="00EE6E74" w:rsidRDefault="001C7378" w:rsidP="007A13C4">
      <w:pPr>
        <w:spacing w:line="360" w:lineRule="auto"/>
        <w:rPr>
          <w:rFonts w:cs="Al Tarikh"/>
        </w:rPr>
      </w:pPr>
      <w:r>
        <w:rPr>
          <w:rFonts w:cs="Al Tarikh"/>
        </w:rPr>
        <w:t xml:space="preserve">Understanding what truly matters to an individual is the basis of person-centred care (Social Care Wales, 2022).  </w:t>
      </w:r>
      <w:r w:rsidR="00F12829">
        <w:rPr>
          <w:rFonts w:cs="Al Tarikh"/>
        </w:rPr>
        <w:t>A</w:t>
      </w:r>
      <w:r>
        <w:rPr>
          <w:rFonts w:cs="Al Tarikh"/>
        </w:rPr>
        <w:t xml:space="preserve"> </w:t>
      </w:r>
      <w:r w:rsidR="00F12829">
        <w:rPr>
          <w:rFonts w:cs="Al Tarikh"/>
        </w:rPr>
        <w:t>TAP</w:t>
      </w:r>
      <w:r>
        <w:rPr>
          <w:rFonts w:cs="Al Tarikh"/>
        </w:rPr>
        <w:t xml:space="preserve"> </w:t>
      </w:r>
      <w:r w:rsidR="000E4B91">
        <w:rPr>
          <w:rFonts w:cs="Al Tarikh"/>
        </w:rPr>
        <w:t>can</w:t>
      </w:r>
      <w:r w:rsidR="00F12829">
        <w:rPr>
          <w:rFonts w:cs="Al Tarikh"/>
        </w:rPr>
        <w:t xml:space="preserve"> often</w:t>
      </w:r>
      <w:r>
        <w:rPr>
          <w:rFonts w:cs="Al Tarikh"/>
        </w:rPr>
        <w:t xml:space="preserve"> </w:t>
      </w:r>
      <w:r w:rsidR="000E4B91">
        <w:rPr>
          <w:rFonts w:cs="Al Tarikh"/>
        </w:rPr>
        <w:t xml:space="preserve">be </w:t>
      </w:r>
      <w:r>
        <w:rPr>
          <w:rFonts w:cs="Al Tarikh"/>
        </w:rPr>
        <w:t xml:space="preserve">the first person to interact with patients and have discussions about their values, preferences and goals </w:t>
      </w:r>
      <w:r w:rsidR="000E4B91">
        <w:rPr>
          <w:rFonts w:cs="Al Tarikh"/>
        </w:rPr>
        <w:t>enabling</w:t>
      </w:r>
      <w:r>
        <w:rPr>
          <w:rFonts w:cs="Al Tarikh"/>
        </w:rPr>
        <w:t xml:space="preserve"> patients to express their priorities </w:t>
      </w:r>
      <w:r w:rsidR="0032243E">
        <w:rPr>
          <w:rFonts w:cs="Al Tarikh"/>
        </w:rPr>
        <w:t>(Social Care Wales, 2022).  These insights and co-production with patient</w:t>
      </w:r>
      <w:r w:rsidR="00F800F7">
        <w:rPr>
          <w:rFonts w:cs="Al Tarikh"/>
        </w:rPr>
        <w:t>s</w:t>
      </w:r>
      <w:r w:rsidR="0032243E">
        <w:rPr>
          <w:rFonts w:cs="Al Tarikh"/>
        </w:rPr>
        <w:t xml:space="preserve"> allow a </w:t>
      </w:r>
      <w:r w:rsidR="00F12829">
        <w:rPr>
          <w:rFonts w:cs="Al Tarikh"/>
        </w:rPr>
        <w:t>TAP</w:t>
      </w:r>
      <w:r w:rsidR="0032243E">
        <w:rPr>
          <w:rFonts w:cs="Al Tarikh"/>
        </w:rPr>
        <w:t xml:space="preserve"> to </w:t>
      </w:r>
      <w:r w:rsidR="000B3E79">
        <w:rPr>
          <w:rFonts w:cs="Al Tarikh"/>
        </w:rPr>
        <w:t xml:space="preserve">advocate </w:t>
      </w:r>
      <w:r w:rsidR="0032243E">
        <w:rPr>
          <w:rFonts w:cs="Al Tarikh"/>
        </w:rPr>
        <w:t>for tailored interventions and support t</w:t>
      </w:r>
      <w:r w:rsidR="000B3E79">
        <w:rPr>
          <w:rFonts w:cs="Al Tarikh"/>
        </w:rPr>
        <w:t>hat</w:t>
      </w:r>
      <w:r w:rsidR="0032243E">
        <w:rPr>
          <w:rFonts w:cs="Al Tarikh"/>
        </w:rPr>
        <w:t xml:space="preserve"> align</w:t>
      </w:r>
      <w:r w:rsidR="000B3E79">
        <w:rPr>
          <w:rFonts w:cs="Al Tarikh"/>
        </w:rPr>
        <w:t>s</w:t>
      </w:r>
      <w:r w:rsidR="0032243E">
        <w:rPr>
          <w:rFonts w:cs="Al Tarikh"/>
        </w:rPr>
        <w:t xml:space="preserve"> with the patients’ preferences</w:t>
      </w:r>
      <w:r w:rsidR="000B3E79">
        <w:rPr>
          <w:rFonts w:cs="Al Tarikh"/>
        </w:rPr>
        <w:t xml:space="preserve">, </w:t>
      </w:r>
      <w:r w:rsidR="0032243E">
        <w:rPr>
          <w:rFonts w:cs="Al Tarikh"/>
        </w:rPr>
        <w:t xml:space="preserve">it helps improve communication and build trust between both parties (Health and Social Care Alliance Scotland, 2024). </w:t>
      </w:r>
    </w:p>
    <w:p w14:paraId="0F57D054" w14:textId="7F728985" w:rsidR="000D2A3A" w:rsidRDefault="000B3E79" w:rsidP="007A13C4">
      <w:pPr>
        <w:spacing w:line="360" w:lineRule="auto"/>
        <w:rPr>
          <w:rFonts w:cs="Al Tarikh"/>
        </w:rPr>
      </w:pPr>
      <w:r>
        <w:rPr>
          <w:rFonts w:cs="Al Tarikh"/>
        </w:rPr>
        <w:t>R</w:t>
      </w:r>
      <w:r w:rsidR="0032243E">
        <w:rPr>
          <w:rFonts w:cs="Al Tarikh"/>
        </w:rPr>
        <w:t xml:space="preserve">especting a </w:t>
      </w:r>
      <w:r w:rsidR="00D21ECC">
        <w:rPr>
          <w:rFonts w:cs="Al Tarikh"/>
        </w:rPr>
        <w:t>patient’s</w:t>
      </w:r>
      <w:r w:rsidR="0032243E">
        <w:rPr>
          <w:rFonts w:cs="Al Tarikh"/>
        </w:rPr>
        <w:t xml:space="preserve"> choice and preference is fundamental to person-centred care</w:t>
      </w:r>
      <w:r w:rsidR="00D21ECC">
        <w:rPr>
          <w:rFonts w:cs="Al Tarikh"/>
        </w:rPr>
        <w:t xml:space="preserve"> (National Institute for Health and Care Excellence – NICE, 2021).  </w:t>
      </w:r>
      <w:r w:rsidR="000D2A3A">
        <w:rPr>
          <w:rFonts w:cs="Al Tarikh"/>
        </w:rPr>
        <w:t xml:space="preserve">Entwistle et al, (2010) </w:t>
      </w:r>
      <w:r w:rsidR="000D2A3A">
        <w:rPr>
          <w:rFonts w:cs="Al Tarikh"/>
        </w:rPr>
        <w:lastRenderedPageBreak/>
        <w:t>outline the importance of respecting patient autonomy and the positive impact it can have on health outcomes</w:t>
      </w:r>
      <w:r w:rsidR="00F800F7">
        <w:rPr>
          <w:rFonts w:cs="Al Tarikh"/>
        </w:rPr>
        <w:t xml:space="preserve">.  </w:t>
      </w:r>
      <w:r w:rsidR="00F12829">
        <w:rPr>
          <w:rFonts w:cs="Al Tarikh"/>
        </w:rPr>
        <w:t>TAPs</w:t>
      </w:r>
      <w:r w:rsidR="00F3697A">
        <w:rPr>
          <w:rFonts w:cs="Al Tarikh"/>
        </w:rPr>
        <w:t xml:space="preserve"> have the chance to facilitate patients in fostering a sense of autonomy</w:t>
      </w:r>
      <w:r w:rsidR="00B46C9F">
        <w:rPr>
          <w:rFonts w:cs="Al Tarikh"/>
        </w:rPr>
        <w:t xml:space="preserve"> </w:t>
      </w:r>
      <w:r w:rsidR="00F800F7">
        <w:rPr>
          <w:rFonts w:cs="Al Tarikh"/>
        </w:rPr>
        <w:t>which can strengthen a</w:t>
      </w:r>
      <w:r w:rsidR="00B46C9F">
        <w:rPr>
          <w:rFonts w:cs="Al Tarikh"/>
        </w:rPr>
        <w:t xml:space="preserve"> partnership in care (Entwistle et al, 2010).  </w:t>
      </w:r>
      <w:r w:rsidR="004C3564">
        <w:rPr>
          <w:rFonts w:cs="Al Tarikh"/>
        </w:rPr>
        <w:t>As outlined by NICE, (2021) shared decision making, working collaboratively with a patient</w:t>
      </w:r>
      <w:r>
        <w:rPr>
          <w:rFonts w:cs="Al Tarikh"/>
        </w:rPr>
        <w:t xml:space="preserve"> </w:t>
      </w:r>
      <w:r w:rsidR="006662C7">
        <w:rPr>
          <w:rFonts w:cs="Al Tarikh"/>
        </w:rPr>
        <w:t xml:space="preserve">can </w:t>
      </w:r>
      <w:r w:rsidR="001027AC">
        <w:rPr>
          <w:rFonts w:cs="Al Tarikh"/>
        </w:rPr>
        <w:t xml:space="preserve">be </w:t>
      </w:r>
      <w:r w:rsidR="006662C7">
        <w:rPr>
          <w:rFonts w:cs="Al Tarikh"/>
        </w:rPr>
        <w:t xml:space="preserve">positive and means they understand the benefits, harms and possible consequences of their choices. </w:t>
      </w:r>
    </w:p>
    <w:p w14:paraId="04001EC8" w14:textId="6E28FE01" w:rsidR="00B46C9F" w:rsidRDefault="00B46C9F" w:rsidP="007A13C4">
      <w:pPr>
        <w:spacing w:line="360" w:lineRule="auto"/>
        <w:rPr>
          <w:rFonts w:cs="Al Tarikh"/>
        </w:rPr>
      </w:pPr>
      <w:r>
        <w:rPr>
          <w:rFonts w:cs="Al Tarikh"/>
        </w:rPr>
        <w:t xml:space="preserve">Entwistle et al, (2010) </w:t>
      </w:r>
      <w:r w:rsidR="00F800F7">
        <w:rPr>
          <w:rFonts w:cs="Al Tarikh"/>
        </w:rPr>
        <w:t xml:space="preserve">note </w:t>
      </w:r>
      <w:r>
        <w:rPr>
          <w:rFonts w:cs="Al Tarikh"/>
        </w:rPr>
        <w:t xml:space="preserve">supporting and having </w:t>
      </w:r>
      <w:r w:rsidR="00F800F7">
        <w:rPr>
          <w:rFonts w:cs="Al Tarikh"/>
        </w:rPr>
        <w:t xml:space="preserve">a </w:t>
      </w:r>
      <w:r>
        <w:rPr>
          <w:rFonts w:cs="Al Tarikh"/>
        </w:rPr>
        <w:t xml:space="preserve">facilitative role in </w:t>
      </w:r>
      <w:r w:rsidR="002E1BCA">
        <w:rPr>
          <w:rFonts w:cs="Al Tarikh"/>
        </w:rPr>
        <w:t>managing a</w:t>
      </w:r>
      <w:r>
        <w:rPr>
          <w:rFonts w:cs="Al Tarikh"/>
        </w:rPr>
        <w:t xml:space="preserve"> </w:t>
      </w:r>
      <w:r w:rsidR="002E1BCA">
        <w:rPr>
          <w:rFonts w:cs="Al Tarikh"/>
        </w:rPr>
        <w:t>patient’s</w:t>
      </w:r>
      <w:r>
        <w:rPr>
          <w:rFonts w:cs="Al Tarikh"/>
        </w:rPr>
        <w:t xml:space="preserve"> </w:t>
      </w:r>
      <w:r w:rsidR="002E1BCA">
        <w:rPr>
          <w:rFonts w:cs="Al Tarikh"/>
        </w:rPr>
        <w:t xml:space="preserve">health can have a positive effect on them achieving goals and is a powerful way to promote person-centred care.  Goal setting is a collaborative task between healthcare professional and patient and can be successful if done with informed decision </w:t>
      </w:r>
      <w:r w:rsidR="00BC42E8">
        <w:rPr>
          <w:rFonts w:cs="Al Tarikh"/>
        </w:rPr>
        <w:t>making and</w:t>
      </w:r>
      <w:r w:rsidR="002E1BCA">
        <w:rPr>
          <w:rFonts w:cs="Al Tarikh"/>
        </w:rPr>
        <w:t xml:space="preserve"> focuses on </w:t>
      </w:r>
      <w:r w:rsidR="00BC42E8">
        <w:rPr>
          <w:rFonts w:cs="Al Tarikh"/>
        </w:rPr>
        <w:t>patients’</w:t>
      </w:r>
      <w:r w:rsidR="002E1BCA">
        <w:rPr>
          <w:rFonts w:cs="Al Tarikh"/>
        </w:rPr>
        <w:t xml:space="preserve"> preferences and needs (Boyd et al, 2023).</w:t>
      </w:r>
      <w:r w:rsidR="00BC42E8">
        <w:rPr>
          <w:rFonts w:cs="Al Tarikh"/>
        </w:rPr>
        <w:t xml:space="preserve">  </w:t>
      </w:r>
    </w:p>
    <w:p w14:paraId="049196F3" w14:textId="778E3610" w:rsidR="000D2A3A" w:rsidRDefault="00B63FF1" w:rsidP="007A13C4">
      <w:pPr>
        <w:spacing w:line="360" w:lineRule="auto"/>
        <w:rPr>
          <w:rFonts w:cs="Al Tarikh"/>
        </w:rPr>
      </w:pPr>
      <w:r>
        <w:rPr>
          <w:rFonts w:cs="Al Tarikh"/>
        </w:rPr>
        <w:t xml:space="preserve">By taking a person-centred approach, </w:t>
      </w:r>
      <w:r w:rsidR="004C3564">
        <w:rPr>
          <w:rFonts w:cs="Al Tarikh"/>
        </w:rPr>
        <w:t xml:space="preserve">promoting independence and autonomy involves taking positive risks (Royal College of Nursing, 2023).  </w:t>
      </w:r>
      <w:r w:rsidR="000B3E79">
        <w:rPr>
          <w:rFonts w:cs="Al Tarikh"/>
        </w:rPr>
        <w:t>A TAP can</w:t>
      </w:r>
      <w:r w:rsidR="004C3564">
        <w:rPr>
          <w:rFonts w:cs="Al Tarikh"/>
        </w:rPr>
        <w:t xml:space="preserve"> support positive risk management by supporting patients to learn from situations, discussing risks</w:t>
      </w:r>
      <w:r w:rsidR="000B3E79">
        <w:rPr>
          <w:rFonts w:cs="Al Tarikh"/>
        </w:rPr>
        <w:t>,</w:t>
      </w:r>
      <w:r w:rsidR="004C3564">
        <w:rPr>
          <w:rFonts w:cs="Al Tarikh"/>
        </w:rPr>
        <w:t xml:space="preserve"> and sharing responsibilities</w:t>
      </w:r>
      <w:r w:rsidR="000B3E79">
        <w:rPr>
          <w:rFonts w:cs="Al Tarikh"/>
        </w:rPr>
        <w:t xml:space="preserve">, </w:t>
      </w:r>
      <w:r w:rsidR="004C3564">
        <w:rPr>
          <w:rFonts w:cs="Al Tarikh"/>
        </w:rPr>
        <w:t xml:space="preserve">this could also involve working collaboratively with a qualified therapist to overcome any concerns but also supporting patient preference or choice (Royal College of Nursing, 2023). </w:t>
      </w:r>
    </w:p>
    <w:p w14:paraId="352CD3FD" w14:textId="108EB362" w:rsidR="00AB17EB" w:rsidRDefault="00F12829" w:rsidP="00A241BA">
      <w:pPr>
        <w:spacing w:line="360" w:lineRule="auto"/>
        <w:rPr>
          <w:rFonts w:cs="Al Tarikh"/>
        </w:rPr>
      </w:pPr>
      <w:r>
        <w:rPr>
          <w:rFonts w:cs="Al Tarikh"/>
        </w:rPr>
        <w:t>TAPs</w:t>
      </w:r>
      <w:r w:rsidR="006662C7">
        <w:rPr>
          <w:rFonts w:cs="Al Tarikh"/>
        </w:rPr>
        <w:t xml:space="preserve"> play a crucial role in the promotion of person-centred care within their workplace.</w:t>
      </w:r>
      <w:r w:rsidR="004B521D">
        <w:rPr>
          <w:rFonts w:cs="Al Tarikh"/>
        </w:rPr>
        <w:t xml:space="preserve">  B</w:t>
      </w:r>
      <w:r w:rsidR="006662C7">
        <w:rPr>
          <w:rFonts w:cs="Al Tarikh"/>
        </w:rPr>
        <w:t xml:space="preserve">y having a thorough understanding of their scope of practice, adhering to professional standards, working collaboratively with colleagues, patients, and engaging in reflective practice they can be capable of delivering care that is respectful and responsive to an individual’s needs.  By embracing principles such as patient choice, positive risk management, and shared decision making ensures </w:t>
      </w:r>
      <w:r>
        <w:rPr>
          <w:rFonts w:cs="Al Tarikh"/>
        </w:rPr>
        <w:t>TAPs</w:t>
      </w:r>
      <w:r w:rsidR="006662C7">
        <w:rPr>
          <w:rFonts w:cs="Al Tarikh"/>
        </w:rPr>
        <w:t xml:space="preserve"> uphold their core values of person-centred care.  Through ongoing professional development and commitment</w:t>
      </w:r>
      <w:r w:rsidR="004B521D">
        <w:rPr>
          <w:rFonts w:cs="Al Tarikh"/>
        </w:rPr>
        <w:t xml:space="preserve"> TAPs contribute</w:t>
      </w:r>
      <w:r w:rsidR="006662C7">
        <w:rPr>
          <w:rFonts w:cs="Al Tarikh"/>
        </w:rPr>
        <w:t xml:space="preserve"> to a culture of care that places individuals at the core of every decision. </w:t>
      </w:r>
    </w:p>
    <w:p w14:paraId="11670E0F" w14:textId="77777777" w:rsidR="006662C7" w:rsidRDefault="006662C7" w:rsidP="00A241BA">
      <w:pPr>
        <w:spacing w:line="360" w:lineRule="auto"/>
        <w:rPr>
          <w:rFonts w:cs="Al Tarikh"/>
        </w:rPr>
      </w:pPr>
    </w:p>
    <w:p w14:paraId="577CCCC5" w14:textId="77777777" w:rsidR="006662C7" w:rsidRDefault="006662C7" w:rsidP="00A241BA">
      <w:pPr>
        <w:spacing w:line="360" w:lineRule="auto"/>
        <w:rPr>
          <w:rFonts w:cs="Al Tarikh"/>
        </w:rPr>
      </w:pPr>
    </w:p>
    <w:p w14:paraId="7E3E6345" w14:textId="77777777" w:rsidR="003F1708" w:rsidRDefault="003F1708" w:rsidP="00A241BA">
      <w:pPr>
        <w:spacing w:line="360" w:lineRule="auto"/>
        <w:rPr>
          <w:rFonts w:cs="Al Tarikh"/>
        </w:rPr>
      </w:pPr>
    </w:p>
    <w:p w14:paraId="05C8B206" w14:textId="3D3A3CE1" w:rsidR="00AB17EB" w:rsidRPr="00A241BA" w:rsidRDefault="00AB17EB" w:rsidP="00A241BA">
      <w:pPr>
        <w:spacing w:line="360" w:lineRule="auto"/>
        <w:rPr>
          <w:rFonts w:cs="Al Tarikh"/>
          <w:b/>
          <w:bCs/>
          <w:u w:val="single"/>
        </w:rPr>
      </w:pPr>
      <w:r w:rsidRPr="00A241BA">
        <w:rPr>
          <w:rFonts w:cs="Al Tarikh"/>
          <w:b/>
          <w:bCs/>
          <w:u w:val="single"/>
        </w:rPr>
        <w:lastRenderedPageBreak/>
        <w:t>Reference List</w:t>
      </w:r>
    </w:p>
    <w:p w14:paraId="2854C693" w14:textId="77777777" w:rsidR="00F07999" w:rsidRPr="001518BE" w:rsidRDefault="00F07999" w:rsidP="001518BE">
      <w:pPr>
        <w:spacing w:line="360" w:lineRule="auto"/>
        <w:rPr>
          <w:rFonts w:cs="Al Tarikh"/>
        </w:rPr>
      </w:pPr>
      <w:r w:rsidRPr="001518BE">
        <w:rPr>
          <w:rFonts w:cs="Al Tarikh"/>
        </w:rPr>
        <w:t xml:space="preserve">Abu-Jeyyab, M., El Din Moawad, M., H., Al-Jafari, M., </w:t>
      </w:r>
      <w:proofErr w:type="spellStart"/>
      <w:r w:rsidRPr="001518BE">
        <w:rPr>
          <w:rFonts w:cs="Al Tarikh"/>
        </w:rPr>
        <w:t>Alrosan</w:t>
      </w:r>
      <w:proofErr w:type="spellEnd"/>
      <w:r w:rsidRPr="001518BE">
        <w:rPr>
          <w:rFonts w:cs="Al Tarikh"/>
        </w:rPr>
        <w:t xml:space="preserve">, S., and Al </w:t>
      </w:r>
      <w:proofErr w:type="spellStart"/>
      <w:r w:rsidRPr="001518BE">
        <w:rPr>
          <w:rFonts w:cs="Al Tarikh"/>
        </w:rPr>
        <w:t>Mse-adeen</w:t>
      </w:r>
      <w:proofErr w:type="spellEnd"/>
      <w:r w:rsidRPr="001518BE">
        <w:rPr>
          <w:rFonts w:cs="Al Tarikh"/>
        </w:rPr>
        <w:t xml:space="preserve">, M., (2024), ‘The role of clinical audits in advancing quality and safety in healthcare services: a multi project analysis from a Jordanian hospital’, </w:t>
      </w:r>
      <w:proofErr w:type="spellStart"/>
      <w:r w:rsidRPr="001518BE">
        <w:rPr>
          <w:rFonts w:cs="Al Tarikh"/>
        </w:rPr>
        <w:t>Cureus</w:t>
      </w:r>
      <w:proofErr w:type="spellEnd"/>
      <w:r w:rsidRPr="001518BE">
        <w:rPr>
          <w:rFonts w:cs="Al Tarikh"/>
        </w:rPr>
        <w:t xml:space="preserve">, Volume 16, (Issue 2), Available at: https://doi: 10.7759/cureus.54764 </w:t>
      </w:r>
    </w:p>
    <w:p w14:paraId="5752B3F7" w14:textId="77777777" w:rsidR="00F07999" w:rsidRDefault="00F07999" w:rsidP="00A241BA">
      <w:pPr>
        <w:spacing w:line="360" w:lineRule="auto"/>
        <w:rPr>
          <w:rFonts w:cs="Al Tarikh"/>
        </w:rPr>
      </w:pPr>
      <w:r>
        <w:rPr>
          <w:rFonts w:cs="Al Tarikh"/>
        </w:rPr>
        <w:t xml:space="preserve">Ahmed, A., van den Muijsenbergh, M., E., T., C., and Vrijhoef, H., J., M., (2022) ‘Person-centred care in primary care: What works for whom, how and in what circumstances?’ </w:t>
      </w:r>
      <w:r>
        <w:rPr>
          <w:rFonts w:cs="Al Tarikh"/>
          <w:i/>
          <w:iCs/>
        </w:rPr>
        <w:t xml:space="preserve">Health and Social Care in the Community, </w:t>
      </w:r>
      <w:r>
        <w:rPr>
          <w:rFonts w:cs="Al Tarikh"/>
        </w:rPr>
        <w:t xml:space="preserve">Volume 30, (Issue 6), Available at: doi:10.1111/hsc.13913 </w:t>
      </w:r>
    </w:p>
    <w:p w14:paraId="1ACEFE46" w14:textId="77777777" w:rsidR="00F07999" w:rsidRDefault="00F07999" w:rsidP="00A241BA">
      <w:pPr>
        <w:spacing w:line="360" w:lineRule="auto"/>
        <w:rPr>
          <w:rFonts w:cs="Al Tarikh"/>
        </w:rPr>
      </w:pPr>
      <w:r>
        <w:rPr>
          <w:rFonts w:cs="Al Tarikh"/>
        </w:rPr>
        <w:t xml:space="preserve">Boyd, D., T., Nelson, L., E., Hill, M., J., Whitfield, D., Ramos, R., S., </w:t>
      </w:r>
      <w:proofErr w:type="spellStart"/>
      <w:r>
        <w:rPr>
          <w:rFonts w:cs="Al Tarikh"/>
        </w:rPr>
        <w:t>Akyierm</w:t>
      </w:r>
      <w:proofErr w:type="spellEnd"/>
      <w:r>
        <w:rPr>
          <w:rFonts w:cs="Al Tarikh"/>
        </w:rPr>
        <w:t xml:space="preserve">, S., Emel, L., Wilton, L., </w:t>
      </w:r>
      <w:proofErr w:type="spellStart"/>
      <w:r>
        <w:rPr>
          <w:rFonts w:cs="Al Tarikh"/>
        </w:rPr>
        <w:t>Hightow</w:t>
      </w:r>
      <w:proofErr w:type="spellEnd"/>
      <w:r>
        <w:rPr>
          <w:rFonts w:cs="Al Tarikh"/>
        </w:rPr>
        <w:t xml:space="preserve">-Weidman, L., </w:t>
      </w:r>
      <w:proofErr w:type="spellStart"/>
      <w:r>
        <w:rPr>
          <w:rFonts w:cs="Al Tarikh"/>
        </w:rPr>
        <w:t>Shoptaw</w:t>
      </w:r>
      <w:proofErr w:type="spellEnd"/>
      <w:r>
        <w:rPr>
          <w:rFonts w:cs="Al Tarikh"/>
        </w:rPr>
        <w:t xml:space="preserve">, S., Magnus, M., Mayer, K., H., </w:t>
      </w:r>
      <w:proofErr w:type="spellStart"/>
      <w:r>
        <w:rPr>
          <w:rFonts w:cs="Al Tarikh"/>
        </w:rPr>
        <w:t>Piowowar</w:t>
      </w:r>
      <w:proofErr w:type="spellEnd"/>
      <w:r>
        <w:rPr>
          <w:rFonts w:cs="Al Tarikh"/>
        </w:rPr>
        <w:t xml:space="preserve">-Manning, E., Wallace, S., E., Fields, S., D., and Wheeler, D., P., (2023), ‘Examining the Role of Autonomy Support, Goal Setting, and Care Coordination Quality of HIV </w:t>
      </w:r>
      <w:proofErr w:type="spellStart"/>
      <w:r>
        <w:rPr>
          <w:rFonts w:cs="Al Tarikh"/>
        </w:rPr>
        <w:t>PrEP</w:t>
      </w:r>
      <w:proofErr w:type="spellEnd"/>
      <w:r>
        <w:rPr>
          <w:rFonts w:cs="Al Tarikh"/>
        </w:rPr>
        <w:t xml:space="preserve"> Adherence in Black Men Who Have Sex with Men: HPTN 073’, </w:t>
      </w:r>
      <w:r>
        <w:rPr>
          <w:rFonts w:cs="Al Tarikh"/>
          <w:i/>
          <w:iCs/>
        </w:rPr>
        <w:t xml:space="preserve">AIDS Patient Care and STDs, </w:t>
      </w:r>
      <w:r>
        <w:rPr>
          <w:rFonts w:cs="Al Tarikh"/>
        </w:rPr>
        <w:t xml:space="preserve">Volume 37, (Issue 1), pp. 22-30, Available at: </w:t>
      </w:r>
      <w:r w:rsidRPr="00BC42E8">
        <w:rPr>
          <w:rFonts w:cs="Al Tarikh"/>
        </w:rPr>
        <w:t>doi: 10.1089/apc.2022.0139</w:t>
      </w:r>
    </w:p>
    <w:p w14:paraId="265F3801" w14:textId="77777777" w:rsidR="00F07999" w:rsidRDefault="00F07999" w:rsidP="00A241BA">
      <w:pPr>
        <w:spacing w:line="360" w:lineRule="auto"/>
        <w:rPr>
          <w:rFonts w:cs="Al Tarikh"/>
        </w:rPr>
      </w:pPr>
      <w:r>
        <w:rPr>
          <w:rFonts w:cs="Al Tarikh"/>
        </w:rPr>
        <w:t xml:space="preserve">Cardiff and Vale University Health Board, (2024), </w:t>
      </w:r>
      <w:r>
        <w:rPr>
          <w:rFonts w:cs="Al Tarikh"/>
          <w:i/>
          <w:iCs/>
        </w:rPr>
        <w:t xml:space="preserve">Values Based Appraisals Toolkit, </w:t>
      </w:r>
      <w:r>
        <w:rPr>
          <w:rFonts w:cs="Al Tarikh"/>
        </w:rPr>
        <w:t xml:space="preserve">Available at: </w:t>
      </w:r>
      <w:r w:rsidRPr="00B14491">
        <w:rPr>
          <w:rFonts w:cs="Al Tarikh"/>
        </w:rPr>
        <w:t>https://cavuhb.nhs.wales/staff-information/your-development/values-based-appraisal-toolkit/</w:t>
      </w:r>
      <w:r>
        <w:rPr>
          <w:rFonts w:cs="Al Tarikh"/>
        </w:rPr>
        <w:t xml:space="preserve"> [Accessed 26</w:t>
      </w:r>
      <w:r w:rsidRPr="00B14491">
        <w:rPr>
          <w:rFonts w:cs="Al Tarikh"/>
          <w:vertAlign w:val="superscript"/>
        </w:rPr>
        <w:t>th</w:t>
      </w:r>
      <w:r>
        <w:rPr>
          <w:rFonts w:cs="Al Tarikh"/>
        </w:rPr>
        <w:t xml:space="preserve"> November 2024]</w:t>
      </w:r>
    </w:p>
    <w:p w14:paraId="2DF43776" w14:textId="77777777" w:rsidR="00F07999" w:rsidRDefault="00F07999" w:rsidP="00A241BA">
      <w:pPr>
        <w:spacing w:line="360" w:lineRule="auto"/>
        <w:rPr>
          <w:rFonts w:cs="Al Tarikh"/>
        </w:rPr>
      </w:pPr>
      <w:r>
        <w:rPr>
          <w:rFonts w:cs="Al Tarikh"/>
        </w:rPr>
        <w:t xml:space="preserve">Department of Health and Social Care, (2024), </w:t>
      </w:r>
      <w:r>
        <w:rPr>
          <w:rFonts w:cs="Al Tarikh"/>
          <w:i/>
          <w:iCs/>
        </w:rPr>
        <w:t xml:space="preserve">Delegated healthcare activities: Guiding principles for health and social care in England, </w:t>
      </w:r>
      <w:r>
        <w:rPr>
          <w:rFonts w:cs="Al Tarikh"/>
        </w:rPr>
        <w:t xml:space="preserve">Available at: </w:t>
      </w:r>
      <w:r w:rsidRPr="0026695F">
        <w:rPr>
          <w:rFonts w:cs="Al Tarikh"/>
        </w:rPr>
        <w:t>https://www.skillsforcare.org.uk/resources/documents/Developing-your-workforce/Care-topics/Delegated-healthcare-interventions/Delegated-healthcare-activities-Guiding-principles.pdf</w:t>
      </w:r>
      <w:r>
        <w:rPr>
          <w:rFonts w:cs="Al Tarikh"/>
        </w:rPr>
        <w:t xml:space="preserve"> [Accessed 22nd November 2024]</w:t>
      </w:r>
    </w:p>
    <w:p w14:paraId="0D006D15" w14:textId="77777777" w:rsidR="00F07999" w:rsidRPr="00B46C9F" w:rsidRDefault="00F07999" w:rsidP="00A241BA">
      <w:pPr>
        <w:spacing w:line="360" w:lineRule="auto"/>
        <w:rPr>
          <w:rFonts w:cs="Al Tarikh"/>
        </w:rPr>
      </w:pPr>
      <w:r>
        <w:rPr>
          <w:rFonts w:cs="Al Tarikh"/>
        </w:rPr>
        <w:t xml:space="preserve">Entwistle, V., A., Carter, S., M., Cribb, A., and McCaffery, K., (2010), ‘Supporting Patient Autonomy: The Importance of Clinician-patient Relationships’, </w:t>
      </w:r>
      <w:r>
        <w:rPr>
          <w:rFonts w:cs="Al Tarikh"/>
          <w:i/>
          <w:iCs/>
        </w:rPr>
        <w:t xml:space="preserve">Journal of General Internal Medicine, </w:t>
      </w:r>
      <w:r>
        <w:rPr>
          <w:rFonts w:cs="Al Tarikh"/>
        </w:rPr>
        <w:t xml:space="preserve">Volume 25, (Issue 7), pp. 741-745, Available at: </w:t>
      </w:r>
      <w:r w:rsidRPr="00B46C9F">
        <w:rPr>
          <w:rFonts w:cs="Al Tarikh"/>
        </w:rPr>
        <w:t>doi: 10.1007/s11606-010-1292-2</w:t>
      </w:r>
    </w:p>
    <w:p w14:paraId="64656F7B" w14:textId="77777777" w:rsidR="00F07999" w:rsidRDefault="00F07999" w:rsidP="00A241BA">
      <w:pPr>
        <w:spacing w:line="360" w:lineRule="auto"/>
        <w:rPr>
          <w:rFonts w:cs="Al Tarikh"/>
        </w:rPr>
      </w:pPr>
      <w:r>
        <w:rPr>
          <w:rFonts w:cs="Al Tarikh"/>
        </w:rPr>
        <w:lastRenderedPageBreak/>
        <w:t xml:space="preserve">Garvey, V., (2019), ‘The role of the assistant practitioner within the multidisciplinary team’, </w:t>
      </w:r>
      <w:r>
        <w:rPr>
          <w:rFonts w:cs="Al Tarikh"/>
          <w:i/>
          <w:iCs/>
        </w:rPr>
        <w:t xml:space="preserve">British Journal of Healthcare Assistants, </w:t>
      </w:r>
      <w:r>
        <w:rPr>
          <w:rFonts w:cs="Al Tarikh"/>
        </w:rPr>
        <w:t xml:space="preserve">Volume 13, (Issue 4), pp. 161-206, Available at: </w:t>
      </w:r>
      <w:r w:rsidRPr="00343E1E">
        <w:rPr>
          <w:rFonts w:cs="Al Tarikh"/>
        </w:rPr>
        <w:t>https://doi.org/10.12968/bjha.2019.13.4.185</w:t>
      </w:r>
      <w:r>
        <w:rPr>
          <w:rFonts w:cs="Al Tarikh"/>
        </w:rPr>
        <w:t xml:space="preserve"> </w:t>
      </w:r>
    </w:p>
    <w:p w14:paraId="2272AC02" w14:textId="77777777" w:rsidR="00F07999" w:rsidRDefault="00F07999" w:rsidP="00A241BA">
      <w:pPr>
        <w:spacing w:line="360" w:lineRule="auto"/>
        <w:rPr>
          <w:rFonts w:cs="Al Tarikh"/>
        </w:rPr>
      </w:pPr>
      <w:r>
        <w:rPr>
          <w:rFonts w:cs="Al Tarikh"/>
        </w:rPr>
        <w:t xml:space="preserve">Havana, T., Kuha, S., Laukka, E., and Kanste, O., (2023) ‘Patients’ experiences of patient-centred care in hospital setting: A systematic review of qualitative studies’, </w:t>
      </w:r>
      <w:r>
        <w:rPr>
          <w:rFonts w:cs="Al Tarikh"/>
          <w:i/>
          <w:iCs/>
        </w:rPr>
        <w:t xml:space="preserve">Scandinavian Journal of Caring Sciences, </w:t>
      </w:r>
      <w:r>
        <w:rPr>
          <w:rFonts w:cs="Al Tarikh"/>
        </w:rPr>
        <w:t xml:space="preserve">Volume 37, (Issue 4), pp.1001-1015, Available at: </w:t>
      </w:r>
      <w:r w:rsidRPr="00A025F8">
        <w:rPr>
          <w:rFonts w:cs="Al Tarikh"/>
        </w:rPr>
        <w:t>doi:10.1111/scs.13174</w:t>
      </w:r>
      <w:r>
        <w:rPr>
          <w:rFonts w:cs="Al Tarikh"/>
        </w:rPr>
        <w:t xml:space="preserve"> </w:t>
      </w:r>
    </w:p>
    <w:p w14:paraId="243D98E7" w14:textId="77777777" w:rsidR="00F07999" w:rsidRDefault="00F07999" w:rsidP="00A241BA">
      <w:pPr>
        <w:spacing w:line="360" w:lineRule="auto"/>
        <w:rPr>
          <w:rFonts w:cs="Al Tarikh"/>
        </w:rPr>
      </w:pPr>
      <w:r>
        <w:rPr>
          <w:rFonts w:cs="Al Tarikh"/>
        </w:rPr>
        <w:t xml:space="preserve">Health and Social Care Alliance, (2024), </w:t>
      </w:r>
      <w:r>
        <w:rPr>
          <w:rFonts w:cs="Al Tarikh"/>
          <w:i/>
          <w:iCs/>
        </w:rPr>
        <w:t xml:space="preserve">The importance of asking ‘What Matters to You?’, </w:t>
      </w:r>
      <w:r>
        <w:rPr>
          <w:rFonts w:cs="Al Tarikh"/>
        </w:rPr>
        <w:t xml:space="preserve">Available at: </w:t>
      </w:r>
      <w:r w:rsidRPr="0032243E">
        <w:rPr>
          <w:rFonts w:cs="Al Tarikh"/>
        </w:rPr>
        <w:t>https://www.alliance-scotland.org.uk/health-and-social-care-integration/person-centred-voices/wmty/</w:t>
      </w:r>
      <w:r>
        <w:rPr>
          <w:rFonts w:cs="Al Tarikh"/>
        </w:rPr>
        <w:t xml:space="preserve"> [Accessed 26</w:t>
      </w:r>
      <w:r w:rsidRPr="0032243E">
        <w:rPr>
          <w:rFonts w:cs="Al Tarikh"/>
          <w:vertAlign w:val="superscript"/>
        </w:rPr>
        <w:t>th</w:t>
      </w:r>
      <w:r>
        <w:rPr>
          <w:rFonts w:cs="Al Tarikh"/>
        </w:rPr>
        <w:t xml:space="preserve"> November 2024]</w:t>
      </w:r>
    </w:p>
    <w:p w14:paraId="58F1E1D3" w14:textId="77777777" w:rsidR="00F07999" w:rsidRDefault="00F07999" w:rsidP="00A241BA">
      <w:pPr>
        <w:spacing w:line="360" w:lineRule="auto"/>
        <w:rPr>
          <w:rFonts w:cs="Al Tarikh"/>
        </w:rPr>
      </w:pPr>
      <w:r>
        <w:rPr>
          <w:rFonts w:cs="Al Tarikh"/>
        </w:rPr>
        <w:t xml:space="preserve">Kornhaber, R., Walsh, K., Duff, J., and Walker, K., (2016) ‘Enhancing adult therapeutic interpersonal relationships in the acute health care setting: an integrative review’, </w:t>
      </w:r>
      <w:r>
        <w:rPr>
          <w:rFonts w:cs="Al Tarikh"/>
          <w:i/>
          <w:iCs/>
        </w:rPr>
        <w:t xml:space="preserve">Journal of Multidisciplinary Healthcare, </w:t>
      </w:r>
      <w:r>
        <w:rPr>
          <w:rFonts w:cs="Al Tarikh"/>
        </w:rPr>
        <w:t xml:space="preserve">Volume 14, (Issue 9), pp. 537-546, Available at: </w:t>
      </w:r>
      <w:r w:rsidRPr="009F198B">
        <w:rPr>
          <w:rFonts w:cs="Al Tarikh"/>
        </w:rPr>
        <w:t>doi: 10.2147/JMDH.S116957</w:t>
      </w:r>
      <w:r>
        <w:rPr>
          <w:rFonts w:cs="Al Tarikh"/>
        </w:rPr>
        <w:t xml:space="preserve"> </w:t>
      </w:r>
    </w:p>
    <w:p w14:paraId="52714646" w14:textId="77777777" w:rsidR="00F07999" w:rsidRPr="001411BC" w:rsidRDefault="00F07999" w:rsidP="001411BC">
      <w:pPr>
        <w:spacing w:line="360" w:lineRule="auto"/>
        <w:rPr>
          <w:rFonts w:cs="Al Tarikh"/>
        </w:rPr>
      </w:pPr>
      <w:r>
        <w:rPr>
          <w:rFonts w:cs="Al Tarikh"/>
        </w:rPr>
        <w:t xml:space="preserve">Lala, A., Susilo, H., W., and Tutiany, T., (2024), ‘The Efficacy of Evidence Based Practice Training in Enhancing Decision Making Competency Utilising Fishbone Diagrams Among Nurse Managers at Hospital B Bandung’, </w:t>
      </w:r>
      <w:r>
        <w:rPr>
          <w:rFonts w:cs="Al Tarikh"/>
          <w:i/>
          <w:iCs/>
        </w:rPr>
        <w:t xml:space="preserve">Indonesian Health Journal, </w:t>
      </w:r>
      <w:r>
        <w:rPr>
          <w:rFonts w:cs="Al Tarikh"/>
        </w:rPr>
        <w:t xml:space="preserve">Volume 3, (Issue 2), pp. 192-201, Available at: </w:t>
      </w:r>
      <w:r w:rsidRPr="001411BC">
        <w:rPr>
          <w:rFonts w:cs="Al Tarikh"/>
        </w:rPr>
        <w:t xml:space="preserve">https://ihj.rivierapublishing.id/index.php/rp </w:t>
      </w:r>
    </w:p>
    <w:p w14:paraId="5EA1D77A" w14:textId="77777777" w:rsidR="00F07999" w:rsidRPr="00077070" w:rsidRDefault="00F07999" w:rsidP="00A241BA">
      <w:pPr>
        <w:spacing w:line="360" w:lineRule="auto"/>
        <w:rPr>
          <w:rFonts w:cs="Al Tarikh"/>
        </w:rPr>
      </w:pPr>
      <w:r>
        <w:rPr>
          <w:rFonts w:cs="Al Tarikh"/>
        </w:rPr>
        <w:t xml:space="preserve">Lizarando, L., Kumar, S., Hyde, L., and Skidmore, D., (2010), ‘Allied health assistants and what they do: A systematic review of the literature’, </w:t>
      </w:r>
      <w:r>
        <w:rPr>
          <w:rFonts w:cs="Al Tarikh"/>
          <w:i/>
          <w:iCs/>
        </w:rPr>
        <w:t xml:space="preserve">Journal of Multidisciplinary Healthcare, </w:t>
      </w:r>
      <w:r>
        <w:rPr>
          <w:rFonts w:cs="Al Tarikh"/>
        </w:rPr>
        <w:t xml:space="preserve">Volume 19, (Issue 3), pp. 143-153, Available at: </w:t>
      </w:r>
      <w:r w:rsidRPr="00077070">
        <w:rPr>
          <w:rFonts w:cs="Al Tarikh"/>
        </w:rPr>
        <w:t>https://doi.org/10.2147/JMDH.S12106</w:t>
      </w:r>
      <w:r>
        <w:rPr>
          <w:rFonts w:cs="Al Tarikh"/>
        </w:rPr>
        <w:t xml:space="preserve"> </w:t>
      </w:r>
    </w:p>
    <w:p w14:paraId="01D43A51" w14:textId="77777777" w:rsidR="00F07999" w:rsidRDefault="00F07999" w:rsidP="00A241BA">
      <w:pPr>
        <w:spacing w:line="360" w:lineRule="auto"/>
        <w:rPr>
          <w:rFonts w:cs="Al Tarikh"/>
        </w:rPr>
      </w:pPr>
      <w:r>
        <w:rPr>
          <w:rFonts w:cs="Al Tarikh"/>
        </w:rPr>
        <w:t xml:space="preserve">Mackey, H., and Nancarrow, S., (2005), ‘Assistant Practitioners: issue of accountability, delegation and competence’, </w:t>
      </w:r>
      <w:r>
        <w:rPr>
          <w:rFonts w:cs="Al Tarikh"/>
          <w:i/>
          <w:iCs/>
        </w:rPr>
        <w:t xml:space="preserve">International Journal of Therapy and Rehabilitation, </w:t>
      </w:r>
      <w:r>
        <w:rPr>
          <w:rFonts w:cs="Al Tarikh"/>
        </w:rPr>
        <w:t xml:space="preserve">Volume 12, (Issue 8), pp. 331-338, Available at: </w:t>
      </w:r>
      <w:r w:rsidRPr="00F62887">
        <w:rPr>
          <w:rFonts w:cs="Al Tarikh"/>
        </w:rPr>
        <w:t>doi:10.12968/IJTR.2005.12.8.19535</w:t>
      </w:r>
    </w:p>
    <w:p w14:paraId="45CDE47B" w14:textId="77777777" w:rsidR="00F07999" w:rsidRPr="005E5852" w:rsidRDefault="00F07999" w:rsidP="00A241BA">
      <w:pPr>
        <w:spacing w:line="360" w:lineRule="auto"/>
        <w:rPr>
          <w:rFonts w:cs="Al Tarikh"/>
        </w:rPr>
      </w:pPr>
      <w:r>
        <w:rPr>
          <w:rFonts w:cs="Al Tarikh"/>
        </w:rPr>
        <w:t xml:space="preserve">Mathioudakis, A., </w:t>
      </w:r>
      <w:proofErr w:type="spellStart"/>
      <w:r>
        <w:rPr>
          <w:rFonts w:cs="Al Tarikh"/>
        </w:rPr>
        <w:t>Rousalova</w:t>
      </w:r>
      <w:proofErr w:type="spellEnd"/>
      <w:r>
        <w:rPr>
          <w:rFonts w:cs="Al Tarikh"/>
        </w:rPr>
        <w:t xml:space="preserve">, I., </w:t>
      </w:r>
      <w:proofErr w:type="spellStart"/>
      <w:r>
        <w:rPr>
          <w:rFonts w:cs="Al Tarikh"/>
        </w:rPr>
        <w:t>Gagnat</w:t>
      </w:r>
      <w:proofErr w:type="spellEnd"/>
      <w:r>
        <w:rPr>
          <w:rFonts w:cs="Al Tarikh"/>
        </w:rPr>
        <w:t xml:space="preserve">, A., A., Saad, N., and </w:t>
      </w:r>
      <w:proofErr w:type="spellStart"/>
      <w:r>
        <w:rPr>
          <w:rFonts w:cs="Al Tarikh"/>
        </w:rPr>
        <w:t>Hardavella</w:t>
      </w:r>
      <w:proofErr w:type="spellEnd"/>
      <w:r>
        <w:rPr>
          <w:rFonts w:cs="Al Tarikh"/>
        </w:rPr>
        <w:t xml:space="preserve">, G., (2016), ‘How to keep good clinical records’, </w:t>
      </w:r>
      <w:r>
        <w:rPr>
          <w:rFonts w:cs="Al Tarikh"/>
          <w:i/>
          <w:iCs/>
        </w:rPr>
        <w:t xml:space="preserve">Breathe, </w:t>
      </w:r>
      <w:r>
        <w:rPr>
          <w:rFonts w:cs="Al Tarikh"/>
        </w:rPr>
        <w:t xml:space="preserve">Volume 12, (Issue 4), pp. 369-373, Available at: </w:t>
      </w:r>
      <w:r w:rsidRPr="005E5852">
        <w:rPr>
          <w:rFonts w:cs="Al Tarikh"/>
        </w:rPr>
        <w:t>doi: 10.1183/20734735.018016</w:t>
      </w:r>
    </w:p>
    <w:p w14:paraId="06C31F3A" w14:textId="77777777" w:rsidR="00F07999" w:rsidRPr="00F7219F" w:rsidRDefault="00F07999" w:rsidP="00F7219F">
      <w:pPr>
        <w:spacing w:line="360" w:lineRule="auto"/>
        <w:rPr>
          <w:rFonts w:cs="Al Tarikh"/>
        </w:rPr>
      </w:pPr>
      <w:r>
        <w:rPr>
          <w:rFonts w:cs="Al Tarikh"/>
        </w:rPr>
        <w:lastRenderedPageBreak/>
        <w:t xml:space="preserve">Miciak, M., Mayan, M., Brown, C., Joyce, A., S., and Gross, D., P., (2018), ‘The necessary conditions of engagement for the therapeutic relationship in physiotherapy: an interpretive description study’, </w:t>
      </w:r>
      <w:r>
        <w:rPr>
          <w:rFonts w:cs="Al Tarikh"/>
          <w:i/>
          <w:iCs/>
        </w:rPr>
        <w:t xml:space="preserve">Archives of Physiotherapy, </w:t>
      </w:r>
      <w:r>
        <w:rPr>
          <w:rFonts w:cs="Al Tarikh"/>
        </w:rPr>
        <w:t xml:space="preserve">Volume 8, (Issue 3), Available at: </w:t>
      </w:r>
      <w:r w:rsidRPr="00F7219F">
        <w:rPr>
          <w:rFonts w:cs="Al Tarikh"/>
        </w:rPr>
        <w:t xml:space="preserve">https://doi.org/10.1186/s40945-018-0044-1 </w:t>
      </w:r>
    </w:p>
    <w:p w14:paraId="0691A4B4" w14:textId="77777777" w:rsidR="00F07999" w:rsidRDefault="00F07999" w:rsidP="00A241BA">
      <w:pPr>
        <w:spacing w:line="360" w:lineRule="auto"/>
        <w:rPr>
          <w:rFonts w:cs="Al Tarikh"/>
        </w:rPr>
      </w:pPr>
      <w:r>
        <w:rPr>
          <w:rFonts w:cs="Al Tarikh"/>
        </w:rPr>
        <w:t xml:space="preserve">Miller, L, Dr., (2013), </w:t>
      </w:r>
      <w:r w:rsidRPr="00FD1423">
        <w:rPr>
          <w:rFonts w:cs="Al Tarikh"/>
          <w:i/>
          <w:iCs/>
        </w:rPr>
        <w:t>Skills for Health</w:t>
      </w:r>
      <w:r>
        <w:rPr>
          <w:rFonts w:cs="Al Tarikh"/>
          <w:i/>
          <w:iCs/>
        </w:rPr>
        <w:t xml:space="preserve">, Assistant Practitioners in the NHS: drivers, deployment, development, </w:t>
      </w:r>
      <w:r>
        <w:rPr>
          <w:rFonts w:cs="Al Tarikh"/>
        </w:rPr>
        <w:t xml:space="preserve">Available at: </w:t>
      </w:r>
      <w:r w:rsidRPr="00FD1423">
        <w:rPr>
          <w:rFonts w:cs="Al Tarikh"/>
        </w:rPr>
        <w:t>https://www.employment-studies.co.uk/system/files/resources/files/sfh0313.pdf</w:t>
      </w:r>
      <w:r>
        <w:rPr>
          <w:rFonts w:cs="Al Tarikh"/>
        </w:rPr>
        <w:t xml:space="preserve"> [Accessed 21 November 2024]</w:t>
      </w:r>
    </w:p>
    <w:p w14:paraId="1C683C73" w14:textId="77777777" w:rsidR="00F07999" w:rsidRPr="00A241BA" w:rsidRDefault="00F07999" w:rsidP="00A241BA">
      <w:pPr>
        <w:spacing w:line="360" w:lineRule="auto"/>
        <w:rPr>
          <w:rFonts w:cs="Al Tarikh"/>
        </w:rPr>
      </w:pPr>
      <w:r w:rsidRPr="00401849">
        <w:rPr>
          <w:rFonts w:cs="Al Tarikh"/>
        </w:rPr>
        <w:t>National Health Service (NHS) Wales, (2024</w:t>
      </w:r>
      <w:r w:rsidRPr="00A241BA">
        <w:rPr>
          <w:rFonts w:cs="Al Tarikh"/>
        </w:rPr>
        <w:t>a</w:t>
      </w:r>
      <w:r w:rsidRPr="00401849">
        <w:rPr>
          <w:rFonts w:cs="Al Tarikh"/>
        </w:rPr>
        <w:t>) Code of Conduct for Health Care Support Workers in Wales Available at: https://heiw.nhs.wales/files/educational-development/code-of-conduct-for-health-support-workers-in-wales-pdf/ [Accessed 4th November 2024]</w:t>
      </w:r>
    </w:p>
    <w:p w14:paraId="65E3BDF3" w14:textId="77777777" w:rsidR="00F07999" w:rsidRDefault="00F07999" w:rsidP="00A241BA">
      <w:pPr>
        <w:spacing w:line="360" w:lineRule="auto"/>
        <w:rPr>
          <w:rFonts w:cs="Al Tarikh"/>
        </w:rPr>
      </w:pPr>
      <w:r w:rsidRPr="00A241BA">
        <w:rPr>
          <w:rFonts w:cs="Al Tarikh"/>
        </w:rPr>
        <w:t>National Health Service Wales (2024b)</w:t>
      </w:r>
      <w:proofErr w:type="gramStart"/>
      <w:r w:rsidRPr="00A241BA">
        <w:rPr>
          <w:rFonts w:cs="Al Tarikh"/>
        </w:rPr>
        <w:t xml:space="preserve">. </w:t>
      </w:r>
      <w:proofErr w:type="gramEnd"/>
      <w:r w:rsidRPr="00A241BA">
        <w:rPr>
          <w:rFonts w:cs="Al Tarikh"/>
          <w:i/>
          <w:iCs/>
        </w:rPr>
        <w:t>Health and Care Quality Standards</w:t>
      </w:r>
      <w:r w:rsidRPr="00A241BA">
        <w:rPr>
          <w:rFonts w:cs="Al Tarikh"/>
        </w:rPr>
        <w:t>. Available at: https://executive.nhs.wales/health-and-care-quality-standards/ [Accessed 12</w:t>
      </w:r>
      <w:r w:rsidRPr="00A241BA">
        <w:rPr>
          <w:rFonts w:cs="Al Tarikh"/>
          <w:vertAlign w:val="superscript"/>
        </w:rPr>
        <w:t>th</w:t>
      </w:r>
      <w:r w:rsidRPr="00A241BA">
        <w:rPr>
          <w:rFonts w:cs="Al Tarikh"/>
        </w:rPr>
        <w:t xml:space="preserve"> November 2024]</w:t>
      </w:r>
    </w:p>
    <w:p w14:paraId="6CFAF9A1" w14:textId="77777777" w:rsidR="00F07999" w:rsidRPr="008D1EC5" w:rsidRDefault="00F07999" w:rsidP="00A241BA">
      <w:pPr>
        <w:spacing w:line="360" w:lineRule="auto"/>
        <w:rPr>
          <w:rFonts w:cs="Al Tarikh"/>
        </w:rPr>
      </w:pPr>
      <w:r w:rsidRPr="00FE3A95">
        <w:rPr>
          <w:rFonts w:cs="Al Tarikh"/>
        </w:rPr>
        <w:t xml:space="preserve">National Health Service, (2019) </w:t>
      </w:r>
      <w:r w:rsidRPr="00FE3A95">
        <w:rPr>
          <w:rFonts w:cs="Al Tarikh"/>
          <w:i/>
          <w:iCs/>
        </w:rPr>
        <w:t xml:space="preserve">Interim NHS People Plan: engagement with stakeholders, </w:t>
      </w:r>
      <w:r w:rsidRPr="00FE3A95">
        <w:rPr>
          <w:rFonts w:cs="Al Tarikh"/>
        </w:rPr>
        <w:t>Available at: https://www.longtermplan.nhs.uk/wp-content/uploads/2019/06/IPP_engagement-summary.pdf [Accessed 24th November 2024]</w:t>
      </w:r>
    </w:p>
    <w:p w14:paraId="734773F8" w14:textId="77777777" w:rsidR="00F07999" w:rsidRPr="009263A2" w:rsidRDefault="00F07999" w:rsidP="00A241BA">
      <w:pPr>
        <w:spacing w:line="360" w:lineRule="auto"/>
        <w:rPr>
          <w:rFonts w:cs="Al Tarikh"/>
        </w:rPr>
      </w:pPr>
      <w:r>
        <w:rPr>
          <w:rFonts w:cs="Al Tarikh"/>
        </w:rPr>
        <w:t xml:space="preserve">Ooi, S., M., Fisher, P., and Coker, S., (2021), ‘A systematic review of reflective practice questionnaires and scales for healthcare professionals: a narrative synthesis’, </w:t>
      </w:r>
      <w:r>
        <w:rPr>
          <w:rFonts w:cs="Al Tarikh"/>
          <w:i/>
          <w:iCs/>
        </w:rPr>
        <w:t xml:space="preserve">Reflective Practice, </w:t>
      </w:r>
      <w:r>
        <w:rPr>
          <w:rFonts w:cs="Al Tarikh"/>
        </w:rPr>
        <w:t xml:space="preserve">Volume 22, (Issue 1), pp. 1-15, Available at: </w:t>
      </w:r>
      <w:r w:rsidRPr="00CB7890">
        <w:rPr>
          <w:rFonts w:cs="Al Tarikh"/>
        </w:rPr>
        <w:t>https://doi.org/10.1080/14623943.2020.1801406</w:t>
      </w:r>
    </w:p>
    <w:p w14:paraId="1738F33F" w14:textId="77777777" w:rsidR="00F07999" w:rsidRDefault="00F07999" w:rsidP="00A241BA">
      <w:pPr>
        <w:spacing w:line="360" w:lineRule="auto"/>
        <w:rPr>
          <w:rFonts w:cs="Al Tarikh"/>
        </w:rPr>
      </w:pPr>
      <w:r>
        <w:rPr>
          <w:rFonts w:cs="Al Tarikh"/>
        </w:rPr>
        <w:t xml:space="preserve">Pipe, T., B., </w:t>
      </w:r>
      <w:proofErr w:type="spellStart"/>
      <w:r>
        <w:rPr>
          <w:rFonts w:cs="Al Tarikh"/>
        </w:rPr>
        <w:t>Buchda</w:t>
      </w:r>
      <w:proofErr w:type="spellEnd"/>
      <w:r>
        <w:rPr>
          <w:rFonts w:cs="Al Tarikh"/>
        </w:rPr>
        <w:t xml:space="preserve">, V., L., Launder, S., Hudak, B., </w:t>
      </w:r>
      <w:proofErr w:type="spellStart"/>
      <w:r>
        <w:rPr>
          <w:rFonts w:cs="Al Tarikh"/>
        </w:rPr>
        <w:t>Hulvey</w:t>
      </w:r>
      <w:proofErr w:type="spellEnd"/>
      <w:r>
        <w:rPr>
          <w:rFonts w:cs="Al Tarikh"/>
        </w:rPr>
        <w:t xml:space="preserve">, L., Karns, K., E., and Prendergast, D., (2011), ‘Building Personal and Professional Resources of Resilience and Agility in the Healthcare Workplace’, </w:t>
      </w:r>
      <w:r>
        <w:rPr>
          <w:rFonts w:cs="Al Tarikh"/>
          <w:i/>
          <w:iCs/>
        </w:rPr>
        <w:t xml:space="preserve">Journal of Stress and Health, </w:t>
      </w:r>
      <w:r>
        <w:rPr>
          <w:rFonts w:cs="Al Tarikh"/>
        </w:rPr>
        <w:t xml:space="preserve">Volume 28, pp. 11-22, Available at: </w:t>
      </w:r>
      <w:r w:rsidRPr="00D2188A">
        <w:rPr>
          <w:rFonts w:cs="Al Tarikh"/>
        </w:rPr>
        <w:t>https://sciencemeetsnature.org/wp-content/uploads/2018/09/Res-Resilence-in-Healthcare.pdf</w:t>
      </w:r>
      <w:r>
        <w:rPr>
          <w:rFonts w:cs="Al Tarikh"/>
        </w:rPr>
        <w:t xml:space="preserve"> </w:t>
      </w:r>
    </w:p>
    <w:p w14:paraId="7ED87EFD" w14:textId="77777777" w:rsidR="00F07999" w:rsidRPr="00E5073C" w:rsidRDefault="00F07999" w:rsidP="00A241BA">
      <w:pPr>
        <w:spacing w:line="360" w:lineRule="auto"/>
        <w:rPr>
          <w:rFonts w:cs="Al Tarikh"/>
        </w:rPr>
      </w:pPr>
      <w:r>
        <w:rPr>
          <w:rFonts w:cs="Al Tarikh"/>
        </w:rPr>
        <w:lastRenderedPageBreak/>
        <w:t xml:space="preserve">Ramani, S., McMahon, G., T., and Armstrong, G., E., (2019), ‘Continuing professional development to foster behaviour change: From principles to practice in health professions education’, </w:t>
      </w:r>
      <w:r>
        <w:rPr>
          <w:rFonts w:cs="Al Tarikh"/>
          <w:i/>
          <w:iCs/>
        </w:rPr>
        <w:t xml:space="preserve">Medical Teacher, </w:t>
      </w:r>
      <w:r>
        <w:rPr>
          <w:rFonts w:cs="Al Tarikh"/>
        </w:rPr>
        <w:t xml:space="preserve">Volume 41, (Issue 9), pp. 1045-1952, Available at: </w:t>
      </w:r>
      <w:r w:rsidRPr="00E5073C">
        <w:rPr>
          <w:rFonts w:cs="Al Tarikh"/>
        </w:rPr>
        <w:t>https://doi.org/10.1080/0142159X.2019.1615608</w:t>
      </w:r>
    </w:p>
    <w:p w14:paraId="528CBE93" w14:textId="77777777" w:rsidR="00F07999" w:rsidRDefault="00F07999" w:rsidP="00A241BA">
      <w:pPr>
        <w:spacing w:line="360" w:lineRule="auto"/>
        <w:rPr>
          <w:rFonts w:cs="Al Tarikh"/>
        </w:rPr>
      </w:pPr>
      <w:r>
        <w:rPr>
          <w:rFonts w:cs="Al Tarikh"/>
        </w:rPr>
        <w:t xml:space="preserve">Rimmer, A., (2024), ‘How can I gain a patient’s trust’, </w:t>
      </w:r>
      <w:r>
        <w:rPr>
          <w:rFonts w:cs="Al Tarikh"/>
          <w:i/>
          <w:iCs/>
        </w:rPr>
        <w:t xml:space="preserve">The British Medical Journal, </w:t>
      </w:r>
      <w:r>
        <w:rPr>
          <w:rFonts w:cs="Al Tarikh"/>
        </w:rPr>
        <w:t xml:space="preserve">Volume 386, Available at: </w:t>
      </w:r>
      <w:r w:rsidRPr="00FD1423">
        <w:rPr>
          <w:rFonts w:cs="Al Tarikh"/>
        </w:rPr>
        <w:t>https://doi.org/10.1136/bmj.q1444</w:t>
      </w:r>
      <w:r>
        <w:rPr>
          <w:rFonts w:cs="Al Tarikh"/>
        </w:rPr>
        <w:t xml:space="preserve"> </w:t>
      </w:r>
    </w:p>
    <w:p w14:paraId="7C77E13E" w14:textId="66CFCF0A" w:rsidR="00F07999" w:rsidRPr="006662C7" w:rsidRDefault="00F07999" w:rsidP="00A241BA">
      <w:pPr>
        <w:spacing w:line="360" w:lineRule="auto"/>
        <w:rPr>
          <w:rFonts w:cs="Al Tarikh"/>
        </w:rPr>
      </w:pPr>
      <w:r>
        <w:rPr>
          <w:rFonts w:cs="Al Tarikh"/>
        </w:rPr>
        <w:t xml:space="preserve">Royal College of Nursing, (2023), </w:t>
      </w:r>
      <w:r>
        <w:rPr>
          <w:rFonts w:cs="Al Tarikh"/>
          <w:i/>
          <w:iCs/>
        </w:rPr>
        <w:t xml:space="preserve">Three Steps to Positive Practice: A rights-based approach when considering and reviewing the use of restrictive interventions’, </w:t>
      </w:r>
      <w:r>
        <w:rPr>
          <w:rFonts w:cs="Al Tarikh"/>
        </w:rPr>
        <w:t xml:space="preserve">Available at: </w:t>
      </w:r>
      <w:r w:rsidRPr="00F07999">
        <w:rPr>
          <w:rFonts w:cs="Al Tarikh"/>
        </w:rPr>
        <w:t>https://www.rcn.org.uk/Professional-Development/publications/three-steps-to-positive-practice-uk-pub-010-731</w:t>
      </w:r>
      <w:r>
        <w:rPr>
          <w:rFonts w:cs="Al Tarikh"/>
        </w:rPr>
        <w:t xml:space="preserve"> [Accessed 26th November 2024]</w:t>
      </w:r>
    </w:p>
    <w:p w14:paraId="1E09118B" w14:textId="77777777" w:rsidR="00F07999" w:rsidRPr="0033038E" w:rsidRDefault="00F07999" w:rsidP="0033038E">
      <w:pPr>
        <w:spacing w:line="360" w:lineRule="auto"/>
        <w:rPr>
          <w:rFonts w:cs="Al Tarikh"/>
        </w:rPr>
      </w:pPr>
      <w:r w:rsidRPr="00F0012C">
        <w:rPr>
          <w:rFonts w:cs="Al Tarikh"/>
        </w:rPr>
        <w:t>Schmutz, J., B., Meier, L., L., and Manser, T., (2019) ‘How effective is teamwork really</w:t>
      </w:r>
      <w:proofErr w:type="gramStart"/>
      <w:r w:rsidRPr="00F0012C">
        <w:rPr>
          <w:rFonts w:cs="Al Tarikh"/>
        </w:rPr>
        <w:t xml:space="preserve">? </w:t>
      </w:r>
      <w:proofErr w:type="gramEnd"/>
      <w:r w:rsidRPr="00F0012C">
        <w:rPr>
          <w:rFonts w:cs="Al Tarikh"/>
        </w:rPr>
        <w:t>The relationship between teamwork and performance in healthcare team: a systemic review and meta-analysis’, British Medical Journal, Volume 9, (Issue 9), Available at: https://doi: 10.1136/bmjopen-2018-028280</w:t>
      </w:r>
    </w:p>
    <w:p w14:paraId="1D56E101" w14:textId="77777777" w:rsidR="00AC4FE8" w:rsidRDefault="00F07999" w:rsidP="00A241BA">
      <w:pPr>
        <w:spacing w:line="360" w:lineRule="auto"/>
        <w:rPr>
          <w:rFonts w:cs="Al Tarikh"/>
        </w:rPr>
      </w:pPr>
      <w:r>
        <w:rPr>
          <w:rFonts w:cs="Al Tarikh"/>
        </w:rPr>
        <w:t xml:space="preserve">Sheikh, K., Ranson, K., M., and Gilson, L., (2014), ‘Explorations on people centredness in health systems’, </w:t>
      </w:r>
      <w:r>
        <w:rPr>
          <w:rFonts w:cs="Al Tarikh"/>
          <w:i/>
          <w:iCs/>
        </w:rPr>
        <w:t xml:space="preserve">Health and Policy Planning Journal, </w:t>
      </w:r>
      <w:r>
        <w:rPr>
          <w:rFonts w:cs="Al Tarikh"/>
        </w:rPr>
        <w:t xml:space="preserve">Volume 29, pp. ii1-ii5, Available at: </w:t>
      </w:r>
      <w:r w:rsidRPr="0033038E">
        <w:rPr>
          <w:rFonts w:cs="Al Tarikh"/>
        </w:rPr>
        <w:t>doi:10.1093/</w:t>
      </w:r>
      <w:proofErr w:type="spellStart"/>
      <w:r w:rsidRPr="0033038E">
        <w:rPr>
          <w:rFonts w:cs="Al Tarikh"/>
        </w:rPr>
        <w:t>heapol</w:t>
      </w:r>
      <w:proofErr w:type="spellEnd"/>
      <w:r w:rsidRPr="0033038E">
        <w:rPr>
          <w:rFonts w:cs="Al Tarikh"/>
        </w:rPr>
        <w:t xml:space="preserve">/czu082 </w:t>
      </w:r>
    </w:p>
    <w:p w14:paraId="40BEBCCC" w14:textId="12AD4C5A" w:rsidR="00F07999" w:rsidRDefault="00F07999" w:rsidP="00A241BA">
      <w:pPr>
        <w:spacing w:line="360" w:lineRule="auto"/>
        <w:rPr>
          <w:rFonts w:cs="Al Tarikh"/>
        </w:rPr>
      </w:pPr>
      <w:r>
        <w:rPr>
          <w:rFonts w:cs="Al Tarikh"/>
        </w:rPr>
        <w:t xml:space="preserve">Social Care Wales, (2022), </w:t>
      </w:r>
      <w:r>
        <w:rPr>
          <w:rFonts w:cs="Al Tarikh"/>
          <w:i/>
          <w:iCs/>
        </w:rPr>
        <w:t xml:space="preserve">What matters conversations and assessment, </w:t>
      </w:r>
      <w:r>
        <w:rPr>
          <w:rFonts w:cs="Al Tarikh"/>
        </w:rPr>
        <w:t xml:space="preserve">Available at: </w:t>
      </w:r>
      <w:r w:rsidRPr="001C7378">
        <w:rPr>
          <w:rFonts w:cs="Al Tarikh"/>
        </w:rPr>
        <w:t>https://socialcare.wales/pdfs/scw-what-matters-conversations-and-assessment-41216.pdf</w:t>
      </w:r>
      <w:r>
        <w:rPr>
          <w:rFonts w:cs="Al Tarikh"/>
        </w:rPr>
        <w:t xml:space="preserve"> [Accessed 26</w:t>
      </w:r>
      <w:r w:rsidRPr="001C7378">
        <w:rPr>
          <w:rFonts w:cs="Al Tarikh"/>
          <w:vertAlign w:val="superscript"/>
        </w:rPr>
        <w:t>th</w:t>
      </w:r>
      <w:r>
        <w:rPr>
          <w:rFonts w:cs="Al Tarikh"/>
        </w:rPr>
        <w:t xml:space="preserve"> November 2024]</w:t>
      </w:r>
    </w:p>
    <w:p w14:paraId="705DA8E3" w14:textId="77777777" w:rsidR="00F07999" w:rsidRDefault="00F07999" w:rsidP="00A241BA">
      <w:pPr>
        <w:spacing w:line="360" w:lineRule="auto"/>
        <w:rPr>
          <w:rFonts w:cs="Al Tarikh"/>
        </w:rPr>
      </w:pPr>
      <w:r>
        <w:rPr>
          <w:rFonts w:cs="Al Tarikh"/>
        </w:rPr>
        <w:t xml:space="preserve">Southwick, S., M., and Charney, D., S., (2012), </w:t>
      </w:r>
      <w:r>
        <w:rPr>
          <w:rFonts w:cs="Al Tarikh"/>
          <w:i/>
          <w:iCs/>
        </w:rPr>
        <w:t xml:space="preserve">Resilience: The Science of Mastering Life’s Greatest Challenges, </w:t>
      </w:r>
      <w:r>
        <w:rPr>
          <w:rFonts w:cs="Al Tarikh"/>
        </w:rPr>
        <w:t>Cambridge: Cambridge University Press.</w:t>
      </w:r>
    </w:p>
    <w:p w14:paraId="5424F0F1" w14:textId="77777777" w:rsidR="00F07999" w:rsidRPr="00A241BA" w:rsidRDefault="00F07999" w:rsidP="00A241BA">
      <w:pPr>
        <w:spacing w:line="360" w:lineRule="auto"/>
        <w:rPr>
          <w:rFonts w:cs="Al Tarikh"/>
        </w:rPr>
      </w:pPr>
      <w:r w:rsidRPr="00A241BA">
        <w:rPr>
          <w:rFonts w:cs="Al Tarikh"/>
        </w:rPr>
        <w:t xml:space="preserve">Stonehouse, D., (2021) </w:t>
      </w:r>
      <w:r w:rsidRPr="00A241BA">
        <w:rPr>
          <w:rFonts w:cs="Times New Roman"/>
        </w:rPr>
        <w:t>‘</w:t>
      </w:r>
      <w:r w:rsidRPr="00A241BA">
        <w:rPr>
          <w:rFonts w:cs="Al Tarikh"/>
        </w:rPr>
        <w:t>The importance of person-centred care and how to achieve it</w:t>
      </w:r>
      <w:r w:rsidRPr="00A241BA">
        <w:rPr>
          <w:rFonts w:cs="Times New Roman"/>
        </w:rPr>
        <w:t>’</w:t>
      </w:r>
      <w:r w:rsidRPr="00A241BA">
        <w:rPr>
          <w:rFonts w:cs="Al Tarikh"/>
        </w:rPr>
        <w:t xml:space="preserve"> </w:t>
      </w:r>
      <w:r w:rsidRPr="00A241BA">
        <w:rPr>
          <w:rFonts w:cs="Al Tarikh"/>
          <w:i/>
          <w:iCs/>
        </w:rPr>
        <w:t xml:space="preserve">British Journal of Healthcare Assistants, </w:t>
      </w:r>
      <w:r w:rsidRPr="00A241BA">
        <w:rPr>
          <w:rFonts w:cs="Al Tarikh"/>
        </w:rPr>
        <w:t>Volume 15 (Issue 7), pp 317-362, Available at: https://doi.org/10.12968/bjha.2021.15.7.334</w:t>
      </w:r>
    </w:p>
    <w:p w14:paraId="6BA322B1" w14:textId="77777777" w:rsidR="00A241BA" w:rsidRPr="00A241BA" w:rsidRDefault="00A241BA" w:rsidP="00A241BA">
      <w:pPr>
        <w:spacing w:line="360" w:lineRule="auto"/>
        <w:rPr>
          <w:rFonts w:cs="Al Tarikh"/>
        </w:rPr>
      </w:pPr>
    </w:p>
    <w:p w14:paraId="25BDDB90" w14:textId="77777777" w:rsidR="00A241BA" w:rsidRPr="00A241BA" w:rsidRDefault="00A241BA" w:rsidP="00A241BA">
      <w:pPr>
        <w:spacing w:line="360" w:lineRule="auto"/>
        <w:rPr>
          <w:rFonts w:cs="Al Tarikh"/>
        </w:rPr>
      </w:pPr>
    </w:p>
    <w:sectPr w:rsidR="00A241BA" w:rsidRPr="00A241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l Tarikh">
    <w:panose1 w:val="00000400000000000000"/>
    <w:charset w:val="B2"/>
    <w:family w:val="auto"/>
    <w:pitch w:val="variable"/>
    <w:sig w:usb0="00002003" w:usb1="00000000" w:usb2="00000000" w:usb3="00000000" w:csb0="0000004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4"/>
  <w:activeWritingStyle w:appName="MSWord" w:lang="en-GB" w:vendorID="64" w:dllVersion="0"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CF6"/>
    <w:rsid w:val="00024AD2"/>
    <w:rsid w:val="00047E4F"/>
    <w:rsid w:val="00067571"/>
    <w:rsid w:val="00071D2A"/>
    <w:rsid w:val="00077070"/>
    <w:rsid w:val="000815FB"/>
    <w:rsid w:val="00082969"/>
    <w:rsid w:val="00084A52"/>
    <w:rsid w:val="00095338"/>
    <w:rsid w:val="000B22CE"/>
    <w:rsid w:val="000B3672"/>
    <w:rsid w:val="000B3E79"/>
    <w:rsid w:val="000D2A3A"/>
    <w:rsid w:val="000E124E"/>
    <w:rsid w:val="000E4B91"/>
    <w:rsid w:val="001027AC"/>
    <w:rsid w:val="001411BC"/>
    <w:rsid w:val="001518BE"/>
    <w:rsid w:val="00156213"/>
    <w:rsid w:val="00176CA0"/>
    <w:rsid w:val="00183F25"/>
    <w:rsid w:val="00194B97"/>
    <w:rsid w:val="001B056D"/>
    <w:rsid w:val="001B0C40"/>
    <w:rsid w:val="001C65E3"/>
    <w:rsid w:val="001C7378"/>
    <w:rsid w:val="00220BFD"/>
    <w:rsid w:val="002527D5"/>
    <w:rsid w:val="0026695F"/>
    <w:rsid w:val="00290516"/>
    <w:rsid w:val="002B4162"/>
    <w:rsid w:val="002B5094"/>
    <w:rsid w:val="002E1BCA"/>
    <w:rsid w:val="0032243E"/>
    <w:rsid w:val="0033038E"/>
    <w:rsid w:val="00343E1E"/>
    <w:rsid w:val="003768C1"/>
    <w:rsid w:val="003802DD"/>
    <w:rsid w:val="0038735D"/>
    <w:rsid w:val="003E2862"/>
    <w:rsid w:val="003F1708"/>
    <w:rsid w:val="00401849"/>
    <w:rsid w:val="004555AD"/>
    <w:rsid w:val="00456FE9"/>
    <w:rsid w:val="004A32D5"/>
    <w:rsid w:val="004B521D"/>
    <w:rsid w:val="004C3564"/>
    <w:rsid w:val="00536854"/>
    <w:rsid w:val="00573B5C"/>
    <w:rsid w:val="005811E5"/>
    <w:rsid w:val="0059220C"/>
    <w:rsid w:val="005C2342"/>
    <w:rsid w:val="005C28A2"/>
    <w:rsid w:val="005E5852"/>
    <w:rsid w:val="00601934"/>
    <w:rsid w:val="00612854"/>
    <w:rsid w:val="00655892"/>
    <w:rsid w:val="00656BA4"/>
    <w:rsid w:val="006662C7"/>
    <w:rsid w:val="00673DE4"/>
    <w:rsid w:val="00675B18"/>
    <w:rsid w:val="00696A83"/>
    <w:rsid w:val="007078B2"/>
    <w:rsid w:val="00746F00"/>
    <w:rsid w:val="007637BF"/>
    <w:rsid w:val="00765534"/>
    <w:rsid w:val="007954C9"/>
    <w:rsid w:val="007A00A2"/>
    <w:rsid w:val="007A13C4"/>
    <w:rsid w:val="007B3EA3"/>
    <w:rsid w:val="007F19FE"/>
    <w:rsid w:val="00827076"/>
    <w:rsid w:val="00835CFE"/>
    <w:rsid w:val="008571F0"/>
    <w:rsid w:val="008B24B0"/>
    <w:rsid w:val="008C1E06"/>
    <w:rsid w:val="008C785A"/>
    <w:rsid w:val="008D1EC5"/>
    <w:rsid w:val="00923A2D"/>
    <w:rsid w:val="009263A2"/>
    <w:rsid w:val="00996023"/>
    <w:rsid w:val="00996CF6"/>
    <w:rsid w:val="009A05A2"/>
    <w:rsid w:val="009E3E6F"/>
    <w:rsid w:val="009F198B"/>
    <w:rsid w:val="00A025F8"/>
    <w:rsid w:val="00A138E1"/>
    <w:rsid w:val="00A241BA"/>
    <w:rsid w:val="00A25338"/>
    <w:rsid w:val="00A35DA0"/>
    <w:rsid w:val="00A449EB"/>
    <w:rsid w:val="00A6310E"/>
    <w:rsid w:val="00A80A43"/>
    <w:rsid w:val="00AB17EB"/>
    <w:rsid w:val="00AC4DCF"/>
    <w:rsid w:val="00AC4FE8"/>
    <w:rsid w:val="00AF4139"/>
    <w:rsid w:val="00B0017A"/>
    <w:rsid w:val="00B104AD"/>
    <w:rsid w:val="00B14491"/>
    <w:rsid w:val="00B235A8"/>
    <w:rsid w:val="00B46C9F"/>
    <w:rsid w:val="00B609AD"/>
    <w:rsid w:val="00B63FF1"/>
    <w:rsid w:val="00B71910"/>
    <w:rsid w:val="00B93417"/>
    <w:rsid w:val="00BB424A"/>
    <w:rsid w:val="00BC42E8"/>
    <w:rsid w:val="00C04ED0"/>
    <w:rsid w:val="00C108C3"/>
    <w:rsid w:val="00C36531"/>
    <w:rsid w:val="00C426B4"/>
    <w:rsid w:val="00C51BF8"/>
    <w:rsid w:val="00C6353C"/>
    <w:rsid w:val="00C64550"/>
    <w:rsid w:val="00C736C7"/>
    <w:rsid w:val="00C74651"/>
    <w:rsid w:val="00CB7890"/>
    <w:rsid w:val="00CE7E1C"/>
    <w:rsid w:val="00D010E9"/>
    <w:rsid w:val="00D0312C"/>
    <w:rsid w:val="00D2188A"/>
    <w:rsid w:val="00D21ECC"/>
    <w:rsid w:val="00D85CAD"/>
    <w:rsid w:val="00D90CDE"/>
    <w:rsid w:val="00DA495B"/>
    <w:rsid w:val="00DE09D9"/>
    <w:rsid w:val="00E03A86"/>
    <w:rsid w:val="00E5073C"/>
    <w:rsid w:val="00E9773A"/>
    <w:rsid w:val="00EA602A"/>
    <w:rsid w:val="00EB177C"/>
    <w:rsid w:val="00EC502C"/>
    <w:rsid w:val="00EE6E74"/>
    <w:rsid w:val="00EF5DB3"/>
    <w:rsid w:val="00F0012C"/>
    <w:rsid w:val="00F07999"/>
    <w:rsid w:val="00F07F4F"/>
    <w:rsid w:val="00F11223"/>
    <w:rsid w:val="00F12829"/>
    <w:rsid w:val="00F323C1"/>
    <w:rsid w:val="00F3697A"/>
    <w:rsid w:val="00F62887"/>
    <w:rsid w:val="00F7219F"/>
    <w:rsid w:val="00F76FC0"/>
    <w:rsid w:val="00F800F7"/>
    <w:rsid w:val="00F92401"/>
    <w:rsid w:val="00FB4DC8"/>
    <w:rsid w:val="00FD1423"/>
    <w:rsid w:val="00FE3A95"/>
    <w:rsid w:val="00FF0259"/>
    <w:rsid w:val="00FF42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E979E3F"/>
  <w15:chartTrackingRefBased/>
  <w15:docId w15:val="{E915CABB-BEDD-8D4E-BD3E-EC3C36C36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2862"/>
  </w:style>
  <w:style w:type="paragraph" w:styleId="Heading1">
    <w:name w:val="heading 1"/>
    <w:basedOn w:val="Normal"/>
    <w:next w:val="Normal"/>
    <w:link w:val="Heading1Char"/>
    <w:uiPriority w:val="9"/>
    <w:qFormat/>
    <w:rsid w:val="00996C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96C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96CF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6C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6C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6C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6C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6C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6C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6CF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96CF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96CF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6C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6CF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6C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6C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6C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6CF6"/>
    <w:rPr>
      <w:rFonts w:eastAsiaTheme="majorEastAsia" w:cstheme="majorBidi"/>
      <w:color w:val="272727" w:themeColor="text1" w:themeTint="D8"/>
    </w:rPr>
  </w:style>
  <w:style w:type="paragraph" w:styleId="Title">
    <w:name w:val="Title"/>
    <w:basedOn w:val="Normal"/>
    <w:next w:val="Normal"/>
    <w:link w:val="TitleChar"/>
    <w:uiPriority w:val="10"/>
    <w:qFormat/>
    <w:rsid w:val="00996C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6C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6CF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6C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6CF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96CF6"/>
    <w:rPr>
      <w:i/>
      <w:iCs/>
      <w:color w:val="404040" w:themeColor="text1" w:themeTint="BF"/>
    </w:rPr>
  </w:style>
  <w:style w:type="paragraph" w:styleId="ListParagraph">
    <w:name w:val="List Paragraph"/>
    <w:basedOn w:val="Normal"/>
    <w:uiPriority w:val="34"/>
    <w:qFormat/>
    <w:rsid w:val="00996CF6"/>
    <w:pPr>
      <w:ind w:left="720"/>
      <w:contextualSpacing/>
    </w:pPr>
  </w:style>
  <w:style w:type="character" w:styleId="IntenseEmphasis">
    <w:name w:val="Intense Emphasis"/>
    <w:basedOn w:val="DefaultParagraphFont"/>
    <w:uiPriority w:val="21"/>
    <w:qFormat/>
    <w:rsid w:val="00996CF6"/>
    <w:rPr>
      <w:i/>
      <w:iCs/>
      <w:color w:val="0F4761" w:themeColor="accent1" w:themeShade="BF"/>
    </w:rPr>
  </w:style>
  <w:style w:type="paragraph" w:styleId="IntenseQuote">
    <w:name w:val="Intense Quote"/>
    <w:basedOn w:val="Normal"/>
    <w:next w:val="Normal"/>
    <w:link w:val="IntenseQuoteChar"/>
    <w:uiPriority w:val="30"/>
    <w:qFormat/>
    <w:rsid w:val="00996C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6CF6"/>
    <w:rPr>
      <w:i/>
      <w:iCs/>
      <w:color w:val="0F4761" w:themeColor="accent1" w:themeShade="BF"/>
    </w:rPr>
  </w:style>
  <w:style w:type="character" w:styleId="IntenseReference">
    <w:name w:val="Intense Reference"/>
    <w:basedOn w:val="DefaultParagraphFont"/>
    <w:uiPriority w:val="32"/>
    <w:qFormat/>
    <w:rsid w:val="00996CF6"/>
    <w:rPr>
      <w:b/>
      <w:bCs/>
      <w:smallCaps/>
      <w:color w:val="0F4761" w:themeColor="accent1" w:themeShade="BF"/>
      <w:spacing w:val="5"/>
    </w:rPr>
  </w:style>
  <w:style w:type="character" w:styleId="Hyperlink">
    <w:name w:val="Hyperlink"/>
    <w:basedOn w:val="DefaultParagraphFont"/>
    <w:uiPriority w:val="99"/>
    <w:unhideWhenUsed/>
    <w:rsid w:val="009A05A2"/>
    <w:rPr>
      <w:color w:val="467886" w:themeColor="hyperlink"/>
      <w:u w:val="single"/>
    </w:rPr>
  </w:style>
  <w:style w:type="character" w:styleId="UnresolvedMention">
    <w:name w:val="Unresolved Mention"/>
    <w:basedOn w:val="DefaultParagraphFont"/>
    <w:uiPriority w:val="99"/>
    <w:semiHidden/>
    <w:unhideWhenUsed/>
    <w:rsid w:val="009A05A2"/>
    <w:rPr>
      <w:color w:val="605E5C"/>
      <w:shd w:val="clear" w:color="auto" w:fill="E1DFDD"/>
    </w:rPr>
  </w:style>
  <w:style w:type="character" w:styleId="FollowedHyperlink">
    <w:name w:val="FollowedHyperlink"/>
    <w:basedOn w:val="DefaultParagraphFont"/>
    <w:uiPriority w:val="99"/>
    <w:semiHidden/>
    <w:unhideWhenUsed/>
    <w:rsid w:val="00B235A8"/>
    <w:rPr>
      <w:color w:val="96607D" w:themeColor="followedHyperlink"/>
      <w:u w:val="single"/>
    </w:rPr>
  </w:style>
  <w:style w:type="paragraph" w:styleId="NormalWeb">
    <w:name w:val="Normal (Web)"/>
    <w:basedOn w:val="Normal"/>
    <w:uiPriority w:val="99"/>
    <w:semiHidden/>
    <w:unhideWhenUsed/>
    <w:rsid w:val="0033038E"/>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6407229">
      <w:bodyDiv w:val="1"/>
      <w:marLeft w:val="0"/>
      <w:marRight w:val="0"/>
      <w:marTop w:val="0"/>
      <w:marBottom w:val="0"/>
      <w:divBdr>
        <w:top w:val="none" w:sz="0" w:space="0" w:color="auto"/>
        <w:left w:val="none" w:sz="0" w:space="0" w:color="auto"/>
        <w:bottom w:val="none" w:sz="0" w:space="0" w:color="auto"/>
        <w:right w:val="none" w:sz="0" w:space="0" w:color="auto"/>
      </w:divBdr>
      <w:divsChild>
        <w:div w:id="1359545501">
          <w:marLeft w:val="0"/>
          <w:marRight w:val="0"/>
          <w:marTop w:val="0"/>
          <w:marBottom w:val="0"/>
          <w:divBdr>
            <w:top w:val="none" w:sz="0" w:space="0" w:color="auto"/>
            <w:left w:val="none" w:sz="0" w:space="0" w:color="auto"/>
            <w:bottom w:val="none" w:sz="0" w:space="0" w:color="auto"/>
            <w:right w:val="none" w:sz="0" w:space="0" w:color="auto"/>
          </w:divBdr>
          <w:divsChild>
            <w:div w:id="318273313">
              <w:marLeft w:val="0"/>
              <w:marRight w:val="0"/>
              <w:marTop w:val="0"/>
              <w:marBottom w:val="0"/>
              <w:divBdr>
                <w:top w:val="none" w:sz="0" w:space="0" w:color="auto"/>
                <w:left w:val="none" w:sz="0" w:space="0" w:color="auto"/>
                <w:bottom w:val="none" w:sz="0" w:space="0" w:color="auto"/>
                <w:right w:val="none" w:sz="0" w:space="0" w:color="auto"/>
              </w:divBdr>
              <w:divsChild>
                <w:div w:id="747073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1076427">
      <w:bodyDiv w:val="1"/>
      <w:marLeft w:val="0"/>
      <w:marRight w:val="0"/>
      <w:marTop w:val="0"/>
      <w:marBottom w:val="0"/>
      <w:divBdr>
        <w:top w:val="none" w:sz="0" w:space="0" w:color="auto"/>
        <w:left w:val="none" w:sz="0" w:space="0" w:color="auto"/>
        <w:bottom w:val="none" w:sz="0" w:space="0" w:color="auto"/>
        <w:right w:val="none" w:sz="0" w:space="0" w:color="auto"/>
      </w:divBdr>
    </w:div>
    <w:div w:id="597300195">
      <w:bodyDiv w:val="1"/>
      <w:marLeft w:val="0"/>
      <w:marRight w:val="0"/>
      <w:marTop w:val="0"/>
      <w:marBottom w:val="0"/>
      <w:divBdr>
        <w:top w:val="none" w:sz="0" w:space="0" w:color="auto"/>
        <w:left w:val="none" w:sz="0" w:space="0" w:color="auto"/>
        <w:bottom w:val="none" w:sz="0" w:space="0" w:color="auto"/>
        <w:right w:val="none" w:sz="0" w:space="0" w:color="auto"/>
      </w:divBdr>
      <w:divsChild>
        <w:div w:id="1935244748">
          <w:marLeft w:val="0"/>
          <w:marRight w:val="0"/>
          <w:marTop w:val="0"/>
          <w:marBottom w:val="0"/>
          <w:divBdr>
            <w:top w:val="none" w:sz="0" w:space="0" w:color="auto"/>
            <w:left w:val="none" w:sz="0" w:space="0" w:color="auto"/>
            <w:bottom w:val="none" w:sz="0" w:space="0" w:color="auto"/>
            <w:right w:val="none" w:sz="0" w:space="0" w:color="auto"/>
          </w:divBdr>
          <w:divsChild>
            <w:div w:id="1360815941">
              <w:marLeft w:val="0"/>
              <w:marRight w:val="0"/>
              <w:marTop w:val="0"/>
              <w:marBottom w:val="0"/>
              <w:divBdr>
                <w:top w:val="none" w:sz="0" w:space="0" w:color="auto"/>
                <w:left w:val="none" w:sz="0" w:space="0" w:color="auto"/>
                <w:bottom w:val="none" w:sz="0" w:space="0" w:color="auto"/>
                <w:right w:val="none" w:sz="0" w:space="0" w:color="auto"/>
              </w:divBdr>
              <w:divsChild>
                <w:div w:id="959842397">
                  <w:marLeft w:val="0"/>
                  <w:marRight w:val="0"/>
                  <w:marTop w:val="0"/>
                  <w:marBottom w:val="0"/>
                  <w:divBdr>
                    <w:top w:val="none" w:sz="0" w:space="0" w:color="auto"/>
                    <w:left w:val="none" w:sz="0" w:space="0" w:color="auto"/>
                    <w:bottom w:val="none" w:sz="0" w:space="0" w:color="auto"/>
                    <w:right w:val="none" w:sz="0" w:space="0" w:color="auto"/>
                  </w:divBdr>
                  <w:divsChild>
                    <w:div w:id="1631283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1727782">
      <w:bodyDiv w:val="1"/>
      <w:marLeft w:val="0"/>
      <w:marRight w:val="0"/>
      <w:marTop w:val="0"/>
      <w:marBottom w:val="0"/>
      <w:divBdr>
        <w:top w:val="none" w:sz="0" w:space="0" w:color="auto"/>
        <w:left w:val="none" w:sz="0" w:space="0" w:color="auto"/>
        <w:bottom w:val="none" w:sz="0" w:space="0" w:color="auto"/>
        <w:right w:val="none" w:sz="0" w:space="0" w:color="auto"/>
      </w:divBdr>
      <w:divsChild>
        <w:div w:id="764543618">
          <w:marLeft w:val="0"/>
          <w:marRight w:val="0"/>
          <w:marTop w:val="0"/>
          <w:marBottom w:val="0"/>
          <w:divBdr>
            <w:top w:val="none" w:sz="0" w:space="0" w:color="auto"/>
            <w:left w:val="none" w:sz="0" w:space="0" w:color="auto"/>
            <w:bottom w:val="none" w:sz="0" w:space="0" w:color="auto"/>
            <w:right w:val="none" w:sz="0" w:space="0" w:color="auto"/>
          </w:divBdr>
          <w:divsChild>
            <w:div w:id="1338458965">
              <w:marLeft w:val="0"/>
              <w:marRight w:val="0"/>
              <w:marTop w:val="0"/>
              <w:marBottom w:val="0"/>
              <w:divBdr>
                <w:top w:val="none" w:sz="0" w:space="0" w:color="auto"/>
                <w:left w:val="none" w:sz="0" w:space="0" w:color="auto"/>
                <w:bottom w:val="none" w:sz="0" w:space="0" w:color="auto"/>
                <w:right w:val="none" w:sz="0" w:space="0" w:color="auto"/>
              </w:divBdr>
              <w:divsChild>
                <w:div w:id="661202475">
                  <w:marLeft w:val="0"/>
                  <w:marRight w:val="0"/>
                  <w:marTop w:val="0"/>
                  <w:marBottom w:val="0"/>
                  <w:divBdr>
                    <w:top w:val="none" w:sz="0" w:space="0" w:color="auto"/>
                    <w:left w:val="none" w:sz="0" w:space="0" w:color="auto"/>
                    <w:bottom w:val="none" w:sz="0" w:space="0" w:color="auto"/>
                    <w:right w:val="none" w:sz="0" w:space="0" w:color="auto"/>
                  </w:divBdr>
                  <w:divsChild>
                    <w:div w:id="294602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3534487">
      <w:bodyDiv w:val="1"/>
      <w:marLeft w:val="0"/>
      <w:marRight w:val="0"/>
      <w:marTop w:val="0"/>
      <w:marBottom w:val="0"/>
      <w:divBdr>
        <w:top w:val="none" w:sz="0" w:space="0" w:color="auto"/>
        <w:left w:val="none" w:sz="0" w:space="0" w:color="auto"/>
        <w:bottom w:val="none" w:sz="0" w:space="0" w:color="auto"/>
        <w:right w:val="none" w:sz="0" w:space="0" w:color="auto"/>
      </w:divBdr>
    </w:div>
    <w:div w:id="1404831957">
      <w:bodyDiv w:val="1"/>
      <w:marLeft w:val="0"/>
      <w:marRight w:val="0"/>
      <w:marTop w:val="0"/>
      <w:marBottom w:val="0"/>
      <w:divBdr>
        <w:top w:val="none" w:sz="0" w:space="0" w:color="auto"/>
        <w:left w:val="none" w:sz="0" w:space="0" w:color="auto"/>
        <w:bottom w:val="none" w:sz="0" w:space="0" w:color="auto"/>
        <w:right w:val="none" w:sz="0" w:space="0" w:color="auto"/>
      </w:divBdr>
      <w:divsChild>
        <w:div w:id="1785154577">
          <w:marLeft w:val="0"/>
          <w:marRight w:val="0"/>
          <w:marTop w:val="0"/>
          <w:marBottom w:val="0"/>
          <w:divBdr>
            <w:top w:val="none" w:sz="0" w:space="0" w:color="auto"/>
            <w:left w:val="none" w:sz="0" w:space="0" w:color="auto"/>
            <w:bottom w:val="none" w:sz="0" w:space="0" w:color="auto"/>
            <w:right w:val="none" w:sz="0" w:space="0" w:color="auto"/>
          </w:divBdr>
          <w:divsChild>
            <w:div w:id="175730392">
              <w:marLeft w:val="0"/>
              <w:marRight w:val="0"/>
              <w:marTop w:val="0"/>
              <w:marBottom w:val="0"/>
              <w:divBdr>
                <w:top w:val="none" w:sz="0" w:space="0" w:color="auto"/>
                <w:left w:val="none" w:sz="0" w:space="0" w:color="auto"/>
                <w:bottom w:val="none" w:sz="0" w:space="0" w:color="auto"/>
                <w:right w:val="none" w:sz="0" w:space="0" w:color="auto"/>
              </w:divBdr>
              <w:divsChild>
                <w:div w:id="1644387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9121540">
      <w:bodyDiv w:val="1"/>
      <w:marLeft w:val="0"/>
      <w:marRight w:val="0"/>
      <w:marTop w:val="0"/>
      <w:marBottom w:val="0"/>
      <w:divBdr>
        <w:top w:val="none" w:sz="0" w:space="0" w:color="auto"/>
        <w:left w:val="none" w:sz="0" w:space="0" w:color="auto"/>
        <w:bottom w:val="none" w:sz="0" w:space="0" w:color="auto"/>
        <w:right w:val="none" w:sz="0" w:space="0" w:color="auto"/>
      </w:divBdr>
    </w:div>
    <w:div w:id="1643538720">
      <w:bodyDiv w:val="1"/>
      <w:marLeft w:val="0"/>
      <w:marRight w:val="0"/>
      <w:marTop w:val="0"/>
      <w:marBottom w:val="0"/>
      <w:divBdr>
        <w:top w:val="none" w:sz="0" w:space="0" w:color="auto"/>
        <w:left w:val="none" w:sz="0" w:space="0" w:color="auto"/>
        <w:bottom w:val="none" w:sz="0" w:space="0" w:color="auto"/>
        <w:right w:val="none" w:sz="0" w:space="0" w:color="auto"/>
      </w:divBdr>
      <w:divsChild>
        <w:div w:id="1273200535">
          <w:marLeft w:val="0"/>
          <w:marRight w:val="0"/>
          <w:marTop w:val="0"/>
          <w:marBottom w:val="0"/>
          <w:divBdr>
            <w:top w:val="none" w:sz="0" w:space="0" w:color="auto"/>
            <w:left w:val="none" w:sz="0" w:space="0" w:color="auto"/>
            <w:bottom w:val="none" w:sz="0" w:space="0" w:color="auto"/>
            <w:right w:val="none" w:sz="0" w:space="0" w:color="auto"/>
          </w:divBdr>
          <w:divsChild>
            <w:div w:id="1758014622">
              <w:marLeft w:val="0"/>
              <w:marRight w:val="0"/>
              <w:marTop w:val="0"/>
              <w:marBottom w:val="0"/>
              <w:divBdr>
                <w:top w:val="none" w:sz="0" w:space="0" w:color="auto"/>
                <w:left w:val="none" w:sz="0" w:space="0" w:color="auto"/>
                <w:bottom w:val="none" w:sz="0" w:space="0" w:color="auto"/>
                <w:right w:val="none" w:sz="0" w:space="0" w:color="auto"/>
              </w:divBdr>
              <w:divsChild>
                <w:div w:id="1023942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6710452">
      <w:bodyDiv w:val="1"/>
      <w:marLeft w:val="0"/>
      <w:marRight w:val="0"/>
      <w:marTop w:val="0"/>
      <w:marBottom w:val="0"/>
      <w:divBdr>
        <w:top w:val="none" w:sz="0" w:space="0" w:color="auto"/>
        <w:left w:val="none" w:sz="0" w:space="0" w:color="auto"/>
        <w:bottom w:val="none" w:sz="0" w:space="0" w:color="auto"/>
        <w:right w:val="none" w:sz="0" w:space="0" w:color="auto"/>
      </w:divBdr>
      <w:divsChild>
        <w:div w:id="1685399911">
          <w:marLeft w:val="0"/>
          <w:marRight w:val="0"/>
          <w:marTop w:val="0"/>
          <w:marBottom w:val="0"/>
          <w:divBdr>
            <w:top w:val="none" w:sz="0" w:space="0" w:color="auto"/>
            <w:left w:val="none" w:sz="0" w:space="0" w:color="auto"/>
            <w:bottom w:val="none" w:sz="0" w:space="0" w:color="auto"/>
            <w:right w:val="none" w:sz="0" w:space="0" w:color="auto"/>
          </w:divBdr>
          <w:divsChild>
            <w:div w:id="1267889807">
              <w:marLeft w:val="0"/>
              <w:marRight w:val="0"/>
              <w:marTop w:val="0"/>
              <w:marBottom w:val="0"/>
              <w:divBdr>
                <w:top w:val="none" w:sz="0" w:space="0" w:color="auto"/>
                <w:left w:val="none" w:sz="0" w:space="0" w:color="auto"/>
                <w:bottom w:val="none" w:sz="0" w:space="0" w:color="auto"/>
                <w:right w:val="none" w:sz="0" w:space="0" w:color="auto"/>
              </w:divBdr>
              <w:divsChild>
                <w:div w:id="1835996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5712299">
      <w:bodyDiv w:val="1"/>
      <w:marLeft w:val="0"/>
      <w:marRight w:val="0"/>
      <w:marTop w:val="0"/>
      <w:marBottom w:val="0"/>
      <w:divBdr>
        <w:top w:val="none" w:sz="0" w:space="0" w:color="auto"/>
        <w:left w:val="none" w:sz="0" w:space="0" w:color="auto"/>
        <w:bottom w:val="none" w:sz="0" w:space="0" w:color="auto"/>
        <w:right w:val="none" w:sz="0" w:space="0" w:color="auto"/>
      </w:divBdr>
    </w:div>
    <w:div w:id="2118326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2879</Words>
  <Characters>16414</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Kerry O'Brien</dc:creator>
  <cp:keywords/>
  <dc:description/>
  <cp:lastModifiedBy>Kerry O'Brien</cp:lastModifiedBy>
  <cp:revision>2</cp:revision>
  <dcterms:created xsi:type="dcterms:W3CDTF">2024-11-26T19:40:00Z</dcterms:created>
  <dcterms:modified xsi:type="dcterms:W3CDTF">2024-11-26T19:40:00Z</dcterms:modified>
</cp:coreProperties>
</file>