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3B4C" w:rsidRDefault="00063B4C" w14:paraId="1AFC2A57" w14:textId="2C7A28E8">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Pr="00063B4C" w:rsidR="00063B4C" w:rsidP="5FF0A1E2" w:rsidRDefault="00063B4C" w14:paraId="55AD6029" w14:textId="6B1F1690">
      <w:pPr>
        <w:pStyle w:val="Normal"/>
        <w:spacing w:line="1342" w:lineRule="exact"/>
        <w:rPr>
          <w:rFonts w:ascii="Arial" w:hAnsi="Arial" w:eastAsia="Arial" w:cs="Arial"/>
          <w:sz w:val="32"/>
          <w:szCs w:val="32"/>
        </w:rPr>
      </w:pPr>
      <w:r w:rsidRPr="5FF0A1E2" w:rsidR="1F388357">
        <w:rPr>
          <w:rFonts w:ascii="Arial" w:hAnsi="Arial" w:eastAsia="Arial" w:cs="Arial"/>
          <w:sz w:val="32"/>
          <w:szCs w:val="32"/>
        </w:rPr>
        <w:t xml:space="preserve">                     </w:t>
      </w:r>
    </w:p>
    <w:p w:rsidRPr="00063B4C" w:rsidR="00063B4C" w:rsidP="5FF0A1E2" w:rsidRDefault="00063B4C" w14:paraId="3BD96341" w14:textId="3BFCC99D">
      <w:pPr>
        <w:pStyle w:val="Normal"/>
        <w:spacing w:line="1342" w:lineRule="exact"/>
        <w:rPr>
          <w:rFonts w:ascii="Arial" w:hAnsi="Arial" w:eastAsia="Arial" w:cs="Arial"/>
          <w:sz w:val="32"/>
          <w:szCs w:val="32"/>
        </w:rPr>
      </w:pPr>
    </w:p>
    <w:p w:rsidRPr="00063B4C" w:rsidR="00063B4C" w:rsidP="5FF0A1E2" w:rsidRDefault="00063B4C" w14:paraId="6D2836E1" w14:textId="49872FD8">
      <w:pPr>
        <w:pStyle w:val="Normal"/>
        <w:spacing w:line="1342" w:lineRule="exact"/>
        <w:rPr>
          <w:rFonts w:ascii="Arial" w:hAnsi="Arial" w:eastAsia="Arial" w:cs="Arial"/>
          <w:sz w:val="32"/>
          <w:szCs w:val="32"/>
        </w:rPr>
      </w:pPr>
      <w:r w:rsidRPr="5FF0A1E2" w:rsidR="1F388357">
        <w:rPr>
          <w:rFonts w:ascii="Arial" w:hAnsi="Arial" w:eastAsia="Arial" w:cs="Arial"/>
          <w:sz w:val="32"/>
          <w:szCs w:val="32"/>
        </w:rPr>
        <w:t xml:space="preserve">                     </w:t>
      </w:r>
      <w:r w:rsidRPr="5FF0A1E2" w:rsidR="05A9B10B">
        <w:rPr>
          <w:rFonts w:ascii="Arial" w:hAnsi="Arial" w:eastAsia="Arial" w:cs="Arial"/>
          <w:sz w:val="32"/>
          <w:szCs w:val="32"/>
        </w:rPr>
        <w:t>Institute</w:t>
      </w:r>
      <w:r w:rsidRPr="5FF0A1E2" w:rsidR="0561BA54">
        <w:rPr>
          <w:rFonts w:ascii="Arial" w:hAnsi="Arial" w:eastAsia="Arial" w:cs="Arial"/>
          <w:sz w:val="32"/>
          <w:szCs w:val="32"/>
        </w:rPr>
        <w:t xml:space="preserve"> </w:t>
      </w:r>
      <w:r w:rsidRPr="5FF0A1E2" w:rsidR="05A9B10B">
        <w:rPr>
          <w:rFonts w:ascii="Arial" w:hAnsi="Arial" w:eastAsia="Arial" w:cs="Arial"/>
          <w:sz w:val="32"/>
          <w:szCs w:val="32"/>
        </w:rPr>
        <w:t>of</w:t>
      </w:r>
      <w:r w:rsidRPr="5FF0A1E2" w:rsidR="73AD33C1">
        <w:rPr>
          <w:rFonts w:ascii="Arial" w:hAnsi="Arial" w:eastAsia="Arial" w:cs="Arial"/>
          <w:sz w:val="32"/>
          <w:szCs w:val="32"/>
        </w:rPr>
        <w:t xml:space="preserve"> </w:t>
      </w:r>
      <w:r w:rsidRPr="5FF0A1E2" w:rsidR="05A9B10B">
        <w:rPr>
          <w:rFonts w:ascii="Arial" w:hAnsi="Arial" w:eastAsia="Arial" w:cs="Arial"/>
          <w:sz w:val="32"/>
          <w:szCs w:val="32"/>
        </w:rPr>
        <w:t>Inner-City</w:t>
      </w:r>
      <w:r w:rsidRPr="5FF0A1E2" w:rsidR="05A9B10B">
        <w:rPr>
          <w:rFonts w:ascii="Arial" w:hAnsi="Arial" w:eastAsia="Arial" w:cs="Arial"/>
          <w:sz w:val="32"/>
          <w:szCs w:val="32"/>
        </w:rPr>
        <w:t xml:space="preserve"> </w:t>
      </w:r>
      <w:r w:rsidRPr="5FF0A1E2" w:rsidR="05A9B10B">
        <w:rPr>
          <w:rFonts w:ascii="Arial" w:hAnsi="Arial" w:eastAsia="Arial" w:cs="Arial"/>
          <w:sz w:val="32"/>
          <w:szCs w:val="32"/>
        </w:rPr>
        <w:t>Learning</w:t>
      </w:r>
      <w:r w:rsidRPr="5FF0A1E2" w:rsidR="2FAD0A9E">
        <w:rPr>
          <w:rFonts w:ascii="Arial" w:hAnsi="Arial" w:eastAsia="Arial" w:cs="Arial"/>
          <w:sz w:val="32"/>
          <w:szCs w:val="32"/>
        </w:rPr>
        <w:t xml:space="preserve"> </w:t>
      </w:r>
    </w:p>
    <w:p w:rsidRPr="00063B4C" w:rsidR="00063B4C" w:rsidP="5FF0A1E2" w:rsidRDefault="00063B4C" w14:paraId="3A255A34" w14:textId="47D21AD2">
      <w:pPr>
        <w:spacing w:line="1342" w:lineRule="exact"/>
        <w:ind w:right="1229"/>
        <w:jc w:val="center"/>
        <w:rPr>
          <w:rFonts w:ascii="Arial" w:hAnsi="Arial" w:eastAsia="Arial" w:cs="Arial"/>
          <w:sz w:val="32"/>
          <w:szCs w:val="32"/>
        </w:rPr>
      </w:pPr>
      <w:r w:rsidRPr="5FF0A1E2" w:rsidR="217798D5">
        <w:rPr>
          <w:rFonts w:ascii="Arial" w:hAnsi="Arial" w:eastAsia="Arial" w:cs="Arial"/>
          <w:sz w:val="32"/>
          <w:szCs w:val="32"/>
        </w:rPr>
        <w:t xml:space="preserve">  </w:t>
      </w:r>
      <w:r w:rsidRPr="5FF0A1E2" w:rsidR="05A9B10B">
        <w:rPr>
          <w:rFonts w:ascii="Arial" w:hAnsi="Arial" w:eastAsia="Arial" w:cs="Arial"/>
          <w:sz w:val="32"/>
          <w:szCs w:val="32"/>
        </w:rPr>
        <w:t>Birmingham Campus</w:t>
      </w:r>
    </w:p>
    <w:p w:rsidRPr="00063B4C" w:rsidR="00063B4C" w:rsidP="5FF0A1E2" w:rsidRDefault="00063B4C" w14:paraId="7598678D" w14:textId="3E781587">
      <w:pPr>
        <w:spacing w:line="1342" w:lineRule="exact"/>
        <w:ind w:right="1229"/>
        <w:jc w:val="center"/>
        <w:rPr>
          <w:rFonts w:ascii="Arial" w:hAnsi="Arial" w:eastAsia="Arial" w:cs="Arial"/>
          <w:sz w:val="32"/>
          <w:szCs w:val="32"/>
        </w:rPr>
      </w:pPr>
      <w:r w:rsidRPr="5FF0A1E2" w:rsidR="69222A2F">
        <w:rPr>
          <w:rFonts w:ascii="Arial" w:hAnsi="Arial" w:eastAsia="Arial" w:cs="Arial"/>
          <w:sz w:val="32"/>
          <w:szCs w:val="32"/>
        </w:rPr>
        <w:t xml:space="preserve">     </w:t>
      </w:r>
      <w:r w:rsidRPr="5FF0A1E2" w:rsidR="05A9B10B">
        <w:rPr>
          <w:rFonts w:ascii="Arial" w:hAnsi="Arial" w:eastAsia="Arial" w:cs="Arial"/>
          <w:sz w:val="32"/>
          <w:szCs w:val="32"/>
        </w:rPr>
        <w:t>BSc (Hons) Health and Social Care</w:t>
      </w:r>
    </w:p>
    <w:p w:rsidRPr="00063B4C" w:rsidR="00063B4C" w:rsidP="5FF0A1E2" w:rsidRDefault="00063B4C" w14:paraId="08ED8C42" w14:textId="1512E0DE">
      <w:pPr>
        <w:spacing w:line="1342" w:lineRule="exact"/>
        <w:ind w:right="1229"/>
        <w:jc w:val="center"/>
        <w:rPr>
          <w:rFonts w:ascii="Arial" w:hAnsi="Arial" w:eastAsia="Arial" w:cs="Arial"/>
          <w:sz w:val="32"/>
          <w:szCs w:val="32"/>
        </w:rPr>
      </w:pPr>
      <w:r w:rsidRPr="5FF0A1E2" w:rsidR="4700A6E5">
        <w:rPr>
          <w:rFonts w:ascii="Arial" w:hAnsi="Arial" w:eastAsia="Arial" w:cs="Arial"/>
          <w:sz w:val="32"/>
          <w:szCs w:val="32"/>
        </w:rPr>
        <w:t xml:space="preserve">  </w:t>
      </w:r>
      <w:r w:rsidRPr="5FF0A1E2" w:rsidR="05A9B10B">
        <w:rPr>
          <w:rFonts w:ascii="Arial" w:hAnsi="Arial" w:eastAsia="Arial" w:cs="Arial"/>
          <w:sz w:val="32"/>
          <w:szCs w:val="32"/>
        </w:rPr>
        <w:t xml:space="preserve">DISSERTATION </w:t>
      </w:r>
    </w:p>
    <w:p w:rsidR="00063B4C" w:rsidRDefault="00063B4C" w14:paraId="5B270734" w14:textId="55782988"/>
    <w:p w:rsidR="5FF0A1E2" w:rsidRDefault="5FF0A1E2" w14:paraId="7C21FA3A" w14:textId="7F7E9B60"/>
    <w:p w:rsidR="00995444" w:rsidP="00995444" w:rsidRDefault="00995444" w14:paraId="2C0F81B3" w14:textId="77777777" w14:noSpellErr="1">
      <w:pPr>
        <w:pStyle w:val="Heading1"/>
        <w:ind w:left="0"/>
        <w:rPr>
          <w:rFonts w:ascii="Aptos" w:hAnsi="Aptos" w:cs="Arial"/>
        </w:rPr>
      </w:pPr>
    </w:p>
    <w:p w:rsidR="5FF0A1E2" w:rsidP="5FF0A1E2" w:rsidRDefault="5FF0A1E2" w14:paraId="6F9C442C" w14:textId="04E32727">
      <w:pPr>
        <w:pStyle w:val="Heading1"/>
        <w:ind w:left="0"/>
        <w:rPr>
          <w:rFonts w:ascii="Aptos" w:hAnsi="Aptos" w:cs="Arial"/>
        </w:rPr>
      </w:pPr>
    </w:p>
    <w:p w:rsidR="5FF0A1E2" w:rsidP="5FF0A1E2" w:rsidRDefault="5FF0A1E2" w14:paraId="018C72AA" w14:textId="0F105DDB">
      <w:pPr>
        <w:pStyle w:val="Heading1"/>
        <w:ind w:left="0"/>
        <w:rPr>
          <w:rFonts w:ascii="Aptos" w:hAnsi="Aptos" w:cs="Arial"/>
        </w:rPr>
      </w:pPr>
    </w:p>
    <w:p w:rsidR="5FF0A1E2" w:rsidP="5FF0A1E2" w:rsidRDefault="5FF0A1E2" w14:paraId="5A27C875" w14:textId="70F4518B">
      <w:pPr>
        <w:pStyle w:val="Heading1"/>
        <w:ind w:left="0"/>
        <w:rPr>
          <w:rFonts w:ascii="Aptos" w:hAnsi="Aptos" w:cs="Arial"/>
        </w:rPr>
      </w:pPr>
    </w:p>
    <w:p w:rsidR="5FF0A1E2" w:rsidP="5FF0A1E2" w:rsidRDefault="5FF0A1E2" w14:paraId="5ECF9F98" w14:textId="79C7D5D9">
      <w:pPr>
        <w:pStyle w:val="Heading1"/>
        <w:ind w:left="0"/>
        <w:rPr>
          <w:rFonts w:ascii="Aptos" w:hAnsi="Aptos" w:cs="Arial"/>
        </w:rPr>
      </w:pPr>
    </w:p>
    <w:p w:rsidR="5FF0A1E2" w:rsidP="5FF0A1E2" w:rsidRDefault="5FF0A1E2" w14:paraId="7D4E5411" w14:textId="4E1E97CA">
      <w:pPr>
        <w:pStyle w:val="Heading1"/>
        <w:ind w:left="0"/>
        <w:rPr>
          <w:rFonts w:ascii="Aptos" w:hAnsi="Aptos" w:cs="Arial"/>
        </w:rPr>
      </w:pPr>
    </w:p>
    <w:p w:rsidR="5FF0A1E2" w:rsidP="5FF0A1E2" w:rsidRDefault="5FF0A1E2" w14:paraId="1EF2C23E" w14:textId="02F6EC56">
      <w:pPr>
        <w:pStyle w:val="Heading1"/>
        <w:ind w:left="0"/>
        <w:rPr>
          <w:rFonts w:ascii="Aptos" w:hAnsi="Aptos" w:cs="Arial"/>
        </w:rPr>
      </w:pPr>
    </w:p>
    <w:p w:rsidR="5FF0A1E2" w:rsidP="5FF0A1E2" w:rsidRDefault="5FF0A1E2" w14:paraId="071BC9EB" w14:textId="382291B6">
      <w:pPr>
        <w:pStyle w:val="Heading1"/>
        <w:ind w:left="0"/>
        <w:rPr>
          <w:rFonts w:ascii="Aptos" w:hAnsi="Aptos" w:cs="Arial"/>
        </w:rPr>
      </w:pPr>
    </w:p>
    <w:p w:rsidR="5FF0A1E2" w:rsidP="5FF0A1E2" w:rsidRDefault="5FF0A1E2" w14:paraId="61056562" w14:textId="1EB96202">
      <w:pPr>
        <w:pStyle w:val="Heading1"/>
        <w:ind w:left="0"/>
        <w:rPr>
          <w:rFonts w:ascii="Aptos" w:hAnsi="Aptos" w:cs="Arial"/>
        </w:rPr>
      </w:pPr>
    </w:p>
    <w:p w:rsidR="5FF0A1E2" w:rsidP="5FF0A1E2" w:rsidRDefault="5FF0A1E2" w14:paraId="7DF6936A" w14:textId="0E05D0CC">
      <w:pPr>
        <w:pStyle w:val="Heading1"/>
        <w:ind w:left="0"/>
        <w:rPr>
          <w:rFonts w:ascii="Aptos" w:hAnsi="Aptos" w:cs="Arial"/>
        </w:rPr>
      </w:pPr>
    </w:p>
    <w:p w:rsidR="5FF0A1E2" w:rsidP="5FF0A1E2" w:rsidRDefault="5FF0A1E2" w14:paraId="3AEF8DF8" w14:textId="3C2CAFE2">
      <w:pPr>
        <w:pStyle w:val="Heading1"/>
        <w:ind w:left="0"/>
        <w:rPr>
          <w:rFonts w:ascii="Aptos" w:hAnsi="Aptos" w:cs="Arial"/>
        </w:rPr>
      </w:pPr>
    </w:p>
    <w:p w:rsidR="5FF0A1E2" w:rsidP="5FF0A1E2" w:rsidRDefault="5FF0A1E2" w14:paraId="72395D19" w14:textId="7070872A">
      <w:pPr>
        <w:pStyle w:val="Heading1"/>
        <w:ind w:left="0"/>
        <w:rPr>
          <w:rFonts w:ascii="Aptos" w:hAnsi="Aptos" w:cs="Arial"/>
        </w:rPr>
      </w:pPr>
    </w:p>
    <w:p w:rsidR="5FF0A1E2" w:rsidP="5FF0A1E2" w:rsidRDefault="5FF0A1E2" w14:paraId="0BA5264F" w14:textId="70A814F2">
      <w:pPr>
        <w:pStyle w:val="Heading1"/>
        <w:ind w:left="0"/>
        <w:rPr>
          <w:rFonts w:ascii="Aptos" w:hAnsi="Aptos" w:cs="Arial"/>
        </w:rPr>
      </w:pPr>
    </w:p>
    <w:p w:rsidR="5FF0A1E2" w:rsidP="5FF0A1E2" w:rsidRDefault="5FF0A1E2" w14:paraId="4B7F6C6D" w14:textId="3FB21D14">
      <w:pPr>
        <w:pStyle w:val="Heading1"/>
        <w:ind w:left="0"/>
        <w:rPr>
          <w:rFonts w:ascii="Aptos" w:hAnsi="Aptos" w:cs="Arial"/>
        </w:rPr>
      </w:pPr>
    </w:p>
    <w:p w:rsidR="5FF0A1E2" w:rsidP="5FF0A1E2" w:rsidRDefault="5FF0A1E2" w14:paraId="196B8183" w14:textId="000D3E57">
      <w:pPr>
        <w:pStyle w:val="Heading1"/>
        <w:ind w:left="0"/>
        <w:rPr>
          <w:rFonts w:ascii="Aptos" w:hAnsi="Aptos" w:cs="Arial"/>
        </w:rPr>
      </w:pPr>
    </w:p>
    <w:p w:rsidRPr="00063B4C" w:rsidR="00063B4C" w:rsidP="00995444" w:rsidRDefault="00063B4C" w14:paraId="6D29CD44" w14:textId="75C545B1" w14:noSpellErr="1">
      <w:pPr>
        <w:pStyle w:val="Heading1"/>
        <w:ind w:left="0"/>
        <w:rPr>
          <w:rFonts w:ascii="Aptos" w:hAnsi="Aptos" w:cs="Arial"/>
        </w:rPr>
      </w:pPr>
      <w:bookmarkStart w:name="_Toc681513144" w:id="144567793"/>
      <w:r w:rsidRPr="5FF0A1E2" w:rsidR="05A9B10B">
        <w:rPr>
          <w:rFonts w:ascii="Aptos" w:hAnsi="Aptos" w:cs="Arial"/>
        </w:rPr>
        <w:t>Disclaimer</w:t>
      </w:r>
      <w:bookmarkEnd w:id="144567793"/>
    </w:p>
    <w:p w:rsidR="00604A87" w:rsidP="00995444" w:rsidRDefault="00063B4C" w14:paraId="2E1C9484" w14:textId="77777777">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rsidR="00730C3C" w:rsidP="00604A87" w:rsidRDefault="00730C3C" w14:paraId="265E2262" w14:textId="77777777">
      <w:pPr>
        <w:rPr>
          <w:rFonts w:eastAsia="Times New Roman" w:cs="Arial"/>
          <w:b/>
          <w:sz w:val="28"/>
          <w:szCs w:val="28"/>
        </w:rPr>
      </w:pPr>
    </w:p>
    <w:p w:rsidRPr="0073280B" w:rsidR="00604A87" w:rsidP="00604A87" w:rsidRDefault="00604A87" w14:paraId="3492E4C4" w14:textId="45AA03BC">
      <w:pPr>
        <w:rPr>
          <w:rFonts w:eastAsia="Times New Roman" w:cs="Arial"/>
          <w:b/>
          <w:sz w:val="28"/>
          <w:szCs w:val="28"/>
        </w:rPr>
      </w:pPr>
      <w:r w:rsidRPr="0073280B">
        <w:rPr>
          <w:rFonts w:eastAsia="Times New Roman" w:cs="Arial"/>
          <w:b/>
          <w:sz w:val="28"/>
          <w:szCs w:val="28"/>
        </w:rPr>
        <w:t>DECLARATION</w:t>
      </w:r>
    </w:p>
    <w:p w:rsidRPr="00604A87" w:rsidR="00604A87" w:rsidP="00604A87" w:rsidRDefault="00604A87" w14:paraId="113CAAED" w14:textId="2CC33593">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rsidRPr="00604A87" w:rsidR="00604A87" w:rsidP="00604A87" w:rsidRDefault="00604A87" w14:paraId="3EF51212" w14:textId="13F1A7BB">
      <w:pPr>
        <w:rPr>
          <w:rFonts w:eastAsia="Times New Roman" w:cs="Arial"/>
        </w:rPr>
      </w:pPr>
      <w:r w:rsidRPr="5FF0A1E2" w:rsidR="6EED8E5F">
        <w:rPr>
          <w:rFonts w:eastAsia="Times New Roman" w:cs="Arial"/>
        </w:rPr>
        <w:t>Signed</w:t>
      </w:r>
      <w:r w:rsidRPr="5FF0A1E2" w:rsidR="4EBF0CF6">
        <w:rPr>
          <w:rFonts w:eastAsia="Times New Roman" w:cs="Arial"/>
        </w:rPr>
        <w:t>: Sabina Aslam</w:t>
      </w:r>
    </w:p>
    <w:p w:rsidRPr="00604A87" w:rsidR="00604A87" w:rsidP="00604A87" w:rsidRDefault="00604A87" w14:paraId="16B6CB34" w14:textId="20ACA4B3">
      <w:pPr>
        <w:rPr>
          <w:rFonts w:eastAsia="Times New Roman" w:cs="Arial"/>
        </w:rPr>
      </w:pPr>
      <w:r w:rsidRPr="5FF0A1E2" w:rsidR="6EED8E5F">
        <w:rPr>
          <w:rFonts w:eastAsia="Times New Roman" w:cs="Arial"/>
        </w:rPr>
        <w:t>Date</w:t>
      </w:r>
      <w:r w:rsidRPr="5FF0A1E2" w:rsidR="76D3061E">
        <w:rPr>
          <w:rFonts w:eastAsia="Times New Roman" w:cs="Arial"/>
        </w:rPr>
        <w:t>: 27</w:t>
      </w:r>
      <w:r w:rsidRPr="5FF0A1E2" w:rsidR="45C8322B">
        <w:rPr>
          <w:rFonts w:eastAsia="Times New Roman" w:cs="Arial"/>
        </w:rPr>
        <w:t>.11.2025</w:t>
      </w:r>
    </w:p>
    <w:p w:rsidRPr="00604A87" w:rsidR="00604A87" w:rsidP="00604A87" w:rsidRDefault="00604A87" w14:paraId="7D9E43A8" w14:textId="77777777">
      <w:pPr>
        <w:rPr>
          <w:rFonts w:eastAsia="Times New Roman" w:cs="Arial"/>
          <w:bCs/>
          <w:kern w:val="32"/>
        </w:rPr>
      </w:pPr>
      <w:r w:rsidRPr="00604A87">
        <w:rPr>
          <w:rFonts w:eastAsia="Times New Roman" w:cs="Arial"/>
          <w:b/>
        </w:rPr>
        <w:t xml:space="preserve">STATEMENT 1 </w:t>
      </w:r>
    </w:p>
    <w:p w:rsidRPr="00604A87" w:rsidR="00604A87" w:rsidP="00604A87" w:rsidRDefault="00604A87" w14:paraId="189DE0A6" w14:textId="710F2765">
      <w:pPr>
        <w:rPr>
          <w:rFonts w:eastAsia="Times New Roman" w:cs="Arial"/>
        </w:rPr>
      </w:pPr>
      <w:r w:rsidRPr="00604A87">
        <w:rPr>
          <w:rFonts w:eastAsia="Times New Roman" w:cs="Arial"/>
        </w:rPr>
        <w:t>This dissertation is being submitted in partial fulfilment of the requirements for the degree of BSc.</w:t>
      </w:r>
    </w:p>
    <w:p w:rsidRPr="00604A87" w:rsidR="00604A87" w:rsidP="00604A87" w:rsidRDefault="00604A87" w14:paraId="39F661A6" w14:textId="2BAC31E1">
      <w:pPr>
        <w:rPr>
          <w:rFonts w:eastAsia="Times New Roman" w:cs="Arial"/>
        </w:rPr>
      </w:pPr>
      <w:r w:rsidRPr="5FF0A1E2" w:rsidR="6EED8E5F">
        <w:rPr>
          <w:rFonts w:eastAsia="Times New Roman" w:cs="Arial"/>
        </w:rPr>
        <w:t>Signed</w:t>
      </w:r>
      <w:r w:rsidRPr="5FF0A1E2" w:rsidR="798DAF13">
        <w:rPr>
          <w:rFonts w:eastAsia="Times New Roman" w:cs="Arial"/>
        </w:rPr>
        <w:t>: Sabina Aslam</w:t>
      </w:r>
    </w:p>
    <w:p w:rsidRPr="00604A87" w:rsidR="00604A87" w:rsidP="00604A87" w:rsidRDefault="00604A87" w14:paraId="21F5E413" w14:textId="2FDF0766">
      <w:pPr>
        <w:rPr>
          <w:rFonts w:eastAsia="Times New Roman" w:cs="Arial"/>
        </w:rPr>
      </w:pPr>
      <w:r w:rsidRPr="5FF0A1E2" w:rsidR="6EED8E5F">
        <w:rPr>
          <w:rFonts w:eastAsia="Times New Roman" w:cs="Arial"/>
        </w:rPr>
        <w:t>Date</w:t>
      </w:r>
      <w:r w:rsidRPr="5FF0A1E2" w:rsidR="5CF93532">
        <w:rPr>
          <w:rFonts w:eastAsia="Times New Roman" w:cs="Arial"/>
        </w:rPr>
        <w:t xml:space="preserve">: </w:t>
      </w:r>
      <w:r w:rsidRPr="5FF0A1E2" w:rsidR="0D7FBB80">
        <w:rPr>
          <w:rFonts w:eastAsia="Times New Roman" w:cs="Arial"/>
        </w:rPr>
        <w:t>27.11.2025</w:t>
      </w:r>
    </w:p>
    <w:p w:rsidRPr="00604A87" w:rsidR="00604A87" w:rsidP="00604A87" w:rsidRDefault="00604A87" w14:paraId="713B64B9" w14:textId="77777777">
      <w:pPr>
        <w:rPr>
          <w:rFonts w:eastAsia="Times New Roman" w:cs="Arial"/>
        </w:rPr>
      </w:pPr>
      <w:r w:rsidRPr="00604A87">
        <w:rPr>
          <w:rFonts w:eastAsia="Times New Roman" w:cs="Arial"/>
          <w:b/>
        </w:rPr>
        <w:t>STATEMENT 2</w:t>
      </w:r>
    </w:p>
    <w:p w:rsidRPr="00604A87" w:rsidR="00604A87" w:rsidP="00604A87" w:rsidRDefault="00604A87" w14:paraId="4AA5D04A" w14:textId="65BB11AC">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rsidRPr="00604A87" w:rsidR="00604A87" w:rsidP="00604A87" w:rsidRDefault="00604A87" w14:paraId="319A31E7" w14:textId="6C72C417">
      <w:pPr>
        <w:rPr>
          <w:rFonts w:eastAsia="Times New Roman" w:cs="Arial"/>
        </w:rPr>
      </w:pPr>
      <w:r w:rsidRPr="5FF0A1E2" w:rsidR="6EED8E5F">
        <w:rPr>
          <w:rFonts w:eastAsia="Times New Roman" w:cs="Arial"/>
        </w:rPr>
        <w:t>Signed</w:t>
      </w:r>
      <w:r w:rsidRPr="5FF0A1E2" w:rsidR="4FFCCCA5">
        <w:rPr>
          <w:rFonts w:eastAsia="Times New Roman" w:cs="Arial"/>
        </w:rPr>
        <w:t>: Sabina Aslam</w:t>
      </w:r>
    </w:p>
    <w:p w:rsidRPr="00604A87" w:rsidR="00604A87" w:rsidP="00604A87" w:rsidRDefault="00604A87" w14:paraId="1CB40FFB" w14:textId="4F1FE18C">
      <w:pPr>
        <w:rPr>
          <w:rFonts w:eastAsia="Times New Roman" w:cs="Arial"/>
        </w:rPr>
      </w:pPr>
      <w:r w:rsidRPr="5FF0A1E2" w:rsidR="6EED8E5F">
        <w:rPr>
          <w:rFonts w:eastAsia="Times New Roman" w:cs="Arial"/>
        </w:rPr>
        <w:t>Date</w:t>
      </w:r>
      <w:r w:rsidRPr="5FF0A1E2" w:rsidR="4E1C9FC5">
        <w:rPr>
          <w:rFonts w:eastAsia="Times New Roman" w:cs="Arial"/>
        </w:rPr>
        <w:t xml:space="preserve">: </w:t>
      </w:r>
      <w:r w:rsidRPr="5FF0A1E2" w:rsidR="304ACE9E">
        <w:rPr>
          <w:rFonts w:eastAsia="Times New Roman" w:cs="Arial"/>
        </w:rPr>
        <w:t>27.11.2025</w:t>
      </w:r>
    </w:p>
    <w:p w:rsidRPr="00604A87" w:rsidR="00604A87" w:rsidP="00604A87" w:rsidRDefault="00604A87" w14:paraId="42D5D0C6" w14:textId="77777777">
      <w:pPr>
        <w:rPr>
          <w:rFonts w:eastAsia="Times New Roman" w:cs="Arial"/>
        </w:rPr>
      </w:pPr>
      <w:r w:rsidRPr="00604A87">
        <w:rPr>
          <w:rFonts w:eastAsia="Times New Roman" w:cs="Arial"/>
          <w:b/>
        </w:rPr>
        <w:t>STATEMENT 3</w:t>
      </w:r>
    </w:p>
    <w:p w:rsidRPr="00604A87" w:rsidR="00604A87" w:rsidP="00604A87" w:rsidRDefault="00604A87" w14:paraId="4B58546E" w14:textId="61CCB29A">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rsidRPr="00604A87" w:rsidR="00604A87" w:rsidP="00604A87" w:rsidRDefault="00604A87" w14:paraId="5C25443E" w14:textId="2334F8A9">
      <w:pPr>
        <w:rPr>
          <w:rFonts w:eastAsia="Times New Roman" w:cs="Arial"/>
        </w:rPr>
      </w:pPr>
      <w:r w:rsidRPr="5FF0A1E2" w:rsidR="6EED8E5F">
        <w:rPr>
          <w:rFonts w:eastAsia="Times New Roman" w:cs="Arial"/>
        </w:rPr>
        <w:t>Signed</w:t>
      </w:r>
      <w:r w:rsidRPr="5FF0A1E2" w:rsidR="6A47D94D">
        <w:rPr>
          <w:rFonts w:eastAsia="Times New Roman" w:cs="Arial"/>
        </w:rPr>
        <w:t>: Sabina Aslam</w:t>
      </w:r>
    </w:p>
    <w:p w:rsidRPr="00604A87" w:rsidR="00604A87" w:rsidP="00604A87" w:rsidRDefault="00604A87" w14:paraId="021196D1" w14:textId="5EBABC0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5FF0A1E2" w:rsidR="6EED8E5F">
        <w:rPr>
          <w:rFonts w:eastAsia="Times New Roman" w:cs="Arial"/>
        </w:rPr>
        <w:t>Date</w:t>
      </w:r>
      <w:r w:rsidRPr="5FF0A1E2" w:rsidR="63F98939">
        <w:rPr>
          <w:rFonts w:eastAsia="Times New Roman" w:cs="Arial"/>
        </w:rPr>
        <w:t xml:space="preserve">: </w:t>
      </w:r>
      <w:r w:rsidRPr="5FF0A1E2" w:rsidR="18D79FD7">
        <w:rPr>
          <w:rFonts w:eastAsia="Times New Roman" w:cs="Arial"/>
        </w:rPr>
        <w:t>27.11.2025</w:t>
      </w:r>
    </w:p>
    <w:p w:rsidRPr="00604A87" w:rsidR="00604A87" w:rsidP="00604A87" w:rsidRDefault="00604A87" w14:paraId="77D38054" w14:textId="77777777">
      <w:pPr>
        <w:rPr>
          <w:rFonts w:eastAsia="Times New Roman" w:cs="Arial"/>
          <w:b/>
        </w:rPr>
      </w:pPr>
      <w:r w:rsidRPr="00604A87">
        <w:rPr>
          <w:rFonts w:eastAsia="Times New Roman" w:cs="Arial"/>
          <w:b/>
        </w:rPr>
        <w:t>STATEMENT 4</w:t>
      </w:r>
    </w:p>
    <w:p w:rsidRPr="00604A87" w:rsidR="00604A87" w:rsidP="00604A87" w:rsidRDefault="00604A87" w14:paraId="0A15E499" w14:textId="1F9546C0">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rsidRPr="00604A87" w:rsidR="00604A87" w:rsidP="00604A87" w:rsidRDefault="00604A87" w14:paraId="73D7762F" w14:textId="38557897">
      <w:pPr>
        <w:rPr>
          <w:rFonts w:eastAsia="Times New Roman" w:cs="Arial"/>
        </w:rPr>
      </w:pPr>
      <w:r w:rsidRPr="5FF0A1E2" w:rsidR="6EED8E5F">
        <w:rPr>
          <w:rFonts w:eastAsia="Times New Roman" w:cs="Arial"/>
        </w:rPr>
        <w:t>Signed</w:t>
      </w:r>
      <w:r w:rsidRPr="5FF0A1E2" w:rsidR="1E5187DC">
        <w:rPr>
          <w:rFonts w:eastAsia="Times New Roman" w:cs="Arial"/>
        </w:rPr>
        <w:t>: Sabina Aslam</w:t>
      </w:r>
    </w:p>
    <w:p w:rsidRPr="00604A87" w:rsidR="00604A87" w:rsidP="00604A87" w:rsidRDefault="00604A87" w14:paraId="2BDDE109" w14:textId="726DA33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5FF0A1E2" w:rsidR="6EED8E5F">
        <w:rPr>
          <w:rFonts w:eastAsia="Times New Roman" w:cs="Arial"/>
        </w:rPr>
        <w:t>Date</w:t>
      </w:r>
      <w:r w:rsidRPr="5FF0A1E2" w:rsidR="60FC5A54">
        <w:rPr>
          <w:rFonts w:eastAsia="Times New Roman" w:cs="Arial"/>
        </w:rPr>
        <w:t xml:space="preserve">: </w:t>
      </w:r>
      <w:r w:rsidRPr="5FF0A1E2" w:rsidR="4B713BBD">
        <w:rPr>
          <w:rFonts w:eastAsia="Times New Roman" w:cs="Arial"/>
        </w:rPr>
        <w:t>27.11.2025</w:t>
      </w:r>
    </w:p>
    <w:p w:rsidR="00063B4C" w:rsidRDefault="00063B4C" w14:paraId="324943A4" w14:textId="77777777"/>
    <w:p w:rsidR="00063B4C" w:rsidRDefault="00063B4C" w14:paraId="13649F9E" w14:textId="77777777"/>
    <w:p w:rsidR="00995444" w:rsidP="00995444" w:rsidRDefault="00995444" w14:paraId="4E014F16" w14:textId="77777777">
      <w:pPr>
        <w:jc w:val="center"/>
        <w:rPr>
          <w:rFonts w:ascii="Arial" w:hAnsi="Arial" w:eastAsia="Arial Unicode MS" w:cs="Arial"/>
          <w:b/>
          <w:sz w:val="56"/>
          <w:szCs w:val="56"/>
        </w:rPr>
      </w:pPr>
    </w:p>
    <w:p w:rsidR="00995444" w:rsidP="00995444" w:rsidRDefault="00995444" w14:paraId="7CE514EB" w14:textId="77777777">
      <w:pPr>
        <w:jc w:val="center"/>
        <w:rPr>
          <w:rFonts w:ascii="Arial" w:hAnsi="Arial" w:eastAsia="Arial Unicode MS" w:cs="Arial"/>
          <w:b/>
          <w:sz w:val="56"/>
          <w:szCs w:val="56"/>
        </w:rPr>
      </w:pPr>
    </w:p>
    <w:p w:rsidRPr="00995444" w:rsidR="00995444" w:rsidP="5FF0A1E2" w:rsidRDefault="00995444" w14:paraId="03D7003D" w14:textId="699276DF">
      <w:pPr>
        <w:pStyle w:val="Normal"/>
        <w:jc w:val="center"/>
        <w:rPr>
          <w:rFonts w:ascii="Aptos" w:hAnsi="Aptos" w:eastAsia="Aptos" w:cs="Aptos"/>
          <w:noProof w:val="0"/>
          <w:sz w:val="24"/>
          <w:szCs w:val="24"/>
          <w:lang w:val="en-GB"/>
        </w:rPr>
      </w:pPr>
    </w:p>
    <w:p w:rsidRPr="00995444" w:rsidR="00995444" w:rsidP="5FF0A1E2" w:rsidRDefault="00995444" w14:paraId="6BE2C26B" w14:textId="49DA77EE">
      <w:pPr>
        <w:pStyle w:val="Normal"/>
        <w:jc w:val="center"/>
        <w:rPr>
          <w:rFonts w:ascii="Aptos" w:hAnsi="Aptos" w:eastAsia="Aptos" w:cs="Aptos"/>
          <w:noProof w:val="0"/>
          <w:sz w:val="24"/>
          <w:szCs w:val="24"/>
          <w:lang w:val="en-GB"/>
        </w:rPr>
      </w:pPr>
    </w:p>
    <w:p w:rsidRPr="00995444" w:rsidR="00995444" w:rsidP="5FF0A1E2" w:rsidRDefault="00995444" w14:paraId="554AF709" w14:textId="010DCF9D">
      <w:pPr>
        <w:pStyle w:val="Normal"/>
        <w:jc w:val="center"/>
        <w:rPr>
          <w:rFonts w:ascii="Aptos" w:hAnsi="Aptos" w:eastAsia="Aptos" w:cs="Aptos"/>
          <w:noProof w:val="0"/>
          <w:sz w:val="24"/>
          <w:szCs w:val="24"/>
          <w:lang w:val="en-GB"/>
        </w:rPr>
      </w:pPr>
    </w:p>
    <w:p w:rsidRPr="00995444" w:rsidR="00995444" w:rsidP="5FF0A1E2" w:rsidRDefault="00995444" w14:paraId="634C4C05" w14:textId="5C9B1247">
      <w:pPr>
        <w:pStyle w:val="Normal"/>
        <w:jc w:val="center"/>
        <w:rPr>
          <w:rFonts w:ascii="Aptos" w:hAnsi="Aptos" w:eastAsia="Aptos" w:cs="Aptos"/>
          <w:noProof w:val="0"/>
          <w:sz w:val="24"/>
          <w:szCs w:val="24"/>
          <w:lang w:val="en-GB"/>
        </w:rPr>
      </w:pPr>
    </w:p>
    <w:p w:rsidRPr="00995444" w:rsidR="00995444" w:rsidP="5FF0A1E2" w:rsidRDefault="00995444" w14:paraId="2D918B39" w14:textId="25231F39">
      <w:pPr>
        <w:pStyle w:val="Normal"/>
        <w:jc w:val="center"/>
        <w:rPr>
          <w:rFonts w:ascii="Aptos" w:hAnsi="Aptos" w:eastAsia="Aptos" w:cs="Aptos"/>
          <w:noProof w:val="0"/>
          <w:sz w:val="24"/>
          <w:szCs w:val="24"/>
          <w:lang w:val="en-GB"/>
        </w:rPr>
      </w:pPr>
    </w:p>
    <w:p w:rsidRPr="00995444" w:rsidR="00995444" w:rsidP="5FF0A1E2" w:rsidRDefault="00995444" w14:paraId="3A94C785" w14:textId="5D6BDB8E">
      <w:pPr>
        <w:pStyle w:val="Normal"/>
        <w:jc w:val="center"/>
        <w:rPr>
          <w:rFonts w:ascii="Aptos" w:hAnsi="Aptos" w:eastAsia="Aptos" w:cs="Aptos"/>
          <w:noProof w:val="0"/>
          <w:sz w:val="24"/>
          <w:szCs w:val="24"/>
          <w:lang w:val="en-GB"/>
        </w:rPr>
      </w:pPr>
    </w:p>
    <w:p w:rsidRPr="00995444" w:rsidR="00995444" w:rsidP="5FF0A1E2" w:rsidRDefault="00995444" w14:paraId="0D5728BB" w14:textId="7B79BE1D">
      <w:pPr>
        <w:pStyle w:val="Normal"/>
        <w:jc w:val="center"/>
        <w:rPr>
          <w:rFonts w:ascii="Aptos" w:hAnsi="Aptos" w:eastAsia="Aptos" w:cs="Aptos"/>
          <w:noProof w:val="0"/>
          <w:sz w:val="24"/>
          <w:szCs w:val="24"/>
          <w:lang w:val="en-GB"/>
        </w:rPr>
      </w:pPr>
    </w:p>
    <w:p w:rsidRPr="00995444" w:rsidR="00995444" w:rsidP="5FF0A1E2" w:rsidRDefault="00995444" w14:paraId="7D6AF989" w14:textId="77BB1241">
      <w:pPr>
        <w:pStyle w:val="Normal"/>
        <w:jc w:val="center"/>
        <w:rPr>
          <w:rFonts w:ascii="Aptos" w:hAnsi="Aptos" w:eastAsia="Aptos" w:cs="Aptos"/>
          <w:noProof w:val="0"/>
          <w:sz w:val="24"/>
          <w:szCs w:val="24"/>
          <w:lang w:val="en-GB"/>
        </w:rPr>
      </w:pPr>
    </w:p>
    <w:p w:rsidRPr="00995444" w:rsidR="00995444" w:rsidP="5FF0A1E2" w:rsidRDefault="00995444" w14:paraId="63E4A231" w14:textId="6D9D1A75">
      <w:pPr>
        <w:pStyle w:val="Normal"/>
        <w:jc w:val="center"/>
        <w:rPr>
          <w:rFonts w:ascii="Aptos" w:hAnsi="Aptos" w:eastAsia="Aptos" w:cs="Aptos"/>
          <w:noProof w:val="0"/>
          <w:sz w:val="24"/>
          <w:szCs w:val="24"/>
          <w:lang w:val="en-GB"/>
        </w:rPr>
      </w:pPr>
    </w:p>
    <w:p w:rsidRPr="00995444" w:rsidR="00995444" w:rsidP="5FF0A1E2" w:rsidRDefault="00995444" w14:paraId="2F07F4BE" w14:textId="5A6B7CA8">
      <w:pPr>
        <w:pStyle w:val="Normal"/>
        <w:jc w:val="center"/>
        <w:rPr>
          <w:rFonts w:ascii="Aptos" w:hAnsi="Aptos" w:eastAsia="Aptos" w:cs="Aptos"/>
          <w:noProof w:val="0"/>
          <w:sz w:val="24"/>
          <w:szCs w:val="24"/>
          <w:lang w:val="en-GB"/>
        </w:rPr>
      </w:pPr>
    </w:p>
    <w:p w:rsidRPr="00995444" w:rsidR="00995444" w:rsidP="5FF0A1E2" w:rsidRDefault="00995444" w14:paraId="27974543" w14:textId="50237E4D">
      <w:pPr>
        <w:pStyle w:val="Normal"/>
        <w:jc w:val="center"/>
        <w:rPr>
          <w:rFonts w:ascii="Aptos" w:hAnsi="Aptos" w:eastAsia="Aptos" w:cs="Aptos"/>
          <w:noProof w:val="0"/>
          <w:sz w:val="24"/>
          <w:szCs w:val="24"/>
          <w:lang w:val="en-GB"/>
        </w:rPr>
      </w:pPr>
    </w:p>
    <w:p w:rsidRPr="00995444" w:rsidR="00995444" w:rsidP="5FF0A1E2" w:rsidRDefault="00995444" w14:paraId="2E866DD7" w14:textId="169E2DEA">
      <w:pPr>
        <w:pStyle w:val="Normal"/>
        <w:jc w:val="center"/>
        <w:rPr>
          <w:rFonts w:ascii="Aptos" w:hAnsi="Aptos" w:eastAsia="Aptos" w:cs="Aptos"/>
          <w:noProof w:val="0"/>
          <w:sz w:val="24"/>
          <w:szCs w:val="24"/>
          <w:lang w:val="en-GB"/>
        </w:rPr>
      </w:pPr>
    </w:p>
    <w:p w:rsidRPr="00995444" w:rsidR="00995444" w:rsidP="5FF0A1E2" w:rsidRDefault="00995444" w14:paraId="42ECB4FE" w14:textId="20CC60E3">
      <w:pPr>
        <w:pStyle w:val="Normal"/>
        <w:jc w:val="center"/>
        <w:rPr>
          <w:rFonts w:ascii="Aptos" w:hAnsi="Aptos" w:eastAsia="Aptos" w:cs="Aptos"/>
          <w:noProof w:val="0"/>
          <w:sz w:val="24"/>
          <w:szCs w:val="24"/>
          <w:lang w:val="en-GB"/>
        </w:rPr>
      </w:pPr>
    </w:p>
    <w:p w:rsidRPr="00995444" w:rsidR="00995444" w:rsidP="5FF0A1E2" w:rsidRDefault="00995444" w14:paraId="3F8DA723" w14:textId="55215068">
      <w:pPr>
        <w:pStyle w:val="Normal"/>
        <w:spacing w:line="360" w:lineRule="auto"/>
        <w:jc w:val="center"/>
        <w:rPr>
          <w:rFonts w:ascii="Arial" w:hAnsi="Arial" w:eastAsia="Arial" w:cs="Arial"/>
          <w:noProof w:val="0"/>
          <w:sz w:val="32"/>
          <w:szCs w:val="32"/>
          <w:lang w:val="en-GB"/>
        </w:rPr>
      </w:pPr>
      <w:r w:rsidRPr="5FF0A1E2" w:rsidR="33EA687D">
        <w:rPr>
          <w:rFonts w:ascii="Arial" w:hAnsi="Arial" w:eastAsia="Arial" w:cs="Arial"/>
          <w:noProof w:val="0"/>
          <w:sz w:val="32"/>
          <w:szCs w:val="32"/>
          <w:lang w:val="en-GB"/>
        </w:rPr>
        <w:t xml:space="preserve">Supporting </w:t>
      </w:r>
      <w:r w:rsidRPr="5FF0A1E2" w:rsidR="67DA5C45">
        <w:rPr>
          <w:rFonts w:ascii="Arial" w:hAnsi="Arial" w:eastAsia="Arial" w:cs="Arial"/>
          <w:noProof w:val="0"/>
          <w:sz w:val="32"/>
          <w:szCs w:val="32"/>
          <w:lang w:val="en-GB"/>
        </w:rPr>
        <w:t>C</w:t>
      </w:r>
      <w:r w:rsidRPr="5FF0A1E2" w:rsidR="33EA687D">
        <w:rPr>
          <w:rFonts w:ascii="Arial" w:hAnsi="Arial" w:eastAsia="Arial" w:cs="Arial"/>
          <w:noProof w:val="0"/>
          <w:sz w:val="32"/>
          <w:szCs w:val="32"/>
          <w:lang w:val="en-GB"/>
        </w:rPr>
        <w:t xml:space="preserve">hildren with </w:t>
      </w:r>
      <w:r w:rsidRPr="5FF0A1E2" w:rsidR="079D54AD">
        <w:rPr>
          <w:rFonts w:ascii="Arial" w:hAnsi="Arial" w:eastAsia="Arial" w:cs="Arial"/>
          <w:noProof w:val="0"/>
          <w:sz w:val="32"/>
          <w:szCs w:val="32"/>
          <w:lang w:val="en-GB"/>
        </w:rPr>
        <w:t>C</w:t>
      </w:r>
      <w:r w:rsidRPr="5FF0A1E2" w:rsidR="33EA687D">
        <w:rPr>
          <w:rFonts w:ascii="Arial" w:hAnsi="Arial" w:eastAsia="Arial" w:cs="Arial"/>
          <w:noProof w:val="0"/>
          <w:sz w:val="32"/>
          <w:szCs w:val="32"/>
          <w:lang w:val="en-GB"/>
        </w:rPr>
        <w:t xml:space="preserve">hronic </w:t>
      </w:r>
      <w:r w:rsidRPr="5FF0A1E2" w:rsidR="7EB0D8F6">
        <w:rPr>
          <w:rFonts w:ascii="Arial" w:hAnsi="Arial" w:eastAsia="Arial" w:cs="Arial"/>
          <w:noProof w:val="0"/>
          <w:sz w:val="32"/>
          <w:szCs w:val="32"/>
          <w:lang w:val="en-GB"/>
        </w:rPr>
        <w:t>I</w:t>
      </w:r>
      <w:r w:rsidRPr="5FF0A1E2" w:rsidR="33EA687D">
        <w:rPr>
          <w:rFonts w:ascii="Arial" w:hAnsi="Arial" w:eastAsia="Arial" w:cs="Arial"/>
          <w:noProof w:val="0"/>
          <w:sz w:val="32"/>
          <w:szCs w:val="32"/>
          <w:lang w:val="en-GB"/>
        </w:rPr>
        <w:t xml:space="preserve">llnesses in </w:t>
      </w:r>
      <w:r w:rsidRPr="5FF0A1E2" w:rsidR="7CAEFE58">
        <w:rPr>
          <w:rFonts w:ascii="Arial" w:hAnsi="Arial" w:eastAsia="Arial" w:cs="Arial"/>
          <w:noProof w:val="0"/>
          <w:sz w:val="32"/>
          <w:szCs w:val="32"/>
          <w:lang w:val="en-GB"/>
        </w:rPr>
        <w:t>E</w:t>
      </w:r>
      <w:r w:rsidRPr="5FF0A1E2" w:rsidR="33EA687D">
        <w:rPr>
          <w:rFonts w:ascii="Arial" w:hAnsi="Arial" w:eastAsia="Arial" w:cs="Arial"/>
          <w:noProof w:val="0"/>
          <w:sz w:val="32"/>
          <w:szCs w:val="32"/>
          <w:lang w:val="en-GB"/>
        </w:rPr>
        <w:t xml:space="preserve">ducational </w:t>
      </w:r>
      <w:r w:rsidRPr="5FF0A1E2" w:rsidR="712BF3B0">
        <w:rPr>
          <w:rFonts w:ascii="Arial" w:hAnsi="Arial" w:eastAsia="Arial" w:cs="Arial"/>
          <w:noProof w:val="0"/>
          <w:sz w:val="32"/>
          <w:szCs w:val="32"/>
          <w:lang w:val="en-GB"/>
        </w:rPr>
        <w:t>S</w:t>
      </w:r>
      <w:r w:rsidRPr="5FF0A1E2" w:rsidR="33EA687D">
        <w:rPr>
          <w:rFonts w:ascii="Arial" w:hAnsi="Arial" w:eastAsia="Arial" w:cs="Arial"/>
          <w:noProof w:val="0"/>
          <w:sz w:val="32"/>
          <w:szCs w:val="32"/>
          <w:lang w:val="en-GB"/>
        </w:rPr>
        <w:t>ettings</w:t>
      </w:r>
    </w:p>
    <w:p w:rsidR="58FF9BA6" w:rsidP="5FF0A1E2" w:rsidRDefault="58FF9BA6" w14:paraId="3DE53712" w14:textId="25704AE2">
      <w:pPr>
        <w:pStyle w:val="Normal"/>
        <w:spacing w:line="360" w:lineRule="auto"/>
        <w:jc w:val="center"/>
        <w:rPr>
          <w:rFonts w:ascii="Arial" w:hAnsi="Arial" w:eastAsia="Arial" w:cs="Arial"/>
          <w:noProof w:val="0"/>
          <w:sz w:val="32"/>
          <w:szCs w:val="32"/>
          <w:lang w:val="en-GB"/>
        </w:rPr>
      </w:pPr>
      <w:r w:rsidRPr="5FF0A1E2" w:rsidR="58FF9BA6">
        <w:rPr>
          <w:rFonts w:ascii="Arial" w:hAnsi="Arial" w:eastAsia="Arial" w:cs="Arial"/>
          <w:noProof w:val="0"/>
          <w:sz w:val="32"/>
          <w:szCs w:val="32"/>
          <w:lang w:val="en-GB"/>
        </w:rPr>
        <w:t>S</w:t>
      </w:r>
      <w:r w:rsidRPr="5FF0A1E2" w:rsidR="33EA687D">
        <w:rPr>
          <w:rFonts w:ascii="Arial" w:hAnsi="Arial" w:eastAsia="Arial" w:cs="Arial"/>
          <w:noProof w:val="0"/>
          <w:sz w:val="32"/>
          <w:szCs w:val="32"/>
          <w:lang w:val="en-GB"/>
        </w:rPr>
        <w:t xml:space="preserve">tudent </w:t>
      </w:r>
      <w:r w:rsidRPr="5FF0A1E2" w:rsidR="0DFB8AC4">
        <w:rPr>
          <w:rFonts w:ascii="Arial" w:hAnsi="Arial" w:eastAsia="Arial" w:cs="Arial"/>
          <w:noProof w:val="0"/>
          <w:sz w:val="32"/>
          <w:szCs w:val="32"/>
          <w:lang w:val="en-GB"/>
        </w:rPr>
        <w:t>N</w:t>
      </w:r>
      <w:r w:rsidRPr="5FF0A1E2" w:rsidR="33EA687D">
        <w:rPr>
          <w:rFonts w:ascii="Arial" w:hAnsi="Arial" w:eastAsia="Arial" w:cs="Arial"/>
          <w:noProof w:val="0"/>
          <w:sz w:val="32"/>
          <w:szCs w:val="32"/>
          <w:lang w:val="en-GB"/>
        </w:rPr>
        <w:t xml:space="preserve">ame: </w:t>
      </w:r>
      <w:r w:rsidRPr="5FF0A1E2" w:rsidR="6B9C3039">
        <w:rPr>
          <w:rFonts w:ascii="Arial" w:hAnsi="Arial" w:eastAsia="Arial" w:cs="Arial"/>
          <w:noProof w:val="0"/>
          <w:sz w:val="32"/>
          <w:szCs w:val="32"/>
          <w:lang w:val="en-GB"/>
        </w:rPr>
        <w:t>S</w:t>
      </w:r>
      <w:r w:rsidRPr="5FF0A1E2" w:rsidR="33EA687D">
        <w:rPr>
          <w:rFonts w:ascii="Arial" w:hAnsi="Arial" w:eastAsia="Arial" w:cs="Arial"/>
          <w:noProof w:val="0"/>
          <w:sz w:val="32"/>
          <w:szCs w:val="32"/>
          <w:lang w:val="en-GB"/>
        </w:rPr>
        <w:t xml:space="preserve">abina </w:t>
      </w:r>
      <w:r w:rsidRPr="5FF0A1E2" w:rsidR="23D2EB45">
        <w:rPr>
          <w:rFonts w:ascii="Arial" w:hAnsi="Arial" w:eastAsia="Arial" w:cs="Arial"/>
          <w:noProof w:val="0"/>
          <w:sz w:val="32"/>
          <w:szCs w:val="32"/>
          <w:lang w:val="en-GB"/>
        </w:rPr>
        <w:t>A</w:t>
      </w:r>
      <w:r w:rsidRPr="5FF0A1E2" w:rsidR="33EA687D">
        <w:rPr>
          <w:rFonts w:ascii="Arial" w:hAnsi="Arial" w:eastAsia="Arial" w:cs="Arial"/>
          <w:noProof w:val="0"/>
          <w:sz w:val="32"/>
          <w:szCs w:val="32"/>
          <w:lang w:val="en-GB"/>
        </w:rPr>
        <w:t xml:space="preserve">slam </w:t>
      </w:r>
    </w:p>
    <w:p w:rsidR="33EA687D" w:rsidP="5FF0A1E2" w:rsidRDefault="33EA687D" w14:paraId="5F876D82" w14:textId="36A8D9DB">
      <w:pPr>
        <w:pStyle w:val="Normal"/>
        <w:spacing w:line="360" w:lineRule="auto"/>
        <w:jc w:val="center"/>
        <w:rPr>
          <w:rFonts w:ascii="Arial" w:hAnsi="Arial" w:eastAsia="Arial" w:cs="Arial"/>
          <w:noProof w:val="0"/>
          <w:sz w:val="32"/>
          <w:szCs w:val="32"/>
          <w:lang w:val="en-GB"/>
        </w:rPr>
      </w:pPr>
      <w:r w:rsidRPr="5FF0A1E2" w:rsidR="33EA687D">
        <w:rPr>
          <w:rFonts w:ascii="Arial" w:hAnsi="Arial" w:eastAsia="Arial" w:cs="Arial"/>
          <w:noProof w:val="0"/>
          <w:sz w:val="32"/>
          <w:szCs w:val="32"/>
          <w:lang w:val="en-GB"/>
        </w:rPr>
        <w:t xml:space="preserve">Student </w:t>
      </w:r>
      <w:r w:rsidRPr="5FF0A1E2" w:rsidR="5723ADB2">
        <w:rPr>
          <w:rFonts w:ascii="Arial" w:hAnsi="Arial" w:eastAsia="Arial" w:cs="Arial"/>
          <w:noProof w:val="0"/>
          <w:sz w:val="32"/>
          <w:szCs w:val="32"/>
          <w:lang w:val="en-GB"/>
        </w:rPr>
        <w:t>N</w:t>
      </w:r>
      <w:r w:rsidRPr="5FF0A1E2" w:rsidR="33EA687D">
        <w:rPr>
          <w:rFonts w:ascii="Arial" w:hAnsi="Arial" w:eastAsia="Arial" w:cs="Arial"/>
          <w:noProof w:val="0"/>
          <w:sz w:val="32"/>
          <w:szCs w:val="32"/>
          <w:lang w:val="en-GB"/>
        </w:rPr>
        <w:t>umber: 2220574</w:t>
      </w:r>
    </w:p>
    <w:p w:rsidR="04C2B002" w:rsidP="5FF0A1E2" w:rsidRDefault="04C2B002" w14:paraId="3DB5E6A4" w14:textId="6F5A6F6F">
      <w:pPr>
        <w:pStyle w:val="Normal"/>
        <w:spacing w:line="360" w:lineRule="auto"/>
        <w:jc w:val="center"/>
        <w:rPr>
          <w:rFonts w:ascii="Arial" w:hAnsi="Arial" w:eastAsia="Arial" w:cs="Arial"/>
          <w:noProof w:val="0"/>
          <w:sz w:val="32"/>
          <w:szCs w:val="32"/>
          <w:lang w:val="en-GB"/>
        </w:rPr>
      </w:pPr>
      <w:r w:rsidRPr="5FF0A1E2" w:rsidR="04C2B002">
        <w:rPr>
          <w:rFonts w:ascii="Arial" w:hAnsi="Arial" w:eastAsia="Arial" w:cs="Arial"/>
          <w:noProof w:val="0"/>
          <w:sz w:val="32"/>
          <w:szCs w:val="32"/>
          <w:lang w:val="en-GB"/>
        </w:rPr>
        <w:t>Module Code: BHMP6020</w:t>
      </w:r>
    </w:p>
    <w:p w:rsidRPr="00995444" w:rsidR="00995444" w:rsidP="00995444" w:rsidRDefault="00995444" w14:paraId="3851CFD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rsidRPr="00995444" w:rsidR="00995444" w:rsidP="00995444" w:rsidRDefault="00995444" w14:paraId="359F5B0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Pr="00995444" w:rsidR="00995444" w:rsidP="00995444" w:rsidRDefault="00995444" w14:paraId="11885DD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rsidRPr="00995444" w:rsidR="00995444" w:rsidP="00995444" w:rsidRDefault="00995444" w14:paraId="2057C793" w14:textId="103D0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rsidR="00063B4C" w:rsidRDefault="00063B4C" w14:paraId="03004EEE" w14:textId="77777777"/>
    <w:p w:rsidR="00995444" w:rsidRDefault="00995444" w14:paraId="65358A57" w14:textId="77777777"/>
    <w:p w:rsidR="5FF0A1E2" w:rsidP="5FF0A1E2" w:rsidRDefault="5FF0A1E2" w14:paraId="025F9DD7" w14:textId="7F504915">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5FF0A1E2" w:rsidP="5FF0A1E2" w:rsidRDefault="5FF0A1E2" w14:paraId="01C21FF4" w14:textId="3B73647D">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5FF0A1E2" w:rsidP="5FF0A1E2" w:rsidRDefault="5FF0A1E2" w14:paraId="30085982" w14:textId="6ECF6EA1">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5FF0A1E2" w:rsidP="5FF0A1E2" w:rsidRDefault="5FF0A1E2" w14:paraId="011A3739" w14:textId="5BFFE5B8">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5FF0A1E2" w:rsidP="5FF0A1E2" w:rsidRDefault="5FF0A1E2" w14:paraId="632845E8" w14:textId="418AAEF6">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5FF0A1E2" w:rsidP="5FF0A1E2" w:rsidRDefault="5FF0A1E2" w14:paraId="7C786FE1" w14:textId="2383502A">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5FF0A1E2" w:rsidP="5FF0A1E2" w:rsidRDefault="5FF0A1E2" w14:paraId="46575974" w14:textId="1327289C">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5FF0A1E2" w:rsidP="5FF0A1E2" w:rsidRDefault="5FF0A1E2" w14:paraId="0AFA5B3A" w14:textId="744D1221">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Arial"/>
          <w:b w:val="1"/>
          <w:bCs w:val="1"/>
          <w:sz w:val="28"/>
          <w:szCs w:val="28"/>
        </w:rPr>
      </w:pPr>
    </w:p>
    <w:p w:rsidRPr="0025020C" w:rsidR="00995444" w:rsidP="5FF0A1E2" w:rsidRDefault="00995444" w14:paraId="0F4A849F" w14:textId="007B658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5FF0A1E2" w:rsidR="6C408F0D">
        <w:rPr>
          <w:rFonts w:eastAsia="Arial Unicode MS" w:cs="Arial"/>
          <w:b w:val="1"/>
          <w:bCs w:val="1"/>
          <w:sz w:val="28"/>
          <w:szCs w:val="28"/>
        </w:rPr>
        <w:t>ACKNOWLEDGEMENTS</w:t>
      </w:r>
      <w:r w:rsidRPr="5FF0A1E2" w:rsidR="6C408F0D">
        <w:rPr>
          <w:rFonts w:eastAsia="Arial Unicode MS" w:cs="Arial"/>
          <w:b w:val="1"/>
          <w:bCs w:val="1"/>
        </w:rPr>
        <w:t xml:space="preserve"> </w:t>
      </w:r>
    </w:p>
    <w:p w:rsidRPr="0025020C" w:rsidR="0073280B" w:rsidP="5FF0A1E2" w:rsidRDefault="0073280B" w14:paraId="7005686E" w14:textId="5D6CE333">
      <w:pPr>
        <w:spacing w:before="240" w:beforeAutospacing="off" w:after="240" w:afterAutospacing="off"/>
      </w:pPr>
      <w:r w:rsidRPr="5FF0A1E2" w:rsidR="0E9FEEE8">
        <w:rPr>
          <w:rFonts w:ascii="Aptos" w:hAnsi="Aptos" w:eastAsia="Aptos" w:cs="Aptos"/>
          <w:noProof w:val="0"/>
          <w:sz w:val="22"/>
          <w:szCs w:val="22"/>
          <w:lang w:val="en-GB"/>
        </w:rPr>
        <w:t>First and foremost</w:t>
      </w:r>
      <w:r w:rsidRPr="5FF0A1E2" w:rsidR="0E9FEEE8">
        <w:rPr>
          <w:rFonts w:ascii="Aptos" w:hAnsi="Aptos" w:eastAsia="Aptos" w:cs="Aptos"/>
          <w:noProof w:val="0"/>
          <w:sz w:val="22"/>
          <w:szCs w:val="22"/>
          <w:lang w:val="en-GB"/>
        </w:rPr>
        <w:t>, I give my deepest thanks to Allah</w:t>
      </w:r>
      <w:r w:rsidRPr="5FF0A1E2" w:rsidR="0175734C">
        <w:rPr>
          <w:rFonts w:ascii="Aptos" w:hAnsi="Aptos" w:eastAsia="Aptos" w:cs="Aptos"/>
          <w:noProof w:val="0"/>
          <w:sz w:val="22"/>
          <w:szCs w:val="22"/>
          <w:lang w:val="en-GB"/>
        </w:rPr>
        <w:t xml:space="preserve"> (SWT)</w:t>
      </w:r>
      <w:r w:rsidRPr="5FF0A1E2" w:rsidR="0E9FEEE8">
        <w:rPr>
          <w:rFonts w:ascii="Aptos" w:hAnsi="Aptos" w:eastAsia="Aptos" w:cs="Aptos"/>
          <w:noProof w:val="0"/>
          <w:sz w:val="22"/>
          <w:szCs w:val="22"/>
          <w:lang w:val="en-GB"/>
        </w:rPr>
        <w:t>. Throughout this journey, His guidance, mercy, and blessings have sustained me in moments of clarity as well as moments of difficulty. Every step I have taken, every challenge I have overcome, and every achievement I have reached is by His will, and for that I am profoundly grateful.</w:t>
      </w:r>
    </w:p>
    <w:p w:rsidRPr="0025020C" w:rsidR="0073280B" w:rsidP="5FF0A1E2" w:rsidRDefault="0073280B" w14:paraId="7F743516" w14:textId="14744051">
      <w:pPr>
        <w:spacing w:before="240" w:beforeAutospacing="off" w:after="240" w:afterAutospacing="off"/>
      </w:pPr>
      <w:r w:rsidRPr="5FF0A1E2" w:rsidR="0E9FEEE8">
        <w:rPr>
          <w:rFonts w:ascii="Aptos" w:hAnsi="Aptos" w:eastAsia="Aptos" w:cs="Aptos"/>
          <w:noProof w:val="0"/>
          <w:sz w:val="22"/>
          <w:szCs w:val="22"/>
          <w:lang w:val="en-GB"/>
        </w:rPr>
        <w:t>I would like to express my heartfelt gratitude to my beloved sister. She was the one who pushed me to pursue this degree, who believed in my abilities even when I struggled to believe in myself. Her encouragement shaped the beginning of this academic journey, and her strength continues to inspire its completion. Losing her to cancer before she could witness this achievement has been one of the greatest hardships of my life, but her love, spirit, and resilience have stayed with me, guiding me through the most overwhelming moments. This dissertation is as much hers as it is mine.</w:t>
      </w:r>
    </w:p>
    <w:p w:rsidRPr="0025020C" w:rsidR="0073280B" w:rsidP="5FF0A1E2" w:rsidRDefault="0073280B" w14:paraId="4995FC43" w14:textId="12242A72">
      <w:pPr>
        <w:spacing w:before="240" w:beforeAutospacing="off" w:after="240" w:afterAutospacing="off"/>
      </w:pPr>
      <w:r w:rsidRPr="5FF0A1E2" w:rsidR="0E9FEEE8">
        <w:rPr>
          <w:rFonts w:ascii="Aptos" w:hAnsi="Aptos" w:eastAsia="Aptos" w:cs="Aptos"/>
          <w:noProof w:val="0"/>
          <w:sz w:val="22"/>
          <w:szCs w:val="22"/>
          <w:lang w:val="en-GB"/>
        </w:rPr>
        <w:t>To my parents, I owe immense thanks for their constant support, understanding, and prayers. Their encouragement carried me through every setback and every long night of study. They have provided emotional strength, practical help, and endless reassurance, reminding me that persistence and faith can overcome anything. Their belief in me has been a foundation I could always rely on.</w:t>
      </w:r>
    </w:p>
    <w:p w:rsidRPr="0025020C" w:rsidR="0073280B" w:rsidP="5FF0A1E2" w:rsidRDefault="0073280B" w14:paraId="0EFD9DCB" w14:textId="15AF9BCB">
      <w:pPr>
        <w:spacing w:before="240" w:beforeAutospacing="off" w:after="240" w:afterAutospacing="off"/>
      </w:pPr>
      <w:r w:rsidRPr="5FF0A1E2" w:rsidR="0E9FEEE8">
        <w:rPr>
          <w:rFonts w:ascii="Aptos" w:hAnsi="Aptos" w:eastAsia="Aptos" w:cs="Aptos"/>
          <w:noProof w:val="0"/>
          <w:sz w:val="22"/>
          <w:szCs w:val="22"/>
          <w:lang w:val="en-GB"/>
        </w:rPr>
        <w:t>I am also sincerely grateful to my supervisor and all the academic staff who supported my research. Their guidance, expertise, and patience have been invaluable. Their willingness to share knowledge, offer constructive feedback, and help me develop my ideas has shaped this dissertation into what it is.</w:t>
      </w:r>
    </w:p>
    <w:p w:rsidRPr="0025020C" w:rsidR="0073280B" w:rsidP="5FF0A1E2" w:rsidRDefault="0073280B" w14:paraId="1BFC2BD2" w14:textId="639B1B71">
      <w:pPr>
        <w:spacing w:before="240" w:beforeAutospacing="off" w:after="240" w:afterAutospacing="off"/>
        <w:rPr>
          <w:rFonts w:ascii="Aptos" w:hAnsi="Aptos" w:eastAsia="Aptos" w:cs="Aptos"/>
          <w:noProof w:val="0"/>
          <w:sz w:val="22"/>
          <w:szCs w:val="22"/>
          <w:lang w:val="en-GB"/>
        </w:rPr>
      </w:pPr>
      <w:r w:rsidRPr="5FF0A1E2" w:rsidR="0E9FEEE8">
        <w:rPr>
          <w:rFonts w:ascii="Aptos" w:hAnsi="Aptos" w:eastAsia="Aptos" w:cs="Aptos"/>
          <w:noProof w:val="0"/>
          <w:sz w:val="22"/>
          <w:szCs w:val="22"/>
          <w:lang w:val="en-GB"/>
        </w:rPr>
        <w:t>Finally, I want to extend my appreciation to my friends, who have been by my side throughout this entire process. Whether it was through study sessions, discussions, encouragement, or simply being there during the more stressful times, their support has made this journey not only manageable but meaningful. I am grateful for their kindness, friendship, and unwavering motivation</w:t>
      </w:r>
      <w:r w:rsidRPr="5FF0A1E2" w:rsidR="01C6AE01">
        <w:rPr>
          <w:rFonts w:ascii="Aptos" w:hAnsi="Aptos" w:eastAsia="Aptos" w:cs="Aptos"/>
          <w:noProof w:val="0"/>
          <w:sz w:val="22"/>
          <w:szCs w:val="22"/>
          <w:lang w:val="en-GB"/>
        </w:rPr>
        <w:t xml:space="preserve"> they know who they are.</w:t>
      </w:r>
    </w:p>
    <w:p w:rsidRPr="0025020C" w:rsidR="0073280B" w:rsidP="5FF0A1E2" w:rsidRDefault="0073280B" w14:paraId="78F539DA" w14:textId="6217BF61">
      <w:pPr>
        <w:spacing w:before="240" w:beforeAutospacing="off" w:after="240" w:afterAutospacing="off"/>
        <w:rPr>
          <w:rFonts w:eastAsia="Arial Unicode MS" w:cs="Arial"/>
          <w:sz w:val="28"/>
          <w:szCs w:val="28"/>
        </w:rPr>
      </w:pPr>
      <w:r w:rsidRPr="5FF0A1E2" w:rsidR="0E9FEEE8">
        <w:rPr>
          <w:rFonts w:ascii="Aptos" w:hAnsi="Aptos" w:eastAsia="Aptos" w:cs="Aptos"/>
          <w:noProof w:val="0"/>
          <w:sz w:val="22"/>
          <w:szCs w:val="22"/>
          <w:lang w:val="en-GB"/>
        </w:rPr>
        <w:t>To everyone who has played a part in this journey, thank you. Your support has made this accomplishment possible.</w:t>
      </w:r>
    </w:p>
    <w:p w:rsidRPr="0025020C" w:rsidR="0073280B" w:rsidP="5FF0A1E2" w:rsidRDefault="0073280B" w14:paraId="68249928" w14:textId="2A2E8BEE">
      <w:pPr>
        <w:spacing w:before="240" w:beforeAutospacing="off" w:after="240" w:afterAutospacing="off"/>
        <w:rPr>
          <w:rFonts w:eastAsia="Arial Unicode MS" w:cs="Arial"/>
          <w:sz w:val="28"/>
          <w:szCs w:val="28"/>
        </w:rPr>
      </w:pPr>
      <w:r w:rsidRPr="5FF0A1E2" w:rsidR="40C1F73C">
        <w:rPr>
          <w:rFonts w:eastAsia="Arial Unicode MS" w:cs="Arial"/>
          <w:b w:val="1"/>
          <w:bCs w:val="1"/>
          <w:sz w:val="28"/>
          <w:szCs w:val="28"/>
        </w:rPr>
        <w:t>ABSTRACT</w:t>
      </w:r>
    </w:p>
    <w:p w:rsidR="6DA855CB" w:rsidP="5FF0A1E2" w:rsidRDefault="6DA855CB" w14:paraId="572418E1" w14:textId="5099CC6E">
      <w:pPr>
        <w:spacing w:before="240" w:beforeAutospacing="off" w:after="240" w:afterAutospacing="off"/>
      </w:pPr>
      <w:r w:rsidRPr="5FF0A1E2" w:rsidR="6DA855CB">
        <w:rPr>
          <w:rFonts w:ascii="Aptos" w:hAnsi="Aptos" w:eastAsia="Aptos" w:cs="Aptos"/>
          <w:noProof w:val="0"/>
          <w:sz w:val="22"/>
          <w:szCs w:val="22"/>
          <w:lang w:val="en-GB"/>
        </w:rPr>
        <w:t>This dissertation examines how chronically ill children can be better supported within education settings, recognising the long-term academic, social, and emotional consequences that chronic illness can create. The overall aim was to evaluate current UK educational and health practices while identifying barriers that limit effective support. The objectives were to analyse key legislation and policy, review existing evidence on the educational experiences of chronically ill pupils, and develop practical recommendations for improved provision in schools.</w:t>
      </w:r>
    </w:p>
    <w:p w:rsidR="6DA855CB" w:rsidP="5FF0A1E2" w:rsidRDefault="6DA855CB" w14:paraId="425E9A8A" w14:textId="24ED200D">
      <w:pPr>
        <w:spacing w:before="240" w:beforeAutospacing="off" w:after="240" w:afterAutospacing="off"/>
        <w:rPr>
          <w:rFonts w:ascii="Aptos" w:hAnsi="Aptos" w:eastAsia="Aptos" w:cs="Aptos"/>
          <w:b w:val="0"/>
          <w:bCs w:val="0"/>
          <w:noProof w:val="0"/>
          <w:sz w:val="22"/>
          <w:szCs w:val="22"/>
          <w:lang w:val="en-GB"/>
        </w:rPr>
      </w:pPr>
      <w:r w:rsidRPr="5FF0A1E2" w:rsidR="6DA855CB">
        <w:rPr>
          <w:rFonts w:ascii="Aptos" w:hAnsi="Aptos" w:eastAsia="Aptos" w:cs="Aptos"/>
          <w:noProof w:val="0"/>
          <w:sz w:val="22"/>
          <w:szCs w:val="22"/>
          <w:lang w:val="en-GB"/>
        </w:rPr>
        <w:t>A desk-based research approach was employed, involving a structured literature search across academic databases and UK policy documents. The included studies were assessed using skimming techniques and the CRAAP test, ensuring credibility and relevance. A thematic analysis a</w:t>
      </w:r>
      <w:r w:rsidRPr="5FF0A1E2" w:rsidR="6DA855CB">
        <w:rPr>
          <w:rFonts w:ascii="Aptos" w:hAnsi="Aptos" w:eastAsia="Aptos" w:cs="Aptos"/>
          <w:b w:val="0"/>
          <w:bCs w:val="0"/>
          <w:noProof w:val="0"/>
          <w:sz w:val="22"/>
          <w:szCs w:val="22"/>
          <w:lang w:val="en-GB"/>
        </w:rPr>
        <w:t xml:space="preserve">pproach was applied to the selected literature, leading to the identification of three major themes that shaped the findings: </w:t>
      </w:r>
      <w:r w:rsidRPr="5FF0A1E2" w:rsidR="6DA855CB">
        <w:rPr>
          <w:rFonts w:ascii="Aptos" w:hAnsi="Aptos" w:eastAsia="Aptos" w:cs="Aptos"/>
          <w:b w:val="0"/>
          <w:bCs w:val="0"/>
          <w:noProof w:val="0"/>
          <w:sz w:val="22"/>
          <w:szCs w:val="22"/>
          <w:lang w:val="en-GB"/>
        </w:rPr>
        <w:t>educational access and attendance</w:t>
      </w:r>
      <w:r w:rsidRPr="5FF0A1E2" w:rsidR="6DA855CB">
        <w:rPr>
          <w:rFonts w:ascii="Aptos" w:hAnsi="Aptos" w:eastAsia="Aptos" w:cs="Aptos"/>
          <w:b w:val="0"/>
          <w:bCs w:val="0"/>
          <w:noProof w:val="0"/>
          <w:sz w:val="22"/>
          <w:szCs w:val="22"/>
          <w:lang w:val="en-GB"/>
        </w:rPr>
        <w:t xml:space="preserve">, </w:t>
      </w:r>
      <w:r w:rsidRPr="5FF0A1E2" w:rsidR="6DA855CB">
        <w:rPr>
          <w:rFonts w:ascii="Aptos" w:hAnsi="Aptos" w:eastAsia="Aptos" w:cs="Aptos"/>
          <w:b w:val="0"/>
          <w:bCs w:val="0"/>
          <w:noProof w:val="0"/>
          <w:sz w:val="22"/>
          <w:szCs w:val="22"/>
          <w:lang w:val="en-GB"/>
        </w:rPr>
        <w:t>multi-agency collaboration and communication</w:t>
      </w:r>
      <w:r w:rsidRPr="5FF0A1E2" w:rsidR="6DA855CB">
        <w:rPr>
          <w:rFonts w:ascii="Aptos" w:hAnsi="Aptos" w:eastAsia="Aptos" w:cs="Aptos"/>
          <w:b w:val="0"/>
          <w:bCs w:val="0"/>
          <w:noProof w:val="0"/>
          <w:sz w:val="22"/>
          <w:szCs w:val="22"/>
          <w:lang w:val="en-GB"/>
        </w:rPr>
        <w:t xml:space="preserve">, and </w:t>
      </w:r>
      <w:r w:rsidRPr="5FF0A1E2" w:rsidR="6DA855CB">
        <w:rPr>
          <w:rFonts w:ascii="Aptos" w:hAnsi="Aptos" w:eastAsia="Aptos" w:cs="Aptos"/>
          <w:b w:val="0"/>
          <w:bCs w:val="0"/>
          <w:noProof w:val="0"/>
          <w:sz w:val="22"/>
          <w:szCs w:val="22"/>
          <w:lang w:val="en-GB"/>
        </w:rPr>
        <w:t>holistic wellbeing and pastoral support</w:t>
      </w:r>
      <w:r w:rsidRPr="5FF0A1E2" w:rsidR="6DA855CB">
        <w:rPr>
          <w:rFonts w:ascii="Aptos" w:hAnsi="Aptos" w:eastAsia="Aptos" w:cs="Aptos"/>
          <w:b w:val="0"/>
          <w:bCs w:val="0"/>
          <w:noProof w:val="0"/>
          <w:sz w:val="22"/>
          <w:szCs w:val="22"/>
          <w:lang w:val="en-GB"/>
        </w:rPr>
        <w:t>.</w:t>
      </w:r>
    </w:p>
    <w:p w:rsidR="6DA855CB" w:rsidP="5FF0A1E2" w:rsidRDefault="6DA855CB" w14:paraId="567CBEB6" w14:textId="0091D13A">
      <w:pPr>
        <w:spacing w:before="240" w:beforeAutospacing="off" w:after="240" w:afterAutospacing="off"/>
      </w:pPr>
      <w:r w:rsidRPr="5FF0A1E2" w:rsidR="6DA855CB">
        <w:rPr>
          <w:rFonts w:ascii="Aptos" w:hAnsi="Aptos" w:eastAsia="Aptos" w:cs="Aptos"/>
          <w:b w:val="0"/>
          <w:bCs w:val="0"/>
          <w:noProof w:val="0"/>
          <w:sz w:val="22"/>
          <w:szCs w:val="22"/>
          <w:lang w:val="en-GB"/>
        </w:rPr>
        <w:t xml:space="preserve">The findings </w:t>
      </w:r>
      <w:r w:rsidRPr="5FF0A1E2" w:rsidR="6DA855CB">
        <w:rPr>
          <w:rFonts w:ascii="Aptos" w:hAnsi="Aptos" w:eastAsia="Aptos" w:cs="Aptos"/>
          <w:b w:val="0"/>
          <w:bCs w:val="0"/>
          <w:noProof w:val="0"/>
          <w:sz w:val="22"/>
          <w:szCs w:val="22"/>
          <w:lang w:val="en-GB"/>
        </w:rPr>
        <w:t>demonstrate</w:t>
      </w:r>
      <w:r w:rsidRPr="5FF0A1E2" w:rsidR="6DA855CB">
        <w:rPr>
          <w:rFonts w:ascii="Aptos" w:hAnsi="Aptos" w:eastAsia="Aptos" w:cs="Aptos"/>
          <w:b w:val="0"/>
          <w:bCs w:val="0"/>
          <w:noProof w:val="0"/>
          <w:sz w:val="22"/>
          <w:szCs w:val="22"/>
          <w:lang w:val="en-GB"/>
        </w:rPr>
        <w:t xml:space="preserve"> that although the UK policy landscape</w:t>
      </w:r>
      <w:r w:rsidRPr="5FF0A1E2" w:rsidR="40F01484">
        <w:rPr>
          <w:rFonts w:ascii="Aptos" w:hAnsi="Aptos" w:eastAsia="Aptos" w:cs="Aptos"/>
          <w:b w:val="0"/>
          <w:bCs w:val="0"/>
          <w:noProof w:val="0"/>
          <w:sz w:val="22"/>
          <w:szCs w:val="22"/>
          <w:lang w:val="en-GB"/>
        </w:rPr>
        <w:t xml:space="preserve"> </w:t>
      </w:r>
      <w:r w:rsidRPr="5FF0A1E2" w:rsidR="6DA855CB">
        <w:rPr>
          <w:rFonts w:ascii="Aptos" w:hAnsi="Aptos" w:eastAsia="Aptos" w:cs="Aptos"/>
          <w:b w:val="0"/>
          <w:bCs w:val="0"/>
          <w:noProof w:val="0"/>
          <w:sz w:val="22"/>
          <w:szCs w:val="22"/>
          <w:lang w:val="en-GB"/>
        </w:rPr>
        <w:t>particularly the Children and Families Act (2014) and Supporting Pupils with Medical Conditions guidance</w:t>
      </w:r>
      <w:r w:rsidRPr="5FF0A1E2" w:rsidR="08D2BF77">
        <w:rPr>
          <w:rFonts w:ascii="Aptos" w:hAnsi="Aptos" w:eastAsia="Aptos" w:cs="Aptos"/>
          <w:b w:val="0"/>
          <w:bCs w:val="0"/>
          <w:noProof w:val="0"/>
          <w:sz w:val="22"/>
          <w:szCs w:val="22"/>
          <w:lang w:val="en-GB"/>
        </w:rPr>
        <w:t xml:space="preserve"> </w:t>
      </w:r>
      <w:r w:rsidRPr="5FF0A1E2" w:rsidR="6DA855CB">
        <w:rPr>
          <w:rFonts w:ascii="Aptos" w:hAnsi="Aptos" w:eastAsia="Aptos" w:cs="Aptos"/>
          <w:b w:val="0"/>
          <w:bCs w:val="0"/>
          <w:noProof w:val="0"/>
          <w:sz w:val="22"/>
          <w:szCs w:val="22"/>
          <w:lang w:val="en-GB"/>
        </w:rPr>
        <w:t xml:space="preserve">supports inclusive education, significant gaps </w:t>
      </w:r>
      <w:r w:rsidRPr="5FF0A1E2" w:rsidR="6DA855CB">
        <w:rPr>
          <w:rFonts w:ascii="Aptos" w:hAnsi="Aptos" w:eastAsia="Aptos" w:cs="Aptos"/>
          <w:b w:val="0"/>
          <w:bCs w:val="0"/>
          <w:noProof w:val="0"/>
          <w:sz w:val="22"/>
          <w:szCs w:val="22"/>
          <w:lang w:val="en-GB"/>
        </w:rPr>
        <w:t>remain</w:t>
      </w:r>
      <w:r w:rsidRPr="5FF0A1E2" w:rsidR="6DA855CB">
        <w:rPr>
          <w:rFonts w:ascii="Aptos" w:hAnsi="Aptos" w:eastAsia="Aptos" w:cs="Aptos"/>
          <w:b w:val="0"/>
          <w:bCs w:val="0"/>
          <w:noProof w:val="0"/>
          <w:sz w:val="22"/>
          <w:szCs w:val="22"/>
          <w:lang w:val="en-GB"/>
        </w:rPr>
        <w:t xml:space="preserve"> in practice. Theme 1 findings highlighted inconsistent attendance support, limited flexibility in learning provision, and barriers to continuity of education. Theme 2 findings revealed fragmented communication between schools, healthcare services, and families, often resulting in delayed or inadequate support. Theme 3 findings emphasised the emotional burden of chronic illness, insufficient pastoral support, and the need for staff training to meet pupils’ psychological needs.</w:t>
      </w:r>
    </w:p>
    <w:p w:rsidR="6DA855CB" w:rsidP="5FF0A1E2" w:rsidRDefault="6DA855CB" w14:paraId="606DE94C" w14:textId="44D16C0A">
      <w:pPr>
        <w:spacing w:before="240" w:beforeAutospacing="off" w:after="240" w:afterAutospacing="off"/>
      </w:pPr>
      <w:r w:rsidRPr="5FF0A1E2" w:rsidR="6DA855CB">
        <w:rPr>
          <w:rFonts w:ascii="Aptos" w:hAnsi="Aptos" w:eastAsia="Aptos" w:cs="Aptos"/>
          <w:noProof w:val="0"/>
          <w:sz w:val="22"/>
          <w:szCs w:val="22"/>
          <w:lang w:val="en-GB"/>
        </w:rPr>
        <w:t>Limitations of the study include its reliance on secondary research and restricted availability of UK-specific data in some areas. Nevertheless, the findings informed clear recommendations: improving staff training, strengthening multi-agency frameworks, widening the use of flexible digital learning, and prioritising child-centred pastoral approaches.</w:t>
      </w:r>
    </w:p>
    <w:p w:rsidR="6DA855CB" w:rsidP="5FF0A1E2" w:rsidRDefault="6DA855CB" w14:paraId="39B8F5EE" w14:textId="5FDEC588">
      <w:pPr>
        <w:spacing w:before="240" w:beforeAutospacing="off" w:after="240" w:afterAutospacing="off"/>
        <w:rPr>
          <w:rFonts w:ascii="Times New Roman" w:hAnsi="Times New Roman" w:eastAsia="Arial Unicode MS" w:cs="Times New Roman"/>
          <w:b w:val="1"/>
          <w:bCs w:val="1"/>
          <w:sz w:val="24"/>
          <w:szCs w:val="24"/>
        </w:rPr>
      </w:pPr>
      <w:r w:rsidRPr="5FF0A1E2" w:rsidR="6DA855CB">
        <w:rPr>
          <w:rFonts w:ascii="Aptos" w:hAnsi="Aptos" w:eastAsia="Aptos" w:cs="Aptos"/>
          <w:noProof w:val="0"/>
          <w:sz w:val="22"/>
          <w:szCs w:val="22"/>
          <w:lang w:val="en-GB"/>
        </w:rPr>
        <w:t xml:space="preserve">This research therefore contributes to ongoing discussions in health and social care </w:t>
      </w:r>
      <w:r w:rsidRPr="5FF0A1E2" w:rsidR="6DA855CB">
        <w:rPr>
          <w:rFonts w:ascii="Aptos" w:hAnsi="Aptos" w:eastAsia="Aptos" w:cs="Aptos"/>
          <w:noProof w:val="0"/>
          <w:sz w:val="22"/>
          <w:szCs w:val="22"/>
          <w:lang w:val="en-GB"/>
        </w:rPr>
        <w:t>regarding</w:t>
      </w:r>
      <w:r w:rsidRPr="5FF0A1E2" w:rsidR="6DA855CB">
        <w:rPr>
          <w:rFonts w:ascii="Aptos" w:hAnsi="Aptos" w:eastAsia="Aptos" w:cs="Aptos"/>
          <w:noProof w:val="0"/>
          <w:sz w:val="22"/>
          <w:szCs w:val="22"/>
          <w:lang w:val="en-GB"/>
        </w:rPr>
        <w:t xml:space="preserve"> </w:t>
      </w:r>
      <w:r w:rsidRPr="5FF0A1E2" w:rsidR="6DA855CB">
        <w:rPr>
          <w:rFonts w:ascii="Aptos" w:hAnsi="Aptos" w:eastAsia="Aptos" w:cs="Aptos"/>
          <w:noProof w:val="0"/>
          <w:sz w:val="22"/>
          <w:szCs w:val="22"/>
          <w:lang w:val="en-GB"/>
        </w:rPr>
        <w:t>equitable</w:t>
      </w:r>
      <w:r w:rsidRPr="5FF0A1E2" w:rsidR="6DA855CB">
        <w:rPr>
          <w:rFonts w:ascii="Aptos" w:hAnsi="Aptos" w:eastAsia="Aptos" w:cs="Aptos"/>
          <w:noProof w:val="0"/>
          <w:sz w:val="22"/>
          <w:szCs w:val="22"/>
          <w:lang w:val="en-GB"/>
        </w:rPr>
        <w:t>, inclusive, and holistic support for chronically ill children in educational environments.</w:t>
      </w:r>
    </w:p>
    <w:p w:rsidR="5FF0A1E2" w:rsidP="5FF0A1E2" w:rsidRDefault="5FF0A1E2" w14:paraId="1D2F8EB3" w14:textId="35377888">
      <w:pPr>
        <w:pStyle w:val="Heading1"/>
        <w:rPr>
          <w:rFonts w:ascii="Aptos" w:hAnsi="Aptos"/>
        </w:rPr>
      </w:pPr>
    </w:p>
    <w:p w:rsidRPr="00EF6341" w:rsidR="00804B94" w:rsidP="5FF0A1E2" w:rsidRDefault="00804B94" w14:paraId="15BFA27A" w14:textId="74DA6D1E">
      <w:pPr>
        <w:pStyle w:val="Heading1"/>
        <w:spacing w:line="360" w:lineRule="auto"/>
        <w:ind w:left="2160" w:firstLine="720"/>
        <w:rPr>
          <w:rFonts w:ascii="Aptos" w:hAnsi="Aptos"/>
          <w:b w:val="0"/>
          <w:bCs w:val="0"/>
        </w:rPr>
      </w:pPr>
      <w:bookmarkStart w:name="_Toc274040929" w:id="1456916892"/>
      <w:r w:rsidRPr="5FF0A1E2" w:rsidR="5DC5A64E">
        <w:rPr>
          <w:rFonts w:ascii="Aptos" w:hAnsi="Aptos"/>
        </w:rPr>
        <w:t>Table of Contents</w:t>
      </w:r>
      <w:bookmarkEnd w:id="1456916892"/>
    </w:p>
    <w:p w:rsidR="00804B94" w:rsidRDefault="00804B94" w14:paraId="756C3EE0" w14:textId="77777777"/>
    <w:p w:rsidR="00804B94" w:rsidRDefault="00804B94" w14:paraId="3EF52184" w14:textId="77777777"/>
    <w:sdt>
      <w:sdtPr>
        <w:id w:val="1646408365"/>
        <w:docPartObj>
          <w:docPartGallery w:val="Table of Contents"/>
          <w:docPartUnique/>
        </w:docPartObj>
      </w:sdtPr>
      <w:sdtContent>
        <w:p w:rsidR="00967C4F" w:rsidRDefault="00967C4F" w14:paraId="3FF4A2F2" w14:textId="51A486A9" w14:noSpellErr="1">
          <w:pPr>
            <w:pStyle w:val="TOCHeading"/>
          </w:pPr>
          <w:r w:rsidR="6F0FC2F3">
            <w:rPr/>
            <w:t>Contents</w:t>
          </w:r>
        </w:p>
        <w:p w:rsidR="00967C4F" w:rsidP="5FF0A1E2" w:rsidRDefault="00967C4F" w14:paraId="64E6C70A" w14:textId="4C1A5ED3">
          <w:pPr>
            <w:pStyle w:val="TOC1"/>
            <w:tabs>
              <w:tab w:val="right" w:leader="dot" w:pos="9015"/>
            </w:tabs>
            <w:rPr>
              <w:rStyle w:val="Hyperlink"/>
              <w:noProof/>
            </w:rPr>
          </w:pPr>
          <w:r>
            <w:fldChar w:fldCharType="begin"/>
          </w:r>
          <w:r>
            <w:instrText xml:space="preserve">TOC \o "1-3" \z \u \h</w:instrText>
          </w:r>
          <w:r>
            <w:fldChar w:fldCharType="separate"/>
          </w:r>
          <w:hyperlink w:anchor="_Toc681513144">
            <w:r w:rsidRPr="5FF0A1E2" w:rsidR="5FF0A1E2">
              <w:rPr>
                <w:rStyle w:val="Hyperlink"/>
              </w:rPr>
              <w:t>Disclaimer</w:t>
            </w:r>
            <w:r>
              <w:tab/>
            </w:r>
            <w:r>
              <w:fldChar w:fldCharType="begin"/>
            </w:r>
            <w:r>
              <w:instrText xml:space="preserve">PAGEREF _Toc681513144 \h</w:instrText>
            </w:r>
            <w:r>
              <w:fldChar w:fldCharType="separate"/>
            </w:r>
            <w:r w:rsidRPr="5FF0A1E2" w:rsidR="5FF0A1E2">
              <w:rPr>
                <w:rStyle w:val="Hyperlink"/>
              </w:rPr>
              <w:t>2</w:t>
            </w:r>
            <w:r>
              <w:fldChar w:fldCharType="end"/>
            </w:r>
          </w:hyperlink>
        </w:p>
        <w:p w:rsidR="00967C4F" w:rsidP="5FF0A1E2" w:rsidRDefault="00967C4F" w14:paraId="046EABE5" w14:textId="3226DE12">
          <w:pPr>
            <w:pStyle w:val="TOC1"/>
            <w:tabs>
              <w:tab w:val="right" w:leader="dot" w:pos="9015"/>
            </w:tabs>
            <w:rPr>
              <w:rStyle w:val="Hyperlink"/>
              <w:noProof/>
            </w:rPr>
          </w:pPr>
          <w:hyperlink w:anchor="_Toc274040929">
            <w:r w:rsidRPr="5FF0A1E2" w:rsidR="5FF0A1E2">
              <w:rPr>
                <w:rStyle w:val="Hyperlink"/>
              </w:rPr>
              <w:t>Table of Contents</w:t>
            </w:r>
            <w:r>
              <w:tab/>
            </w:r>
            <w:r>
              <w:fldChar w:fldCharType="begin"/>
            </w:r>
            <w:r>
              <w:instrText xml:space="preserve">PAGEREF _Toc274040929 \h</w:instrText>
            </w:r>
            <w:r>
              <w:fldChar w:fldCharType="separate"/>
            </w:r>
            <w:r w:rsidRPr="5FF0A1E2" w:rsidR="5FF0A1E2">
              <w:rPr>
                <w:rStyle w:val="Hyperlink"/>
              </w:rPr>
              <w:t>6</w:t>
            </w:r>
            <w:r>
              <w:fldChar w:fldCharType="end"/>
            </w:r>
          </w:hyperlink>
        </w:p>
        <w:p w:rsidR="00967C4F" w:rsidP="5FF0A1E2" w:rsidRDefault="00967C4F" w14:paraId="24C51AD4" w14:textId="194E0F45">
          <w:pPr>
            <w:pStyle w:val="TOC1"/>
            <w:tabs>
              <w:tab w:val="right" w:leader="dot" w:pos="9015"/>
            </w:tabs>
            <w:rPr>
              <w:rStyle w:val="Hyperlink"/>
              <w:noProof/>
            </w:rPr>
          </w:pPr>
          <w:hyperlink w:anchor="_Toc1039750391">
            <w:r w:rsidRPr="5FF0A1E2" w:rsidR="5FF0A1E2">
              <w:rPr>
                <w:rStyle w:val="Hyperlink"/>
              </w:rPr>
              <w:t>CHAPTER 1: Introduction</w:t>
            </w:r>
            <w:r>
              <w:tab/>
            </w:r>
            <w:r>
              <w:fldChar w:fldCharType="begin"/>
            </w:r>
            <w:r>
              <w:instrText xml:space="preserve">PAGEREF _Toc1039750391 \h</w:instrText>
            </w:r>
            <w:r>
              <w:fldChar w:fldCharType="separate"/>
            </w:r>
            <w:r w:rsidRPr="5FF0A1E2" w:rsidR="5FF0A1E2">
              <w:rPr>
                <w:rStyle w:val="Hyperlink"/>
              </w:rPr>
              <w:t>7</w:t>
            </w:r>
            <w:r>
              <w:fldChar w:fldCharType="end"/>
            </w:r>
          </w:hyperlink>
        </w:p>
        <w:p w:rsidR="00967C4F" w:rsidP="5FF0A1E2" w:rsidRDefault="00967C4F" w14:paraId="38A2F80E" w14:textId="303D2E2A">
          <w:pPr>
            <w:pStyle w:val="TOC1"/>
            <w:tabs>
              <w:tab w:val="right" w:leader="dot" w:pos="9015"/>
            </w:tabs>
            <w:rPr>
              <w:rStyle w:val="Hyperlink"/>
              <w:noProof/>
            </w:rPr>
          </w:pPr>
          <w:hyperlink w:anchor="_Toc1122146478">
            <w:r w:rsidRPr="5FF0A1E2" w:rsidR="5FF0A1E2">
              <w:rPr>
                <w:rStyle w:val="Hyperlink"/>
              </w:rPr>
              <w:t>CHAPTER 2 – Background Information and Analysis</w:t>
            </w:r>
            <w:r>
              <w:tab/>
            </w:r>
            <w:r>
              <w:fldChar w:fldCharType="begin"/>
            </w:r>
            <w:r>
              <w:instrText xml:space="preserve">PAGEREF _Toc1122146478 \h</w:instrText>
            </w:r>
            <w:r>
              <w:fldChar w:fldCharType="separate"/>
            </w:r>
            <w:r w:rsidRPr="5FF0A1E2" w:rsidR="5FF0A1E2">
              <w:rPr>
                <w:rStyle w:val="Hyperlink"/>
              </w:rPr>
              <w:t>11</w:t>
            </w:r>
            <w:r>
              <w:fldChar w:fldCharType="end"/>
            </w:r>
          </w:hyperlink>
        </w:p>
        <w:p w:rsidR="00967C4F" w:rsidP="5FF0A1E2" w:rsidRDefault="00967C4F" w14:paraId="5F12FE09" w14:textId="077604C6">
          <w:pPr>
            <w:pStyle w:val="TOC1"/>
            <w:tabs>
              <w:tab w:val="right" w:leader="dot" w:pos="9015"/>
            </w:tabs>
            <w:rPr>
              <w:rStyle w:val="Hyperlink"/>
              <w:noProof/>
            </w:rPr>
          </w:pPr>
          <w:hyperlink w:anchor="_Toc388718948">
            <w:r w:rsidRPr="5FF0A1E2" w:rsidR="5FF0A1E2">
              <w:rPr>
                <w:rStyle w:val="Hyperlink"/>
              </w:rPr>
              <w:t>CHAPTER 3 – Methods and Search Strategy</w:t>
            </w:r>
            <w:r>
              <w:tab/>
            </w:r>
            <w:r>
              <w:fldChar w:fldCharType="begin"/>
            </w:r>
            <w:r>
              <w:instrText xml:space="preserve">PAGEREF _Toc388718948 \h</w:instrText>
            </w:r>
            <w:r>
              <w:fldChar w:fldCharType="separate"/>
            </w:r>
            <w:r w:rsidRPr="5FF0A1E2" w:rsidR="5FF0A1E2">
              <w:rPr>
                <w:rStyle w:val="Hyperlink"/>
              </w:rPr>
              <w:t>17</w:t>
            </w:r>
            <w:r>
              <w:fldChar w:fldCharType="end"/>
            </w:r>
          </w:hyperlink>
        </w:p>
        <w:p w:rsidR="00967C4F" w:rsidP="5FF0A1E2" w:rsidRDefault="00967C4F" w14:paraId="76A88E03" w14:textId="4728939C">
          <w:pPr>
            <w:pStyle w:val="TOC2"/>
            <w:tabs>
              <w:tab w:val="right" w:leader="dot" w:pos="9015"/>
            </w:tabs>
            <w:rPr>
              <w:rStyle w:val="Hyperlink"/>
              <w:noProof/>
            </w:rPr>
          </w:pPr>
          <w:hyperlink w:anchor="_Toc1500468221">
            <w:r w:rsidRPr="5FF0A1E2" w:rsidR="5FF0A1E2">
              <w:rPr>
                <w:rStyle w:val="Hyperlink"/>
              </w:rPr>
              <w:t>3.1 – Introduction</w:t>
            </w:r>
            <w:r>
              <w:tab/>
            </w:r>
            <w:r>
              <w:fldChar w:fldCharType="begin"/>
            </w:r>
            <w:r>
              <w:instrText xml:space="preserve">PAGEREF _Toc1500468221 \h</w:instrText>
            </w:r>
            <w:r>
              <w:fldChar w:fldCharType="separate"/>
            </w:r>
            <w:r w:rsidRPr="5FF0A1E2" w:rsidR="5FF0A1E2">
              <w:rPr>
                <w:rStyle w:val="Hyperlink"/>
              </w:rPr>
              <w:t>18</w:t>
            </w:r>
            <w:r>
              <w:fldChar w:fldCharType="end"/>
            </w:r>
          </w:hyperlink>
        </w:p>
        <w:p w:rsidR="00967C4F" w:rsidP="5FF0A1E2" w:rsidRDefault="00967C4F" w14:paraId="3B5CF4C3" w14:textId="3DD3D18A">
          <w:pPr>
            <w:pStyle w:val="TOC2"/>
            <w:tabs>
              <w:tab w:val="right" w:leader="dot" w:pos="9015"/>
            </w:tabs>
            <w:rPr>
              <w:rStyle w:val="Hyperlink"/>
              <w:noProof/>
            </w:rPr>
          </w:pPr>
          <w:hyperlink w:anchor="_Toc1789877061">
            <w:r w:rsidRPr="5FF0A1E2" w:rsidR="5FF0A1E2">
              <w:rPr>
                <w:rStyle w:val="Hyperlink"/>
              </w:rPr>
              <w:t>3.2 – Search Strategy</w:t>
            </w:r>
            <w:r>
              <w:tab/>
            </w:r>
            <w:r>
              <w:fldChar w:fldCharType="begin"/>
            </w:r>
            <w:r>
              <w:instrText xml:space="preserve">PAGEREF _Toc1789877061 \h</w:instrText>
            </w:r>
            <w:r>
              <w:fldChar w:fldCharType="separate"/>
            </w:r>
            <w:r w:rsidRPr="5FF0A1E2" w:rsidR="5FF0A1E2">
              <w:rPr>
                <w:rStyle w:val="Hyperlink"/>
              </w:rPr>
              <w:t>18</w:t>
            </w:r>
            <w:r>
              <w:fldChar w:fldCharType="end"/>
            </w:r>
          </w:hyperlink>
        </w:p>
        <w:p w:rsidR="00967C4F" w:rsidP="5FF0A1E2" w:rsidRDefault="00967C4F" w14:paraId="7826B76D" w14:textId="100E953B">
          <w:pPr>
            <w:pStyle w:val="TOC2"/>
            <w:tabs>
              <w:tab w:val="left" w:leader="none" w:pos="660"/>
              <w:tab w:val="right" w:leader="dot" w:pos="9015"/>
            </w:tabs>
            <w:rPr>
              <w:rStyle w:val="Hyperlink"/>
              <w:noProof/>
            </w:rPr>
          </w:pPr>
          <w:hyperlink w:anchor="_Toc1917571027">
            <w:r w:rsidRPr="5FF0A1E2" w:rsidR="5FF0A1E2">
              <w:rPr>
                <w:rStyle w:val="Hyperlink"/>
              </w:rPr>
              <w:t>3.3</w:t>
            </w:r>
            <w:r>
              <w:tab/>
            </w:r>
            <w:r w:rsidRPr="5FF0A1E2" w:rsidR="5FF0A1E2">
              <w:rPr>
                <w:rStyle w:val="Hyperlink"/>
              </w:rPr>
              <w:t>– Searching for Information</w:t>
            </w:r>
            <w:r>
              <w:tab/>
            </w:r>
            <w:r>
              <w:fldChar w:fldCharType="begin"/>
            </w:r>
            <w:r>
              <w:instrText xml:space="preserve">PAGEREF _Toc1917571027 \h</w:instrText>
            </w:r>
            <w:r>
              <w:fldChar w:fldCharType="separate"/>
            </w:r>
            <w:r w:rsidRPr="5FF0A1E2" w:rsidR="5FF0A1E2">
              <w:rPr>
                <w:rStyle w:val="Hyperlink"/>
              </w:rPr>
              <w:t>19</w:t>
            </w:r>
            <w:r>
              <w:fldChar w:fldCharType="end"/>
            </w:r>
          </w:hyperlink>
        </w:p>
        <w:p w:rsidR="00967C4F" w:rsidP="5FF0A1E2" w:rsidRDefault="00967C4F" w14:paraId="0057C198" w14:textId="69720BAE">
          <w:pPr>
            <w:pStyle w:val="TOC2"/>
            <w:tabs>
              <w:tab w:val="left" w:leader="none" w:pos="660"/>
              <w:tab w:val="right" w:leader="dot" w:pos="9015"/>
            </w:tabs>
            <w:rPr>
              <w:rStyle w:val="Hyperlink"/>
              <w:noProof/>
            </w:rPr>
          </w:pPr>
          <w:hyperlink w:anchor="_Toc1642466986">
            <w:r w:rsidRPr="5FF0A1E2" w:rsidR="5FF0A1E2">
              <w:rPr>
                <w:rStyle w:val="Hyperlink"/>
              </w:rPr>
              <w:t>3.4</w:t>
            </w:r>
            <w:r>
              <w:tab/>
            </w:r>
            <w:r w:rsidRPr="5FF0A1E2" w:rsidR="5FF0A1E2">
              <w:rPr>
                <w:rStyle w:val="Hyperlink"/>
              </w:rPr>
              <w:t>– Research Validation</w:t>
            </w:r>
            <w:r>
              <w:tab/>
            </w:r>
            <w:r>
              <w:fldChar w:fldCharType="begin"/>
            </w:r>
            <w:r>
              <w:instrText xml:space="preserve">PAGEREF _Toc1642466986 \h</w:instrText>
            </w:r>
            <w:r>
              <w:fldChar w:fldCharType="separate"/>
            </w:r>
            <w:r w:rsidRPr="5FF0A1E2" w:rsidR="5FF0A1E2">
              <w:rPr>
                <w:rStyle w:val="Hyperlink"/>
              </w:rPr>
              <w:t>19</w:t>
            </w:r>
            <w:r>
              <w:fldChar w:fldCharType="end"/>
            </w:r>
          </w:hyperlink>
        </w:p>
        <w:p w:rsidR="00967C4F" w:rsidP="5FF0A1E2" w:rsidRDefault="00967C4F" w14:paraId="41AA9466" w14:textId="766DE76D">
          <w:pPr>
            <w:pStyle w:val="TOC2"/>
            <w:tabs>
              <w:tab w:val="left" w:leader="none" w:pos="660"/>
              <w:tab w:val="right" w:leader="dot" w:pos="9015"/>
            </w:tabs>
            <w:rPr>
              <w:rStyle w:val="Hyperlink"/>
              <w:noProof/>
            </w:rPr>
          </w:pPr>
          <w:hyperlink w:anchor="_Toc1610118073">
            <w:r w:rsidRPr="5FF0A1E2" w:rsidR="5FF0A1E2">
              <w:rPr>
                <w:rStyle w:val="Hyperlink"/>
              </w:rPr>
              <w:t>3.5</w:t>
            </w:r>
            <w:r>
              <w:tab/>
            </w:r>
            <w:r w:rsidRPr="5FF0A1E2" w:rsidR="5FF0A1E2">
              <w:rPr>
                <w:rStyle w:val="Hyperlink"/>
              </w:rPr>
              <w:t>- Inclusion and Exclusion Criteria</w:t>
            </w:r>
            <w:r>
              <w:tab/>
            </w:r>
            <w:r>
              <w:fldChar w:fldCharType="begin"/>
            </w:r>
            <w:r>
              <w:instrText xml:space="preserve">PAGEREF _Toc1610118073 \h</w:instrText>
            </w:r>
            <w:r>
              <w:fldChar w:fldCharType="separate"/>
            </w:r>
            <w:r w:rsidRPr="5FF0A1E2" w:rsidR="5FF0A1E2">
              <w:rPr>
                <w:rStyle w:val="Hyperlink"/>
              </w:rPr>
              <w:t>20</w:t>
            </w:r>
            <w:r>
              <w:fldChar w:fldCharType="end"/>
            </w:r>
          </w:hyperlink>
        </w:p>
        <w:p w:rsidR="00967C4F" w:rsidP="5FF0A1E2" w:rsidRDefault="00967C4F" w14:paraId="480BDF07" w14:textId="05CDC45A">
          <w:pPr>
            <w:pStyle w:val="TOC2"/>
            <w:tabs>
              <w:tab w:val="left" w:leader="none" w:pos="660"/>
              <w:tab w:val="right" w:leader="dot" w:pos="9015"/>
            </w:tabs>
            <w:rPr>
              <w:rStyle w:val="Hyperlink"/>
              <w:noProof/>
            </w:rPr>
          </w:pPr>
          <w:hyperlink w:anchor="_Toc1055530445">
            <w:r w:rsidRPr="5FF0A1E2" w:rsidR="5FF0A1E2">
              <w:rPr>
                <w:rStyle w:val="Hyperlink"/>
              </w:rPr>
              <w:t>3.6</w:t>
            </w:r>
            <w:r>
              <w:tab/>
            </w:r>
            <w:r w:rsidRPr="5FF0A1E2" w:rsidR="5FF0A1E2">
              <w:rPr>
                <w:rStyle w:val="Hyperlink"/>
              </w:rPr>
              <w:t>– Analysing Research</w:t>
            </w:r>
            <w:r>
              <w:tab/>
            </w:r>
            <w:r>
              <w:fldChar w:fldCharType="begin"/>
            </w:r>
            <w:r>
              <w:instrText xml:space="preserve">PAGEREF _Toc1055530445 \h</w:instrText>
            </w:r>
            <w:r>
              <w:fldChar w:fldCharType="separate"/>
            </w:r>
            <w:r w:rsidRPr="5FF0A1E2" w:rsidR="5FF0A1E2">
              <w:rPr>
                <w:rStyle w:val="Hyperlink"/>
              </w:rPr>
              <w:t>20</w:t>
            </w:r>
            <w:r>
              <w:fldChar w:fldCharType="end"/>
            </w:r>
          </w:hyperlink>
        </w:p>
        <w:p w:rsidR="00967C4F" w:rsidP="5FF0A1E2" w:rsidRDefault="00967C4F" w14:paraId="0A77ECD5" w14:textId="2CB7A559">
          <w:pPr>
            <w:pStyle w:val="TOC2"/>
            <w:tabs>
              <w:tab w:val="left" w:leader="none" w:pos="660"/>
              <w:tab w:val="right" w:leader="dot" w:pos="9015"/>
            </w:tabs>
            <w:rPr>
              <w:rStyle w:val="Hyperlink"/>
              <w:noProof/>
            </w:rPr>
          </w:pPr>
          <w:hyperlink w:anchor="_Toc685231492">
            <w:r w:rsidRPr="5FF0A1E2" w:rsidR="5FF0A1E2">
              <w:rPr>
                <w:rStyle w:val="Hyperlink"/>
              </w:rPr>
              <w:t>3.7</w:t>
            </w:r>
            <w:r>
              <w:tab/>
            </w:r>
            <w:r w:rsidRPr="5FF0A1E2" w:rsidR="5FF0A1E2">
              <w:rPr>
                <w:rStyle w:val="Hyperlink"/>
              </w:rPr>
              <w:t>– Ethical Considerations</w:t>
            </w:r>
            <w:r>
              <w:tab/>
            </w:r>
            <w:r>
              <w:fldChar w:fldCharType="begin"/>
            </w:r>
            <w:r>
              <w:instrText xml:space="preserve">PAGEREF _Toc685231492 \h</w:instrText>
            </w:r>
            <w:r>
              <w:fldChar w:fldCharType="separate"/>
            </w:r>
            <w:r w:rsidRPr="5FF0A1E2" w:rsidR="5FF0A1E2">
              <w:rPr>
                <w:rStyle w:val="Hyperlink"/>
              </w:rPr>
              <w:t>21</w:t>
            </w:r>
            <w:r>
              <w:fldChar w:fldCharType="end"/>
            </w:r>
          </w:hyperlink>
        </w:p>
        <w:p w:rsidR="00967C4F" w:rsidP="5FF0A1E2" w:rsidRDefault="00967C4F" w14:paraId="35C56053" w14:textId="3DCDCF8F">
          <w:pPr>
            <w:pStyle w:val="TOC2"/>
            <w:tabs>
              <w:tab w:val="right" w:leader="dot" w:pos="9015"/>
            </w:tabs>
            <w:rPr>
              <w:rStyle w:val="Hyperlink"/>
              <w:noProof/>
            </w:rPr>
          </w:pPr>
          <w:hyperlink w:anchor="_Toc1972546389">
            <w:r w:rsidRPr="5FF0A1E2" w:rsidR="5FF0A1E2">
              <w:rPr>
                <w:rStyle w:val="Hyperlink"/>
              </w:rPr>
              <w:t>3.8 – Chapter Conclusion</w:t>
            </w:r>
            <w:r>
              <w:tab/>
            </w:r>
            <w:r>
              <w:fldChar w:fldCharType="begin"/>
            </w:r>
            <w:r>
              <w:instrText xml:space="preserve">PAGEREF _Toc1972546389 \h</w:instrText>
            </w:r>
            <w:r>
              <w:fldChar w:fldCharType="separate"/>
            </w:r>
            <w:r w:rsidRPr="5FF0A1E2" w:rsidR="5FF0A1E2">
              <w:rPr>
                <w:rStyle w:val="Hyperlink"/>
              </w:rPr>
              <w:t>21</w:t>
            </w:r>
            <w:r>
              <w:fldChar w:fldCharType="end"/>
            </w:r>
          </w:hyperlink>
        </w:p>
        <w:p w:rsidR="00967C4F" w:rsidP="5FF0A1E2" w:rsidRDefault="00967C4F" w14:paraId="700D2BC9" w14:textId="576ADFA4">
          <w:pPr>
            <w:pStyle w:val="TOC1"/>
            <w:tabs>
              <w:tab w:val="right" w:leader="dot" w:pos="9015"/>
            </w:tabs>
            <w:rPr>
              <w:rStyle w:val="Hyperlink"/>
              <w:noProof/>
            </w:rPr>
          </w:pPr>
          <w:hyperlink w:anchor="_Toc824902838">
            <w:r w:rsidRPr="5FF0A1E2" w:rsidR="5FF0A1E2">
              <w:rPr>
                <w:rStyle w:val="Hyperlink"/>
              </w:rPr>
              <w:t>CHAPTER 4 – Findings and Discussion</w:t>
            </w:r>
            <w:r>
              <w:tab/>
            </w:r>
            <w:r>
              <w:fldChar w:fldCharType="begin"/>
            </w:r>
            <w:r>
              <w:instrText xml:space="preserve">PAGEREF _Toc824902838 \h</w:instrText>
            </w:r>
            <w:r>
              <w:fldChar w:fldCharType="separate"/>
            </w:r>
            <w:r w:rsidRPr="5FF0A1E2" w:rsidR="5FF0A1E2">
              <w:rPr>
                <w:rStyle w:val="Hyperlink"/>
              </w:rPr>
              <w:t>23</w:t>
            </w:r>
            <w:r>
              <w:fldChar w:fldCharType="end"/>
            </w:r>
          </w:hyperlink>
        </w:p>
        <w:p w:rsidR="00967C4F" w:rsidP="5FF0A1E2" w:rsidRDefault="00967C4F" w14:paraId="4455C3D7" w14:textId="58853E75">
          <w:pPr>
            <w:pStyle w:val="TOC2"/>
            <w:tabs>
              <w:tab w:val="right" w:leader="dot" w:pos="9015"/>
            </w:tabs>
            <w:rPr>
              <w:rStyle w:val="Hyperlink"/>
              <w:noProof/>
            </w:rPr>
          </w:pPr>
          <w:hyperlink w:anchor="_Toc1749836165">
            <w:r w:rsidRPr="5FF0A1E2" w:rsidR="5FF0A1E2">
              <w:rPr>
                <w:rStyle w:val="Hyperlink"/>
              </w:rPr>
              <w:t>4.1 – Introduction</w:t>
            </w:r>
            <w:r>
              <w:tab/>
            </w:r>
            <w:r>
              <w:fldChar w:fldCharType="begin"/>
            </w:r>
            <w:r>
              <w:instrText xml:space="preserve">PAGEREF _Toc1749836165 \h</w:instrText>
            </w:r>
            <w:r>
              <w:fldChar w:fldCharType="separate"/>
            </w:r>
            <w:r w:rsidRPr="5FF0A1E2" w:rsidR="5FF0A1E2">
              <w:rPr>
                <w:rStyle w:val="Hyperlink"/>
              </w:rPr>
              <w:t>23</w:t>
            </w:r>
            <w:r>
              <w:fldChar w:fldCharType="end"/>
            </w:r>
          </w:hyperlink>
        </w:p>
        <w:p w:rsidR="00967C4F" w:rsidP="5FF0A1E2" w:rsidRDefault="00967C4F" w14:paraId="2946F8D5" w14:textId="6493BFC1">
          <w:pPr>
            <w:pStyle w:val="TOC2"/>
            <w:tabs>
              <w:tab w:val="right" w:leader="dot" w:pos="9015"/>
            </w:tabs>
            <w:rPr>
              <w:rStyle w:val="Hyperlink"/>
              <w:noProof/>
            </w:rPr>
          </w:pPr>
          <w:hyperlink w:anchor="_Toc487179856">
            <w:r w:rsidRPr="5FF0A1E2" w:rsidR="5FF0A1E2">
              <w:rPr>
                <w:rStyle w:val="Hyperlink"/>
              </w:rPr>
              <w:t>4.2 – Thematic Analysis</w:t>
            </w:r>
            <w:r>
              <w:tab/>
            </w:r>
            <w:r>
              <w:fldChar w:fldCharType="begin"/>
            </w:r>
            <w:r>
              <w:instrText xml:space="preserve">PAGEREF _Toc487179856 \h</w:instrText>
            </w:r>
            <w:r>
              <w:fldChar w:fldCharType="separate"/>
            </w:r>
            <w:r w:rsidRPr="5FF0A1E2" w:rsidR="5FF0A1E2">
              <w:rPr>
                <w:rStyle w:val="Hyperlink"/>
              </w:rPr>
              <w:t>23</w:t>
            </w:r>
            <w:r>
              <w:fldChar w:fldCharType="end"/>
            </w:r>
          </w:hyperlink>
        </w:p>
        <w:p w:rsidR="00967C4F" w:rsidP="5FF0A1E2" w:rsidRDefault="00967C4F" w14:paraId="22C4C22C" w14:textId="3FC2676F">
          <w:pPr>
            <w:pStyle w:val="TOC2"/>
            <w:tabs>
              <w:tab w:val="right" w:leader="dot" w:pos="9015"/>
            </w:tabs>
            <w:rPr>
              <w:rStyle w:val="Hyperlink"/>
              <w:noProof/>
            </w:rPr>
          </w:pPr>
          <w:hyperlink w:anchor="_Toc1255844525">
            <w:r w:rsidRPr="5FF0A1E2" w:rsidR="5FF0A1E2">
              <w:rPr>
                <w:rStyle w:val="Hyperlink"/>
              </w:rPr>
              <w:t>4.3 – Theme 1 Education Inclusion for Children with Chronic Illnesses</w:t>
            </w:r>
            <w:r>
              <w:tab/>
            </w:r>
            <w:r>
              <w:fldChar w:fldCharType="begin"/>
            </w:r>
            <w:r>
              <w:instrText xml:space="preserve">PAGEREF _Toc1255844525 \h</w:instrText>
            </w:r>
            <w:r>
              <w:fldChar w:fldCharType="separate"/>
            </w:r>
            <w:r w:rsidRPr="5FF0A1E2" w:rsidR="5FF0A1E2">
              <w:rPr>
                <w:rStyle w:val="Hyperlink"/>
              </w:rPr>
              <w:t>24</w:t>
            </w:r>
            <w:r>
              <w:fldChar w:fldCharType="end"/>
            </w:r>
          </w:hyperlink>
        </w:p>
        <w:p w:rsidR="00967C4F" w:rsidP="5FF0A1E2" w:rsidRDefault="00967C4F" w14:paraId="7159CDB3" w14:textId="2A0A6F57">
          <w:pPr>
            <w:pStyle w:val="TOC2"/>
            <w:tabs>
              <w:tab w:val="right" w:leader="dot" w:pos="9015"/>
            </w:tabs>
            <w:rPr>
              <w:rStyle w:val="Hyperlink"/>
              <w:noProof/>
            </w:rPr>
          </w:pPr>
          <w:hyperlink w:anchor="_Toc2082569910">
            <w:r w:rsidRPr="5FF0A1E2" w:rsidR="5FF0A1E2">
              <w:rPr>
                <w:rStyle w:val="Hyperlink"/>
              </w:rPr>
              <w:t>4.4 – Theme 2 – Digital Inequity and Barriers to Access</w:t>
            </w:r>
            <w:r>
              <w:tab/>
            </w:r>
            <w:r>
              <w:fldChar w:fldCharType="begin"/>
            </w:r>
            <w:r>
              <w:instrText xml:space="preserve">PAGEREF _Toc2082569910 \h</w:instrText>
            </w:r>
            <w:r>
              <w:fldChar w:fldCharType="separate"/>
            </w:r>
            <w:r w:rsidRPr="5FF0A1E2" w:rsidR="5FF0A1E2">
              <w:rPr>
                <w:rStyle w:val="Hyperlink"/>
              </w:rPr>
              <w:t>28</w:t>
            </w:r>
            <w:r>
              <w:fldChar w:fldCharType="end"/>
            </w:r>
          </w:hyperlink>
        </w:p>
        <w:p w:rsidR="00967C4F" w:rsidP="5FF0A1E2" w:rsidRDefault="00967C4F" w14:paraId="1D354351" w14:textId="1F34D7FA">
          <w:pPr>
            <w:pStyle w:val="TOC2"/>
            <w:tabs>
              <w:tab w:val="right" w:leader="dot" w:pos="9015"/>
            </w:tabs>
            <w:rPr>
              <w:rStyle w:val="Hyperlink"/>
              <w:noProof/>
            </w:rPr>
          </w:pPr>
          <w:hyperlink w:anchor="_Toc623411893">
            <w:r w:rsidRPr="5FF0A1E2" w:rsidR="5FF0A1E2">
              <w:rPr>
                <w:rStyle w:val="Hyperlink"/>
              </w:rPr>
              <w:t>4.5 – Theme 3 – Digital Wellbeing and Psychological Impacts</w:t>
            </w:r>
            <w:r>
              <w:tab/>
            </w:r>
            <w:r>
              <w:fldChar w:fldCharType="begin"/>
            </w:r>
            <w:r>
              <w:instrText xml:space="preserve">PAGEREF _Toc623411893 \h</w:instrText>
            </w:r>
            <w:r>
              <w:fldChar w:fldCharType="separate"/>
            </w:r>
            <w:r w:rsidRPr="5FF0A1E2" w:rsidR="5FF0A1E2">
              <w:rPr>
                <w:rStyle w:val="Hyperlink"/>
              </w:rPr>
              <w:t>33</w:t>
            </w:r>
            <w:r>
              <w:fldChar w:fldCharType="end"/>
            </w:r>
          </w:hyperlink>
        </w:p>
        <w:p w:rsidR="00967C4F" w:rsidP="5FF0A1E2" w:rsidRDefault="00967C4F" w14:paraId="1F64347F" w14:textId="13C4ED18">
          <w:pPr>
            <w:pStyle w:val="TOC2"/>
            <w:tabs>
              <w:tab w:val="right" w:leader="dot" w:pos="9015"/>
            </w:tabs>
            <w:rPr>
              <w:rStyle w:val="Hyperlink"/>
              <w:noProof/>
            </w:rPr>
          </w:pPr>
          <w:hyperlink w:anchor="_Toc134756812">
            <w:r w:rsidRPr="5FF0A1E2" w:rsidR="5FF0A1E2">
              <w:rPr>
                <w:rStyle w:val="Hyperlink"/>
              </w:rPr>
              <w:t>4.6 – Chapter Conclusion</w:t>
            </w:r>
            <w:r>
              <w:tab/>
            </w:r>
            <w:r>
              <w:fldChar w:fldCharType="begin"/>
            </w:r>
            <w:r>
              <w:instrText xml:space="preserve">PAGEREF _Toc134756812 \h</w:instrText>
            </w:r>
            <w:r>
              <w:fldChar w:fldCharType="separate"/>
            </w:r>
            <w:r w:rsidRPr="5FF0A1E2" w:rsidR="5FF0A1E2">
              <w:rPr>
                <w:rStyle w:val="Hyperlink"/>
              </w:rPr>
              <w:t>38</w:t>
            </w:r>
            <w:r>
              <w:fldChar w:fldCharType="end"/>
            </w:r>
          </w:hyperlink>
        </w:p>
        <w:p w:rsidR="00967C4F" w:rsidP="5FF0A1E2" w:rsidRDefault="00967C4F" w14:paraId="623EBD35" w14:textId="6F1E6919">
          <w:pPr>
            <w:pStyle w:val="TOC1"/>
            <w:tabs>
              <w:tab w:val="right" w:leader="dot" w:pos="9015"/>
            </w:tabs>
            <w:rPr>
              <w:rStyle w:val="Hyperlink"/>
              <w:noProof/>
            </w:rPr>
          </w:pPr>
          <w:hyperlink w:anchor="_Toc894975446">
            <w:r w:rsidRPr="5FF0A1E2" w:rsidR="5FF0A1E2">
              <w:rPr>
                <w:rStyle w:val="Hyperlink"/>
              </w:rPr>
              <w:t>CHAPTER 5 – Conclusion and Recommendations</w:t>
            </w:r>
            <w:r>
              <w:tab/>
            </w:r>
            <w:r>
              <w:fldChar w:fldCharType="begin"/>
            </w:r>
            <w:r>
              <w:instrText xml:space="preserve">PAGEREF _Toc894975446 \h</w:instrText>
            </w:r>
            <w:r>
              <w:fldChar w:fldCharType="separate"/>
            </w:r>
            <w:r w:rsidRPr="5FF0A1E2" w:rsidR="5FF0A1E2">
              <w:rPr>
                <w:rStyle w:val="Hyperlink"/>
              </w:rPr>
              <w:t>39</w:t>
            </w:r>
            <w:r>
              <w:fldChar w:fldCharType="end"/>
            </w:r>
          </w:hyperlink>
        </w:p>
        <w:p w:rsidR="00967C4F" w:rsidP="5FF0A1E2" w:rsidRDefault="00967C4F" w14:paraId="1BED88A0" w14:textId="562F967D">
          <w:pPr>
            <w:pStyle w:val="TOC2"/>
            <w:tabs>
              <w:tab w:val="right" w:leader="dot" w:pos="9015"/>
            </w:tabs>
            <w:rPr>
              <w:rStyle w:val="Hyperlink"/>
              <w:noProof/>
            </w:rPr>
          </w:pPr>
          <w:hyperlink w:anchor="_Toc1845418527">
            <w:r w:rsidRPr="5FF0A1E2" w:rsidR="5FF0A1E2">
              <w:rPr>
                <w:rStyle w:val="Hyperlink"/>
              </w:rPr>
              <w:t>5.1 – Overall Conclusion</w:t>
            </w:r>
            <w:r>
              <w:tab/>
            </w:r>
            <w:r>
              <w:fldChar w:fldCharType="begin"/>
            </w:r>
            <w:r>
              <w:instrText xml:space="preserve">PAGEREF _Toc1845418527 \h</w:instrText>
            </w:r>
            <w:r>
              <w:fldChar w:fldCharType="separate"/>
            </w:r>
            <w:r w:rsidRPr="5FF0A1E2" w:rsidR="5FF0A1E2">
              <w:rPr>
                <w:rStyle w:val="Hyperlink"/>
              </w:rPr>
              <w:t>39</w:t>
            </w:r>
            <w:r>
              <w:fldChar w:fldCharType="end"/>
            </w:r>
          </w:hyperlink>
        </w:p>
        <w:p w:rsidR="00967C4F" w:rsidP="5FF0A1E2" w:rsidRDefault="00967C4F" w14:paraId="029F2AF6" w14:textId="5341DB38">
          <w:pPr>
            <w:pStyle w:val="TOC2"/>
            <w:tabs>
              <w:tab w:val="right" w:leader="dot" w:pos="9015"/>
            </w:tabs>
            <w:rPr>
              <w:rStyle w:val="Hyperlink"/>
              <w:noProof/>
            </w:rPr>
          </w:pPr>
          <w:hyperlink w:anchor="_Toc2008673937">
            <w:r w:rsidRPr="5FF0A1E2" w:rsidR="5FF0A1E2">
              <w:rPr>
                <w:rStyle w:val="Hyperlink"/>
              </w:rPr>
              <w:t>5.2 – Recommendations</w:t>
            </w:r>
            <w:r>
              <w:tab/>
            </w:r>
            <w:r>
              <w:fldChar w:fldCharType="begin"/>
            </w:r>
            <w:r>
              <w:instrText xml:space="preserve">PAGEREF _Toc2008673937 \h</w:instrText>
            </w:r>
            <w:r>
              <w:fldChar w:fldCharType="separate"/>
            </w:r>
            <w:r w:rsidRPr="5FF0A1E2" w:rsidR="5FF0A1E2">
              <w:rPr>
                <w:rStyle w:val="Hyperlink"/>
              </w:rPr>
              <w:t>40</w:t>
            </w:r>
            <w:r>
              <w:fldChar w:fldCharType="end"/>
            </w:r>
          </w:hyperlink>
        </w:p>
        <w:p w:rsidR="00967C4F" w:rsidP="5FF0A1E2" w:rsidRDefault="00967C4F" w14:paraId="2F3FC1C3" w14:textId="2B855A40">
          <w:pPr>
            <w:pStyle w:val="TOC1"/>
            <w:tabs>
              <w:tab w:val="right" w:leader="dot" w:pos="9015"/>
            </w:tabs>
            <w:rPr>
              <w:rStyle w:val="Hyperlink"/>
              <w:noProof/>
            </w:rPr>
          </w:pPr>
          <w:hyperlink w:anchor="_Toc2128664266">
            <w:r w:rsidRPr="5FF0A1E2" w:rsidR="5FF0A1E2">
              <w:rPr>
                <w:rStyle w:val="Hyperlink"/>
              </w:rPr>
              <w:t>5.2.1 – Recommendation 1 - Strengthen Multi-Agency Collaboration Between Education and Health Services</w:t>
            </w:r>
            <w:r>
              <w:tab/>
            </w:r>
            <w:r>
              <w:fldChar w:fldCharType="begin"/>
            </w:r>
            <w:r>
              <w:instrText xml:space="preserve">PAGEREF _Toc2128664266 \h</w:instrText>
            </w:r>
            <w:r>
              <w:fldChar w:fldCharType="separate"/>
            </w:r>
            <w:r w:rsidRPr="5FF0A1E2" w:rsidR="5FF0A1E2">
              <w:rPr>
                <w:rStyle w:val="Hyperlink"/>
              </w:rPr>
              <w:t>40</w:t>
            </w:r>
            <w:r>
              <w:fldChar w:fldCharType="end"/>
            </w:r>
          </w:hyperlink>
        </w:p>
        <w:p w:rsidR="00967C4F" w:rsidP="5FF0A1E2" w:rsidRDefault="00967C4F" w14:paraId="3BF917A1" w14:textId="5F978305">
          <w:pPr>
            <w:pStyle w:val="TOC3"/>
            <w:tabs>
              <w:tab w:val="right" w:leader="dot" w:pos="9015"/>
            </w:tabs>
            <w:rPr>
              <w:rStyle w:val="Hyperlink"/>
              <w:noProof/>
            </w:rPr>
          </w:pPr>
          <w:hyperlink w:anchor="_Toc16093616">
            <w:r w:rsidRPr="5FF0A1E2" w:rsidR="5FF0A1E2">
              <w:rPr>
                <w:rStyle w:val="Hyperlink"/>
              </w:rPr>
              <w:t>Rationale</w:t>
            </w:r>
            <w:r>
              <w:tab/>
            </w:r>
            <w:r>
              <w:fldChar w:fldCharType="begin"/>
            </w:r>
            <w:r>
              <w:instrText xml:space="preserve">PAGEREF _Toc16093616 \h</w:instrText>
            </w:r>
            <w:r>
              <w:fldChar w:fldCharType="separate"/>
            </w:r>
            <w:r w:rsidRPr="5FF0A1E2" w:rsidR="5FF0A1E2">
              <w:rPr>
                <w:rStyle w:val="Hyperlink"/>
              </w:rPr>
              <w:t>40</w:t>
            </w:r>
            <w:r>
              <w:fldChar w:fldCharType="end"/>
            </w:r>
          </w:hyperlink>
        </w:p>
        <w:p w:rsidR="00967C4F" w:rsidP="5FF0A1E2" w:rsidRDefault="00967C4F" w14:paraId="5E0C5866" w14:textId="0D7BC5ED">
          <w:pPr>
            <w:pStyle w:val="TOC3"/>
            <w:tabs>
              <w:tab w:val="right" w:leader="dot" w:pos="9015"/>
            </w:tabs>
            <w:rPr>
              <w:rStyle w:val="Hyperlink"/>
              <w:noProof/>
            </w:rPr>
          </w:pPr>
          <w:hyperlink w:anchor="_Toc1262810380">
            <w:r w:rsidRPr="5FF0A1E2" w:rsidR="5FF0A1E2">
              <w:rPr>
                <w:rStyle w:val="Hyperlink"/>
              </w:rPr>
              <w:t>Proposed Actions</w:t>
            </w:r>
            <w:r>
              <w:tab/>
            </w:r>
            <w:r>
              <w:fldChar w:fldCharType="begin"/>
            </w:r>
            <w:r>
              <w:instrText xml:space="preserve">PAGEREF _Toc1262810380 \h</w:instrText>
            </w:r>
            <w:r>
              <w:fldChar w:fldCharType="separate"/>
            </w:r>
            <w:r w:rsidRPr="5FF0A1E2" w:rsidR="5FF0A1E2">
              <w:rPr>
                <w:rStyle w:val="Hyperlink"/>
              </w:rPr>
              <w:t>40</w:t>
            </w:r>
            <w:r>
              <w:fldChar w:fldCharType="end"/>
            </w:r>
          </w:hyperlink>
        </w:p>
        <w:p w:rsidR="00967C4F" w:rsidP="5FF0A1E2" w:rsidRDefault="00967C4F" w14:paraId="1AA823E3" w14:textId="3ABAF2E9">
          <w:pPr>
            <w:pStyle w:val="TOC3"/>
            <w:tabs>
              <w:tab w:val="right" w:leader="dot" w:pos="9015"/>
            </w:tabs>
            <w:rPr>
              <w:rStyle w:val="Hyperlink"/>
              <w:noProof/>
            </w:rPr>
          </w:pPr>
          <w:hyperlink w:anchor="_Toc199658460">
            <w:r w:rsidRPr="5FF0A1E2" w:rsidR="5FF0A1E2">
              <w:rPr>
                <w:rStyle w:val="Hyperlink"/>
              </w:rPr>
              <w:t>Barriers and Limitations</w:t>
            </w:r>
            <w:r>
              <w:tab/>
            </w:r>
            <w:r>
              <w:fldChar w:fldCharType="begin"/>
            </w:r>
            <w:r>
              <w:instrText xml:space="preserve">PAGEREF _Toc199658460 \h</w:instrText>
            </w:r>
            <w:r>
              <w:fldChar w:fldCharType="separate"/>
            </w:r>
            <w:r w:rsidRPr="5FF0A1E2" w:rsidR="5FF0A1E2">
              <w:rPr>
                <w:rStyle w:val="Hyperlink"/>
              </w:rPr>
              <w:t>40</w:t>
            </w:r>
            <w:r>
              <w:fldChar w:fldCharType="end"/>
            </w:r>
          </w:hyperlink>
        </w:p>
        <w:p w:rsidR="00967C4F" w:rsidP="5FF0A1E2" w:rsidRDefault="00967C4F" w14:paraId="3F758558" w14:textId="4C951F66">
          <w:pPr>
            <w:pStyle w:val="TOC3"/>
            <w:tabs>
              <w:tab w:val="right" w:leader="dot" w:pos="9015"/>
            </w:tabs>
            <w:rPr>
              <w:rStyle w:val="Hyperlink"/>
              <w:noProof/>
            </w:rPr>
          </w:pPr>
          <w:hyperlink w:anchor="_Toc1524242736">
            <w:r w:rsidRPr="5FF0A1E2" w:rsidR="5FF0A1E2">
              <w:rPr>
                <w:rStyle w:val="Hyperlink"/>
              </w:rPr>
              <w:t>Overcoming Barriers</w:t>
            </w:r>
            <w:r>
              <w:tab/>
            </w:r>
            <w:r>
              <w:fldChar w:fldCharType="begin"/>
            </w:r>
            <w:r>
              <w:instrText xml:space="preserve">PAGEREF _Toc1524242736 \h</w:instrText>
            </w:r>
            <w:r>
              <w:fldChar w:fldCharType="separate"/>
            </w:r>
            <w:r w:rsidRPr="5FF0A1E2" w:rsidR="5FF0A1E2">
              <w:rPr>
                <w:rStyle w:val="Hyperlink"/>
              </w:rPr>
              <w:t>41</w:t>
            </w:r>
            <w:r>
              <w:fldChar w:fldCharType="end"/>
            </w:r>
          </w:hyperlink>
        </w:p>
        <w:p w:rsidR="00967C4F" w:rsidP="5FF0A1E2" w:rsidRDefault="00967C4F" w14:paraId="1A895E8F" w14:textId="46F4483E">
          <w:pPr>
            <w:pStyle w:val="TOC1"/>
            <w:tabs>
              <w:tab w:val="right" w:leader="dot" w:pos="9015"/>
            </w:tabs>
            <w:rPr>
              <w:rStyle w:val="Hyperlink"/>
              <w:noProof/>
            </w:rPr>
          </w:pPr>
          <w:hyperlink w:anchor="_Toc382039322">
            <w:r w:rsidRPr="5FF0A1E2" w:rsidR="5FF0A1E2">
              <w:rPr>
                <w:rStyle w:val="Hyperlink"/>
              </w:rPr>
              <w:t>5.2.2 – Recommendation 2 - Improve Teacher Training on Chronic Illness and Inclusive Practice</w:t>
            </w:r>
            <w:r>
              <w:tab/>
            </w:r>
            <w:r>
              <w:fldChar w:fldCharType="begin"/>
            </w:r>
            <w:r>
              <w:instrText xml:space="preserve">PAGEREF _Toc382039322 \h</w:instrText>
            </w:r>
            <w:r>
              <w:fldChar w:fldCharType="separate"/>
            </w:r>
            <w:r w:rsidRPr="5FF0A1E2" w:rsidR="5FF0A1E2">
              <w:rPr>
                <w:rStyle w:val="Hyperlink"/>
              </w:rPr>
              <w:t>41</w:t>
            </w:r>
            <w:r>
              <w:fldChar w:fldCharType="end"/>
            </w:r>
          </w:hyperlink>
        </w:p>
        <w:p w:rsidR="00967C4F" w:rsidP="5FF0A1E2" w:rsidRDefault="00967C4F" w14:paraId="22FD4268" w14:textId="19B75CE7">
          <w:pPr>
            <w:pStyle w:val="TOC3"/>
            <w:tabs>
              <w:tab w:val="right" w:leader="dot" w:pos="9015"/>
            </w:tabs>
            <w:rPr>
              <w:rStyle w:val="Hyperlink"/>
              <w:noProof/>
            </w:rPr>
          </w:pPr>
          <w:hyperlink w:anchor="_Toc292232288">
            <w:r w:rsidRPr="5FF0A1E2" w:rsidR="5FF0A1E2">
              <w:rPr>
                <w:rStyle w:val="Hyperlink"/>
              </w:rPr>
              <w:t>Rationale</w:t>
            </w:r>
            <w:r>
              <w:tab/>
            </w:r>
            <w:r>
              <w:fldChar w:fldCharType="begin"/>
            </w:r>
            <w:r>
              <w:instrText xml:space="preserve">PAGEREF _Toc292232288 \h</w:instrText>
            </w:r>
            <w:r>
              <w:fldChar w:fldCharType="separate"/>
            </w:r>
            <w:r w:rsidRPr="5FF0A1E2" w:rsidR="5FF0A1E2">
              <w:rPr>
                <w:rStyle w:val="Hyperlink"/>
              </w:rPr>
              <w:t>41</w:t>
            </w:r>
            <w:r>
              <w:fldChar w:fldCharType="end"/>
            </w:r>
          </w:hyperlink>
        </w:p>
        <w:p w:rsidR="5FF0A1E2" w:rsidP="5FF0A1E2" w:rsidRDefault="5FF0A1E2" w14:paraId="77F11109" w14:textId="5F6B2370">
          <w:pPr>
            <w:pStyle w:val="TOC3"/>
            <w:tabs>
              <w:tab w:val="right" w:leader="dot" w:pos="9015"/>
            </w:tabs>
            <w:rPr>
              <w:rStyle w:val="Hyperlink"/>
            </w:rPr>
          </w:pPr>
          <w:hyperlink w:anchor="_Toc1470136653">
            <w:r w:rsidRPr="5FF0A1E2" w:rsidR="5FF0A1E2">
              <w:rPr>
                <w:rStyle w:val="Hyperlink"/>
              </w:rPr>
              <w:t>Proposed Actions</w:t>
            </w:r>
            <w:r>
              <w:tab/>
            </w:r>
            <w:r>
              <w:fldChar w:fldCharType="begin"/>
            </w:r>
            <w:r>
              <w:instrText xml:space="preserve">PAGEREF _Toc1470136653 \h</w:instrText>
            </w:r>
            <w:r>
              <w:fldChar w:fldCharType="separate"/>
            </w:r>
            <w:r w:rsidRPr="5FF0A1E2" w:rsidR="5FF0A1E2">
              <w:rPr>
                <w:rStyle w:val="Hyperlink"/>
              </w:rPr>
              <w:t>41</w:t>
            </w:r>
            <w:r>
              <w:fldChar w:fldCharType="end"/>
            </w:r>
          </w:hyperlink>
        </w:p>
        <w:p w:rsidR="5FF0A1E2" w:rsidP="5FF0A1E2" w:rsidRDefault="5FF0A1E2" w14:paraId="751054AA" w14:textId="5054837D">
          <w:pPr>
            <w:pStyle w:val="TOC3"/>
            <w:tabs>
              <w:tab w:val="right" w:leader="dot" w:pos="9015"/>
            </w:tabs>
            <w:rPr>
              <w:rStyle w:val="Hyperlink"/>
            </w:rPr>
          </w:pPr>
          <w:hyperlink w:anchor="_Toc1106005424">
            <w:r w:rsidRPr="5FF0A1E2" w:rsidR="5FF0A1E2">
              <w:rPr>
                <w:rStyle w:val="Hyperlink"/>
              </w:rPr>
              <w:t>Barriers and Limitations</w:t>
            </w:r>
            <w:r>
              <w:tab/>
            </w:r>
            <w:r>
              <w:fldChar w:fldCharType="begin"/>
            </w:r>
            <w:r>
              <w:instrText xml:space="preserve">PAGEREF _Toc1106005424 \h</w:instrText>
            </w:r>
            <w:r>
              <w:fldChar w:fldCharType="separate"/>
            </w:r>
            <w:r w:rsidRPr="5FF0A1E2" w:rsidR="5FF0A1E2">
              <w:rPr>
                <w:rStyle w:val="Hyperlink"/>
              </w:rPr>
              <w:t>41</w:t>
            </w:r>
            <w:r>
              <w:fldChar w:fldCharType="end"/>
            </w:r>
          </w:hyperlink>
        </w:p>
        <w:p w:rsidR="5FF0A1E2" w:rsidP="5FF0A1E2" w:rsidRDefault="5FF0A1E2" w14:paraId="0D3E2F67" w14:textId="23D41647">
          <w:pPr>
            <w:pStyle w:val="TOC3"/>
            <w:tabs>
              <w:tab w:val="right" w:leader="dot" w:pos="9015"/>
            </w:tabs>
            <w:rPr>
              <w:rStyle w:val="Hyperlink"/>
            </w:rPr>
          </w:pPr>
          <w:hyperlink w:anchor="_Toc1914303321">
            <w:r w:rsidRPr="5FF0A1E2" w:rsidR="5FF0A1E2">
              <w:rPr>
                <w:rStyle w:val="Hyperlink"/>
              </w:rPr>
              <w:t>Overcoming Barriers</w:t>
            </w:r>
            <w:r>
              <w:tab/>
            </w:r>
            <w:r>
              <w:fldChar w:fldCharType="begin"/>
            </w:r>
            <w:r>
              <w:instrText xml:space="preserve">PAGEREF _Toc1914303321 \h</w:instrText>
            </w:r>
            <w:r>
              <w:fldChar w:fldCharType="separate"/>
            </w:r>
            <w:r w:rsidRPr="5FF0A1E2" w:rsidR="5FF0A1E2">
              <w:rPr>
                <w:rStyle w:val="Hyperlink"/>
              </w:rPr>
              <w:t>42</w:t>
            </w:r>
            <w:r>
              <w:fldChar w:fldCharType="end"/>
            </w:r>
          </w:hyperlink>
        </w:p>
        <w:p w:rsidR="5FF0A1E2" w:rsidP="5FF0A1E2" w:rsidRDefault="5FF0A1E2" w14:paraId="11328B04" w14:textId="090E8CE0">
          <w:pPr>
            <w:pStyle w:val="TOC1"/>
            <w:tabs>
              <w:tab w:val="right" w:leader="dot" w:pos="9015"/>
            </w:tabs>
            <w:rPr>
              <w:rStyle w:val="Hyperlink"/>
            </w:rPr>
          </w:pPr>
          <w:hyperlink w:anchor="_Toc1435000187">
            <w:r w:rsidRPr="5FF0A1E2" w:rsidR="5FF0A1E2">
              <w:rPr>
                <w:rStyle w:val="Hyperlink"/>
              </w:rPr>
              <w:t>5.2.3 – Recommendation 3 - Enhance Flexibility in Curriculum Access and Attendance Policies</w:t>
            </w:r>
            <w:r>
              <w:tab/>
            </w:r>
            <w:r>
              <w:fldChar w:fldCharType="begin"/>
            </w:r>
            <w:r>
              <w:instrText xml:space="preserve">PAGEREF _Toc1435000187 \h</w:instrText>
            </w:r>
            <w:r>
              <w:fldChar w:fldCharType="separate"/>
            </w:r>
            <w:r w:rsidRPr="5FF0A1E2" w:rsidR="5FF0A1E2">
              <w:rPr>
                <w:rStyle w:val="Hyperlink"/>
              </w:rPr>
              <w:t>42</w:t>
            </w:r>
            <w:r>
              <w:fldChar w:fldCharType="end"/>
            </w:r>
          </w:hyperlink>
        </w:p>
        <w:p w:rsidR="5FF0A1E2" w:rsidP="5FF0A1E2" w:rsidRDefault="5FF0A1E2" w14:paraId="5FEA3DC5" w14:textId="1A33A37E">
          <w:pPr>
            <w:pStyle w:val="TOC3"/>
            <w:tabs>
              <w:tab w:val="right" w:leader="dot" w:pos="9015"/>
            </w:tabs>
            <w:rPr>
              <w:rStyle w:val="Hyperlink"/>
            </w:rPr>
          </w:pPr>
          <w:hyperlink w:anchor="_Toc1453316455">
            <w:r w:rsidRPr="5FF0A1E2" w:rsidR="5FF0A1E2">
              <w:rPr>
                <w:rStyle w:val="Hyperlink"/>
              </w:rPr>
              <w:t>Rationale</w:t>
            </w:r>
            <w:r>
              <w:tab/>
            </w:r>
            <w:r>
              <w:fldChar w:fldCharType="begin"/>
            </w:r>
            <w:r>
              <w:instrText xml:space="preserve">PAGEREF _Toc1453316455 \h</w:instrText>
            </w:r>
            <w:r>
              <w:fldChar w:fldCharType="separate"/>
            </w:r>
            <w:r w:rsidRPr="5FF0A1E2" w:rsidR="5FF0A1E2">
              <w:rPr>
                <w:rStyle w:val="Hyperlink"/>
              </w:rPr>
              <w:t>42</w:t>
            </w:r>
            <w:r>
              <w:fldChar w:fldCharType="end"/>
            </w:r>
          </w:hyperlink>
        </w:p>
        <w:p w:rsidR="5FF0A1E2" w:rsidP="5FF0A1E2" w:rsidRDefault="5FF0A1E2" w14:paraId="2EB91B60" w14:textId="5A06DED6">
          <w:pPr>
            <w:pStyle w:val="TOC3"/>
            <w:tabs>
              <w:tab w:val="right" w:leader="dot" w:pos="9015"/>
            </w:tabs>
            <w:rPr>
              <w:rStyle w:val="Hyperlink"/>
            </w:rPr>
          </w:pPr>
          <w:hyperlink w:anchor="_Toc82086276">
            <w:r w:rsidRPr="5FF0A1E2" w:rsidR="5FF0A1E2">
              <w:rPr>
                <w:rStyle w:val="Hyperlink"/>
              </w:rPr>
              <w:t>Proposed Actions</w:t>
            </w:r>
            <w:r>
              <w:tab/>
            </w:r>
            <w:r>
              <w:fldChar w:fldCharType="begin"/>
            </w:r>
            <w:r>
              <w:instrText xml:space="preserve">PAGEREF _Toc82086276 \h</w:instrText>
            </w:r>
            <w:r>
              <w:fldChar w:fldCharType="separate"/>
            </w:r>
            <w:r w:rsidRPr="5FF0A1E2" w:rsidR="5FF0A1E2">
              <w:rPr>
                <w:rStyle w:val="Hyperlink"/>
              </w:rPr>
              <w:t>42</w:t>
            </w:r>
            <w:r>
              <w:fldChar w:fldCharType="end"/>
            </w:r>
          </w:hyperlink>
        </w:p>
        <w:p w:rsidR="5FF0A1E2" w:rsidP="5FF0A1E2" w:rsidRDefault="5FF0A1E2" w14:paraId="5169A7BF" w14:textId="379DD0D3">
          <w:pPr>
            <w:pStyle w:val="TOC3"/>
            <w:tabs>
              <w:tab w:val="right" w:leader="dot" w:pos="9015"/>
            </w:tabs>
            <w:rPr>
              <w:rStyle w:val="Hyperlink"/>
            </w:rPr>
          </w:pPr>
          <w:hyperlink w:anchor="_Toc238475301">
            <w:r w:rsidRPr="5FF0A1E2" w:rsidR="5FF0A1E2">
              <w:rPr>
                <w:rStyle w:val="Hyperlink"/>
              </w:rPr>
              <w:t>Barriers and Limitations</w:t>
            </w:r>
            <w:r>
              <w:tab/>
            </w:r>
            <w:r>
              <w:fldChar w:fldCharType="begin"/>
            </w:r>
            <w:r>
              <w:instrText xml:space="preserve">PAGEREF _Toc238475301 \h</w:instrText>
            </w:r>
            <w:r>
              <w:fldChar w:fldCharType="separate"/>
            </w:r>
            <w:r w:rsidRPr="5FF0A1E2" w:rsidR="5FF0A1E2">
              <w:rPr>
                <w:rStyle w:val="Hyperlink"/>
              </w:rPr>
              <w:t>43</w:t>
            </w:r>
            <w:r>
              <w:fldChar w:fldCharType="end"/>
            </w:r>
          </w:hyperlink>
        </w:p>
        <w:p w:rsidR="5FF0A1E2" w:rsidP="5FF0A1E2" w:rsidRDefault="5FF0A1E2" w14:paraId="135ECAD2" w14:textId="7EF6D9F9">
          <w:pPr>
            <w:pStyle w:val="TOC3"/>
            <w:tabs>
              <w:tab w:val="right" w:leader="dot" w:pos="9015"/>
            </w:tabs>
            <w:rPr>
              <w:rStyle w:val="Hyperlink"/>
            </w:rPr>
          </w:pPr>
          <w:hyperlink w:anchor="_Toc400230454">
            <w:r w:rsidRPr="5FF0A1E2" w:rsidR="5FF0A1E2">
              <w:rPr>
                <w:rStyle w:val="Hyperlink"/>
              </w:rPr>
              <w:t>Overcoming Barriers</w:t>
            </w:r>
            <w:r>
              <w:tab/>
            </w:r>
            <w:r>
              <w:fldChar w:fldCharType="begin"/>
            </w:r>
            <w:r>
              <w:instrText xml:space="preserve">PAGEREF _Toc400230454 \h</w:instrText>
            </w:r>
            <w:r>
              <w:fldChar w:fldCharType="separate"/>
            </w:r>
            <w:r w:rsidRPr="5FF0A1E2" w:rsidR="5FF0A1E2">
              <w:rPr>
                <w:rStyle w:val="Hyperlink"/>
              </w:rPr>
              <w:t>43</w:t>
            </w:r>
            <w:r>
              <w:fldChar w:fldCharType="end"/>
            </w:r>
          </w:hyperlink>
        </w:p>
        <w:p w:rsidR="5FF0A1E2" w:rsidP="5FF0A1E2" w:rsidRDefault="5FF0A1E2" w14:paraId="0CE6629D" w14:textId="7AFEC8E8">
          <w:pPr>
            <w:pStyle w:val="TOC3"/>
            <w:tabs>
              <w:tab w:val="right" w:leader="dot" w:pos="9015"/>
            </w:tabs>
            <w:rPr>
              <w:rStyle w:val="Hyperlink"/>
            </w:rPr>
          </w:pPr>
          <w:hyperlink w:anchor="_Toc960540071">
            <w:r w:rsidRPr="5FF0A1E2" w:rsidR="5FF0A1E2">
              <w:rPr>
                <w:rStyle w:val="Hyperlink"/>
              </w:rPr>
              <w:t>5.3 Limitations</w:t>
            </w:r>
            <w:r>
              <w:tab/>
            </w:r>
            <w:r>
              <w:fldChar w:fldCharType="begin"/>
            </w:r>
            <w:r>
              <w:instrText xml:space="preserve">PAGEREF _Toc960540071 \h</w:instrText>
            </w:r>
            <w:r>
              <w:fldChar w:fldCharType="separate"/>
            </w:r>
            <w:r w:rsidRPr="5FF0A1E2" w:rsidR="5FF0A1E2">
              <w:rPr>
                <w:rStyle w:val="Hyperlink"/>
              </w:rPr>
              <w:t>43</w:t>
            </w:r>
            <w:r>
              <w:fldChar w:fldCharType="end"/>
            </w:r>
          </w:hyperlink>
        </w:p>
        <w:p w:rsidR="5FF0A1E2" w:rsidP="5FF0A1E2" w:rsidRDefault="5FF0A1E2" w14:paraId="16DD77B3" w14:textId="77C40D65">
          <w:pPr>
            <w:pStyle w:val="TOC1"/>
            <w:tabs>
              <w:tab w:val="right" w:leader="dot" w:pos="9015"/>
            </w:tabs>
            <w:rPr>
              <w:rStyle w:val="Hyperlink"/>
            </w:rPr>
          </w:pPr>
          <w:hyperlink w:anchor="_Toc410033719">
            <w:r w:rsidRPr="5FF0A1E2" w:rsidR="5FF0A1E2">
              <w:rPr>
                <w:rStyle w:val="Hyperlink"/>
              </w:rPr>
              <w:t>CHAPTER 6 – References and Appendices</w:t>
            </w:r>
            <w:r>
              <w:tab/>
            </w:r>
            <w:r>
              <w:fldChar w:fldCharType="begin"/>
            </w:r>
            <w:r>
              <w:instrText xml:space="preserve">PAGEREF _Toc410033719 \h</w:instrText>
            </w:r>
            <w:r>
              <w:fldChar w:fldCharType="separate"/>
            </w:r>
            <w:r w:rsidRPr="5FF0A1E2" w:rsidR="5FF0A1E2">
              <w:rPr>
                <w:rStyle w:val="Hyperlink"/>
              </w:rPr>
              <w:t>44</w:t>
            </w:r>
            <w:r>
              <w:fldChar w:fldCharType="end"/>
            </w:r>
          </w:hyperlink>
        </w:p>
        <w:p w:rsidR="5FF0A1E2" w:rsidP="5FF0A1E2" w:rsidRDefault="5FF0A1E2" w14:paraId="0BCE9022" w14:textId="3F760ADA">
          <w:pPr>
            <w:pStyle w:val="TOC1"/>
            <w:tabs>
              <w:tab w:val="right" w:leader="dot" w:pos="9015"/>
            </w:tabs>
            <w:rPr>
              <w:rStyle w:val="Hyperlink"/>
            </w:rPr>
          </w:pPr>
          <w:hyperlink w:anchor="_Toc2064997738">
            <w:r w:rsidRPr="5FF0A1E2" w:rsidR="5FF0A1E2">
              <w:rPr>
                <w:rStyle w:val="Hyperlink"/>
              </w:rPr>
              <w:t>6.1 – References</w:t>
            </w:r>
            <w:r>
              <w:tab/>
            </w:r>
            <w:r>
              <w:fldChar w:fldCharType="begin"/>
            </w:r>
            <w:r>
              <w:instrText xml:space="preserve">PAGEREF _Toc2064997738 \h</w:instrText>
            </w:r>
            <w:r>
              <w:fldChar w:fldCharType="separate"/>
            </w:r>
            <w:r w:rsidRPr="5FF0A1E2" w:rsidR="5FF0A1E2">
              <w:rPr>
                <w:rStyle w:val="Hyperlink"/>
              </w:rPr>
              <w:t>44</w:t>
            </w:r>
            <w:r>
              <w:fldChar w:fldCharType="end"/>
            </w:r>
          </w:hyperlink>
        </w:p>
        <w:p w:rsidR="5FF0A1E2" w:rsidP="5FF0A1E2" w:rsidRDefault="5FF0A1E2" w14:paraId="76CE8241" w14:textId="23A18A31">
          <w:pPr>
            <w:pStyle w:val="TOC1"/>
            <w:tabs>
              <w:tab w:val="right" w:leader="dot" w:pos="9015"/>
            </w:tabs>
            <w:rPr>
              <w:rStyle w:val="Hyperlink"/>
            </w:rPr>
          </w:pPr>
          <w:hyperlink w:anchor="_Toc352251811">
            <w:r w:rsidRPr="5FF0A1E2" w:rsidR="5FF0A1E2">
              <w:rPr>
                <w:rStyle w:val="Hyperlink"/>
              </w:rPr>
              <w:t>6.2 – Appendices</w:t>
            </w:r>
            <w:r>
              <w:tab/>
            </w:r>
            <w:r>
              <w:fldChar w:fldCharType="begin"/>
            </w:r>
            <w:r>
              <w:instrText xml:space="preserve">PAGEREF _Toc352251811 \h</w:instrText>
            </w:r>
            <w:r>
              <w:fldChar w:fldCharType="separate"/>
            </w:r>
            <w:r w:rsidRPr="5FF0A1E2" w:rsidR="5FF0A1E2">
              <w:rPr>
                <w:rStyle w:val="Hyperlink"/>
              </w:rPr>
              <w:t>54</w:t>
            </w:r>
            <w:r>
              <w:fldChar w:fldCharType="end"/>
            </w:r>
          </w:hyperlink>
        </w:p>
        <w:p w:rsidR="5FF0A1E2" w:rsidP="5FF0A1E2" w:rsidRDefault="5FF0A1E2" w14:paraId="54254775" w14:textId="3EEF9CA6">
          <w:pPr>
            <w:pStyle w:val="TOC1"/>
            <w:tabs>
              <w:tab w:val="right" w:leader="dot" w:pos="9015"/>
            </w:tabs>
            <w:rPr>
              <w:rStyle w:val="Hyperlink"/>
            </w:rPr>
          </w:pPr>
          <w:hyperlink w:anchor="_Toc1255181677">
            <w:r w:rsidRPr="5FF0A1E2" w:rsidR="5FF0A1E2">
              <w:rPr>
                <w:rStyle w:val="Hyperlink"/>
              </w:rPr>
              <w:t>BMHP6020 Independent Project Results Summary Table</w:t>
            </w:r>
            <w:r>
              <w:tab/>
            </w:r>
            <w:r>
              <w:fldChar w:fldCharType="begin"/>
            </w:r>
            <w:r>
              <w:instrText xml:space="preserve">PAGEREF _Toc1255181677 \h</w:instrText>
            </w:r>
            <w:r>
              <w:fldChar w:fldCharType="separate"/>
            </w:r>
            <w:r w:rsidRPr="5FF0A1E2" w:rsidR="5FF0A1E2">
              <w:rPr>
                <w:rStyle w:val="Hyperlink"/>
              </w:rPr>
              <w:t>54</w:t>
            </w:r>
            <w:r>
              <w:fldChar w:fldCharType="end"/>
            </w:r>
          </w:hyperlink>
        </w:p>
        <w:p w:rsidR="5FF0A1E2" w:rsidP="5FF0A1E2" w:rsidRDefault="5FF0A1E2" w14:paraId="34C9681A" w14:textId="152CC587">
          <w:pPr>
            <w:pStyle w:val="TOC1"/>
            <w:tabs>
              <w:tab w:val="right" w:leader="dot" w:pos="9015"/>
            </w:tabs>
            <w:rPr>
              <w:rStyle w:val="Hyperlink"/>
            </w:rPr>
          </w:pPr>
          <w:hyperlink w:anchor="_Toc488688289">
            <w:r w:rsidRPr="5FF0A1E2" w:rsidR="5FF0A1E2">
              <w:rPr>
                <w:rStyle w:val="Hyperlink"/>
              </w:rPr>
              <w:t>BMHP6020 Independent Project Source Tracking Table</w:t>
            </w:r>
            <w:r>
              <w:tab/>
            </w:r>
            <w:r>
              <w:fldChar w:fldCharType="begin"/>
            </w:r>
            <w:r>
              <w:instrText xml:space="preserve">PAGEREF _Toc488688289 \h</w:instrText>
            </w:r>
            <w:r>
              <w:fldChar w:fldCharType="separate"/>
            </w:r>
            <w:r w:rsidRPr="5FF0A1E2" w:rsidR="5FF0A1E2">
              <w:rPr>
                <w:rStyle w:val="Hyperlink"/>
              </w:rPr>
              <w:t>56</w:t>
            </w:r>
            <w:r>
              <w:fldChar w:fldCharType="end"/>
            </w:r>
          </w:hyperlink>
        </w:p>
        <w:p w:rsidR="5FF0A1E2" w:rsidP="5FF0A1E2" w:rsidRDefault="5FF0A1E2" w14:paraId="45B01A54" w14:textId="781D8D0E">
          <w:pPr>
            <w:pStyle w:val="TOC1"/>
            <w:tabs>
              <w:tab w:val="right" w:leader="dot" w:pos="9015"/>
            </w:tabs>
            <w:rPr>
              <w:rStyle w:val="Hyperlink"/>
            </w:rPr>
          </w:pPr>
          <w:hyperlink w:anchor="_Toc1538984895">
            <w:r w:rsidRPr="5FF0A1E2" w:rsidR="5FF0A1E2">
              <w:rPr>
                <w:rStyle w:val="Hyperlink"/>
              </w:rPr>
              <w:t xml:space="preserve">Research Question: Supporting Chronically Ill Children in Education Settings </w:t>
            </w:r>
            <w:r>
              <w:tab/>
            </w:r>
            <w:r>
              <w:fldChar w:fldCharType="begin"/>
            </w:r>
            <w:r>
              <w:instrText xml:space="preserve">PAGEREF _Toc1538984895 \h</w:instrText>
            </w:r>
            <w:r>
              <w:fldChar w:fldCharType="separate"/>
            </w:r>
            <w:r w:rsidRPr="5FF0A1E2" w:rsidR="5FF0A1E2">
              <w:rPr>
                <w:rStyle w:val="Hyperlink"/>
              </w:rPr>
              <w:t>56</w:t>
            </w:r>
            <w:r>
              <w:fldChar w:fldCharType="end"/>
            </w:r>
          </w:hyperlink>
          <w:r>
            <w:fldChar w:fldCharType="end"/>
          </w:r>
        </w:p>
      </w:sdtContent>
    </w:sdt>
    <w:p w:rsidR="00967C4F" w:rsidRDefault="00967C4F" w14:paraId="271BEACB" w14:textId="0C451788" w14:noSpellErr="1"/>
    <w:p w:rsidR="00967C4F" w:rsidRDefault="00967C4F" w14:paraId="65E9D815" w14:textId="77777777"/>
    <w:p w:rsidR="00730C3C" w:rsidP="5FF0A1E2" w:rsidRDefault="00730C3C" w14:paraId="66BE3F66" w14:noSpellErr="1" w14:textId="000974FE">
      <w:pPr>
        <w:pStyle w:val="Heading1"/>
        <w:ind/>
      </w:pPr>
    </w:p>
    <w:p w:rsidR="5FF0A1E2" w:rsidP="5FF0A1E2" w:rsidRDefault="5FF0A1E2" w14:paraId="367BE399" w14:textId="70E42A9D">
      <w:pPr>
        <w:pStyle w:val="Heading1"/>
      </w:pPr>
    </w:p>
    <w:p w:rsidR="5FF0A1E2" w:rsidP="5FF0A1E2" w:rsidRDefault="5FF0A1E2" w14:paraId="0775BFC4" w14:textId="22B04777">
      <w:pPr>
        <w:pStyle w:val="Heading1"/>
      </w:pPr>
    </w:p>
    <w:p w:rsidR="5FF0A1E2" w:rsidP="5FF0A1E2" w:rsidRDefault="5FF0A1E2" w14:paraId="09B41C48" w14:textId="73A559F9">
      <w:pPr>
        <w:pStyle w:val="Heading1"/>
        <w:spacing w:line="360" w:lineRule="auto"/>
        <w:ind w:left="0"/>
        <w:rPr>
          <w:rFonts w:ascii="Arial" w:hAnsi="Arial" w:eastAsia="Arial" w:cs="Arial"/>
          <w:sz w:val="22"/>
          <w:szCs w:val="22"/>
        </w:rPr>
      </w:pPr>
    </w:p>
    <w:p w:rsidR="5FF0A1E2" w:rsidP="5FF0A1E2" w:rsidRDefault="5FF0A1E2" w14:paraId="62C1D8C9" w14:textId="3A48D357">
      <w:pPr>
        <w:pStyle w:val="Heading1"/>
        <w:spacing w:line="360" w:lineRule="auto"/>
        <w:ind w:left="0"/>
        <w:rPr>
          <w:rFonts w:ascii="Arial" w:hAnsi="Arial" w:eastAsia="Arial" w:cs="Arial"/>
          <w:sz w:val="22"/>
          <w:szCs w:val="22"/>
        </w:rPr>
      </w:pPr>
    </w:p>
    <w:p w:rsidRPr="00EF6341" w:rsidR="00730C3C" w:rsidP="5FF0A1E2" w:rsidRDefault="00730C3C" w14:paraId="58452D18" w14:textId="242A34BE">
      <w:pPr>
        <w:pStyle w:val="Heading1"/>
        <w:spacing w:line="360" w:lineRule="auto"/>
        <w:ind w:left="0"/>
        <w:rPr>
          <w:rFonts w:ascii="Arial" w:hAnsi="Arial" w:eastAsia="Arial" w:cs="Arial"/>
          <w:sz w:val="32"/>
          <w:szCs w:val="32"/>
        </w:rPr>
      </w:pPr>
      <w:bookmarkStart w:name="_Toc1039750391" w:id="683258716"/>
      <w:r w:rsidRPr="5FF0A1E2" w:rsidR="6447E850">
        <w:rPr>
          <w:rFonts w:ascii="Arial" w:hAnsi="Arial" w:eastAsia="Arial" w:cs="Arial"/>
          <w:sz w:val="32"/>
          <w:szCs w:val="32"/>
        </w:rPr>
        <w:t>CHAPTER 1: Introduction</w:t>
      </w:r>
      <w:bookmarkEnd w:id="683258716"/>
    </w:p>
    <w:p w:rsidRPr="00EF6341" w:rsidR="00EF6341" w:rsidP="5FF0A1E2" w:rsidRDefault="00EF6341" w14:paraId="69941E5D" w14:textId="77777777" w14:noSpellErr="1">
      <w:pPr>
        <w:pStyle w:val="BodyText"/>
        <w:spacing w:line="360" w:lineRule="auto"/>
        <w:rPr>
          <w:rFonts w:ascii="Arial" w:hAnsi="Arial" w:eastAsia="Arial" w:cs="Arial"/>
          <w:sz w:val="22"/>
          <w:szCs w:val="22"/>
        </w:rPr>
      </w:pPr>
    </w:p>
    <w:p w:rsidR="00BD2909" w:rsidP="5FF0A1E2" w:rsidRDefault="00BD2909" w14:paraId="7EB24CC9" w14:textId="0CF17232">
      <w:pPr>
        <w:pStyle w:val="paragraph"/>
        <w:numPr>
          <w:ilvl w:val="1"/>
          <w:numId w:val="103"/>
        </w:numPr>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Introduction</w:t>
      </w:r>
      <w:r w:rsidRPr="5FF0A1E2" w:rsidR="031E6882">
        <w:rPr>
          <w:rStyle w:val="eop"/>
          <w:rFonts w:ascii="Arial" w:hAnsi="Arial" w:eastAsia="Arial" w:cs="Arial"/>
          <w:color w:val="0F4761"/>
          <w:sz w:val="28"/>
          <w:szCs w:val="28"/>
        </w:rPr>
        <w:t> </w:t>
      </w:r>
    </w:p>
    <w:p w:rsidRPr="00BD2909" w:rsidR="00BA06D0" w:rsidP="5FF0A1E2" w:rsidRDefault="00BA06D0" w14:paraId="55D5F39A" w14:textId="77777777" w14:noSpellErr="1">
      <w:pPr>
        <w:pStyle w:val="paragraph"/>
        <w:spacing w:before="0" w:beforeAutospacing="off" w:after="0" w:afterAutospacing="off" w:line="360" w:lineRule="auto"/>
        <w:textAlignment w:val="baseline"/>
        <w:rPr>
          <w:rFonts w:ascii="Arial" w:hAnsi="Arial" w:eastAsia="Arial" w:cs="Arial"/>
          <w:color w:val="0F4761"/>
          <w:sz w:val="22"/>
          <w:szCs w:val="22"/>
        </w:rPr>
      </w:pPr>
    </w:p>
    <w:p w:rsidRPr="00405711" w:rsidR="00405711" w:rsidP="5FF0A1E2" w:rsidRDefault="00BD2909" w14:paraId="5D248467" w14:textId="13E0F228">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Overview of the Topic:</w:t>
      </w:r>
      <w:r w:rsidRPr="5FF0A1E2" w:rsidR="031E6882">
        <w:rPr>
          <w:rStyle w:val="eop"/>
          <w:rFonts w:ascii="Arial" w:hAnsi="Arial" w:eastAsia="Arial" w:cs="Arial"/>
          <w:sz w:val="22"/>
          <w:szCs w:val="22"/>
        </w:rPr>
        <w:t> </w:t>
      </w:r>
    </w:p>
    <w:p w:rsidR="00405711" w:rsidP="5FF0A1E2" w:rsidRDefault="00405711" w14:paraId="75E1AF7F" w14:textId="67EBE55C">
      <w:pPr>
        <w:pStyle w:val="paragraph"/>
        <w:spacing w:before="0" w:beforeAutospacing="off" w:after="0" w:afterAutospacing="off" w:line="360" w:lineRule="auto"/>
        <w:ind w:left="0"/>
        <w:textAlignment w:val="baseline"/>
        <w:rPr>
          <w:rFonts w:ascii="Arial" w:hAnsi="Arial" w:eastAsia="Arial" w:cs="Arial"/>
          <w:sz w:val="22"/>
          <w:szCs w:val="22"/>
        </w:rPr>
      </w:pPr>
      <w:r w:rsidRPr="5FF0A1E2" w:rsidR="795B18FB">
        <w:rPr>
          <w:rFonts w:ascii="Arial" w:hAnsi="Arial" w:eastAsia="Arial" w:cs="Arial"/>
          <w:sz w:val="22"/>
          <w:szCs w:val="22"/>
        </w:rPr>
        <w:t xml:space="preserve">In educational settings, children with chronic illnesses </w:t>
      </w:r>
      <w:r w:rsidRPr="5FF0A1E2" w:rsidR="795B18FB">
        <w:rPr>
          <w:rFonts w:ascii="Arial" w:hAnsi="Arial" w:eastAsia="Arial" w:cs="Arial"/>
          <w:sz w:val="22"/>
          <w:szCs w:val="22"/>
        </w:rPr>
        <w:t>constitute</w:t>
      </w:r>
      <w:r w:rsidRPr="5FF0A1E2" w:rsidR="795B18FB">
        <w:rPr>
          <w:rFonts w:ascii="Arial" w:hAnsi="Arial" w:eastAsia="Arial" w:cs="Arial"/>
          <w:sz w:val="22"/>
          <w:szCs w:val="22"/>
        </w:rPr>
        <w:t xml:space="preserve"> a significant but </w:t>
      </w:r>
      <w:r w:rsidRPr="5FF0A1E2" w:rsidR="795B18FB">
        <w:rPr>
          <w:rFonts w:ascii="Arial" w:hAnsi="Arial" w:eastAsia="Arial" w:cs="Arial"/>
          <w:sz w:val="22"/>
          <w:szCs w:val="22"/>
        </w:rPr>
        <w:t>frequently</w:t>
      </w:r>
      <w:r w:rsidRPr="5FF0A1E2" w:rsidR="795B18FB">
        <w:rPr>
          <w:rFonts w:ascii="Arial" w:hAnsi="Arial" w:eastAsia="Arial" w:cs="Arial"/>
          <w:sz w:val="22"/>
          <w:szCs w:val="22"/>
        </w:rPr>
        <w:t xml:space="preserve"> under-represented group</w:t>
      </w:r>
      <w:r w:rsidRPr="5FF0A1E2" w:rsidR="795B18FB">
        <w:rPr>
          <w:rFonts w:ascii="Arial" w:hAnsi="Arial" w:eastAsia="Arial" w:cs="Arial"/>
          <w:sz w:val="22"/>
          <w:szCs w:val="22"/>
        </w:rPr>
        <w:t xml:space="preserve">.  </w:t>
      </w:r>
      <w:r w:rsidRPr="5FF0A1E2" w:rsidR="795B18FB">
        <w:rPr>
          <w:rFonts w:ascii="Arial" w:hAnsi="Arial" w:eastAsia="Arial" w:cs="Arial"/>
          <w:sz w:val="22"/>
          <w:szCs w:val="22"/>
        </w:rPr>
        <w:t>Long-term medical problems that can have a substantial impact on a child's physical, emotional, and cognitive functioning include asthma, diabetes, epilepsy, PKU, and juvenile arthritis</w:t>
      </w:r>
      <w:r w:rsidRPr="5FF0A1E2" w:rsidR="795B18FB">
        <w:rPr>
          <w:rFonts w:ascii="Arial" w:hAnsi="Arial" w:eastAsia="Arial" w:cs="Arial"/>
          <w:sz w:val="22"/>
          <w:szCs w:val="22"/>
        </w:rPr>
        <w:t xml:space="preserve"> </w:t>
      </w:r>
      <w:r w:rsidRPr="5FF0A1E2" w:rsidR="795B18FB">
        <w:rPr>
          <w:rFonts w:ascii="Arial" w:hAnsi="Arial" w:eastAsia="Arial" w:cs="Arial"/>
          <w:sz w:val="22"/>
          <w:szCs w:val="22"/>
        </w:rPr>
        <w:t>(</w:t>
      </w:r>
      <w:r w:rsidRPr="5FF0A1E2" w:rsidR="795B18FB">
        <w:rPr>
          <w:rFonts w:ascii="Arial" w:hAnsi="Arial" w:eastAsia="Arial" w:cs="Arial"/>
          <w:sz w:val="22"/>
          <w:szCs w:val="22"/>
        </w:rPr>
        <w:t>Compas</w:t>
      </w:r>
      <w:r w:rsidRPr="5FF0A1E2" w:rsidR="795B18FB">
        <w:rPr>
          <w:rFonts w:ascii="Arial" w:hAnsi="Arial" w:eastAsia="Arial" w:cs="Arial"/>
          <w:sz w:val="22"/>
          <w:szCs w:val="22"/>
        </w:rPr>
        <w:t xml:space="preserve"> et al., 2011; </w:t>
      </w:r>
      <w:r w:rsidRPr="5FF0A1E2" w:rsidR="795B18FB">
        <w:rPr>
          <w:rFonts w:ascii="Arial" w:hAnsi="Arial" w:eastAsia="Arial" w:cs="Arial"/>
          <w:sz w:val="22"/>
          <w:szCs w:val="22"/>
        </w:rPr>
        <w:t>Wijlaars</w:t>
      </w:r>
      <w:r w:rsidRPr="5FF0A1E2" w:rsidR="795B18FB">
        <w:rPr>
          <w:rFonts w:ascii="Arial" w:hAnsi="Arial" w:eastAsia="Arial" w:cs="Arial"/>
          <w:sz w:val="22"/>
          <w:szCs w:val="22"/>
        </w:rPr>
        <w:t xml:space="preserve"> et al., 2016</w:t>
      </w:r>
      <w:r w:rsidRPr="5FF0A1E2" w:rsidR="795B18FB">
        <w:rPr>
          <w:rFonts w:ascii="Arial" w:hAnsi="Arial" w:eastAsia="Arial" w:cs="Arial"/>
          <w:sz w:val="22"/>
          <w:szCs w:val="22"/>
        </w:rPr>
        <w:t>).</w:t>
      </w:r>
      <w:r w:rsidRPr="5FF0A1E2" w:rsidR="795B18FB">
        <w:rPr>
          <w:rFonts w:ascii="Arial" w:hAnsi="Arial" w:eastAsia="Arial" w:cs="Arial"/>
          <w:sz w:val="22"/>
          <w:szCs w:val="22"/>
        </w:rPr>
        <w:t xml:space="preserve"> </w:t>
      </w:r>
      <w:r w:rsidRPr="5FF0A1E2" w:rsidR="795B18FB">
        <w:rPr>
          <w:rFonts w:ascii="Arial" w:hAnsi="Arial" w:eastAsia="Arial" w:cs="Arial"/>
          <w:sz w:val="22"/>
          <w:szCs w:val="22"/>
        </w:rPr>
        <w:t>More children with chronic illnesses can now attend mainstream schools thanks to medical and healthcare advancements, but many still face obstacles to full inclusion because of frequent absences, exhaustion, and the necessity for medical interventions during school hours.</w:t>
      </w:r>
      <w:r w:rsidRPr="5FF0A1E2" w:rsidR="795B18FB">
        <w:rPr>
          <w:rFonts w:ascii="Arial" w:hAnsi="Arial" w:eastAsia="Arial" w:cs="Arial"/>
          <w:sz w:val="22"/>
          <w:szCs w:val="22"/>
        </w:rPr>
        <w:t xml:space="preserve"> </w:t>
      </w:r>
      <w:r w:rsidRPr="5FF0A1E2" w:rsidR="795B18FB">
        <w:rPr>
          <w:rFonts w:ascii="Arial" w:hAnsi="Arial" w:eastAsia="Arial" w:cs="Arial"/>
          <w:sz w:val="22"/>
          <w:szCs w:val="22"/>
        </w:rPr>
        <w:t>(Jay et al., 2024; Herlitz et al., 2025)</w:t>
      </w:r>
      <w:r w:rsidRPr="5FF0A1E2" w:rsidR="795B18FB">
        <w:rPr>
          <w:rFonts w:ascii="Arial" w:hAnsi="Arial" w:eastAsia="Arial" w:cs="Arial"/>
          <w:sz w:val="22"/>
          <w:szCs w:val="22"/>
        </w:rPr>
        <w:t>.</w:t>
      </w:r>
    </w:p>
    <w:p w:rsidR="00405711" w:rsidP="5FF0A1E2" w:rsidRDefault="00405711" w14:paraId="091D3C61" w14:textId="77777777" w14:noSpellErr="1">
      <w:pPr>
        <w:pStyle w:val="paragraph"/>
        <w:spacing w:before="0" w:beforeAutospacing="off" w:after="0" w:afterAutospacing="off" w:line="360" w:lineRule="auto"/>
        <w:ind w:left="720"/>
        <w:textAlignment w:val="baseline"/>
        <w:rPr>
          <w:rFonts w:ascii="Arial" w:hAnsi="Arial" w:eastAsia="Arial" w:cs="Arial"/>
          <w:sz w:val="22"/>
          <w:szCs w:val="22"/>
        </w:rPr>
      </w:pPr>
    </w:p>
    <w:p w:rsidR="00405711" w:rsidP="5FF0A1E2" w:rsidRDefault="00405711" w14:paraId="7F1892F4" w14:textId="47276E64" w14:noSpellErr="1">
      <w:pPr>
        <w:pStyle w:val="paragraph"/>
        <w:spacing w:before="0" w:beforeAutospacing="off" w:after="0" w:afterAutospacing="off" w:line="360" w:lineRule="auto"/>
        <w:ind w:left="0"/>
        <w:textAlignment w:val="baseline"/>
        <w:rPr>
          <w:rFonts w:ascii="Arial" w:hAnsi="Arial" w:eastAsia="Arial" w:cs="Arial"/>
          <w:sz w:val="22"/>
          <w:szCs w:val="22"/>
        </w:rPr>
      </w:pPr>
      <w:r w:rsidRPr="5FF0A1E2" w:rsidR="795B18FB">
        <w:rPr>
          <w:rFonts w:ascii="Arial" w:hAnsi="Arial" w:eastAsia="Arial" w:cs="Arial"/>
          <w:sz w:val="22"/>
          <w:szCs w:val="22"/>
        </w:rPr>
        <w:t>As the prevalence of chronic illnesses among school-age children continues to climb globally, this problem has become increasingly relevant in recent years</w:t>
      </w:r>
      <w:r w:rsidRPr="5FF0A1E2" w:rsidR="795B18FB">
        <w:rPr>
          <w:rFonts w:ascii="Arial" w:hAnsi="Arial" w:eastAsia="Arial" w:cs="Arial"/>
          <w:sz w:val="22"/>
          <w:szCs w:val="22"/>
        </w:rPr>
        <w:t xml:space="preserve">.  </w:t>
      </w:r>
      <w:r w:rsidRPr="5FF0A1E2" w:rsidR="795B18FB">
        <w:rPr>
          <w:rFonts w:ascii="Arial" w:hAnsi="Arial" w:eastAsia="Arial" w:cs="Arial"/>
          <w:sz w:val="22"/>
          <w:szCs w:val="22"/>
        </w:rPr>
        <w:t>According to recent data from England, by the time they are sixteen, one in four youngsters will have at least one chronic illness</w:t>
      </w:r>
      <w:r w:rsidRPr="5FF0A1E2" w:rsidR="795B18FB">
        <w:rPr>
          <w:rFonts w:ascii="Arial" w:hAnsi="Arial" w:eastAsia="Arial" w:cs="Arial"/>
          <w:sz w:val="22"/>
          <w:szCs w:val="22"/>
        </w:rPr>
        <w:t xml:space="preserve"> </w:t>
      </w:r>
      <w:r w:rsidRPr="5FF0A1E2" w:rsidR="795B18FB">
        <w:rPr>
          <w:rFonts w:ascii="Arial" w:hAnsi="Arial" w:eastAsia="Arial" w:cs="Arial"/>
          <w:sz w:val="22"/>
          <w:szCs w:val="22"/>
        </w:rPr>
        <w:t>(Jay et al., 2024).</w:t>
      </w:r>
      <w:r w:rsidRPr="5FF0A1E2" w:rsidR="795B18FB">
        <w:rPr>
          <w:rFonts w:ascii="Arial" w:hAnsi="Arial" w:eastAsia="Arial" w:cs="Arial"/>
          <w:sz w:val="22"/>
          <w:szCs w:val="22"/>
        </w:rPr>
        <w:t xml:space="preserve"> </w:t>
      </w:r>
      <w:r w:rsidRPr="5FF0A1E2" w:rsidR="2F2A29F6">
        <w:rPr>
          <w:rFonts w:ascii="Arial" w:hAnsi="Arial" w:eastAsia="Arial" w:cs="Arial"/>
          <w:sz w:val="22"/>
          <w:szCs w:val="22"/>
        </w:rPr>
        <w:t>This pattern emphasises how urgently educational policies and procedures that strike a balance between academic demands and concessions linked to health are needed</w:t>
      </w:r>
      <w:r w:rsidRPr="5FF0A1E2" w:rsidR="2F2A29F6">
        <w:rPr>
          <w:rFonts w:ascii="Arial" w:hAnsi="Arial" w:eastAsia="Arial" w:cs="Arial"/>
          <w:sz w:val="22"/>
          <w:szCs w:val="22"/>
        </w:rPr>
        <w:t xml:space="preserve">.  </w:t>
      </w:r>
      <w:r w:rsidRPr="5FF0A1E2" w:rsidR="2F2A29F6">
        <w:rPr>
          <w:rFonts w:ascii="Arial" w:hAnsi="Arial" w:eastAsia="Arial" w:cs="Arial"/>
          <w:sz w:val="22"/>
          <w:szCs w:val="22"/>
        </w:rPr>
        <w:t>Although educational systems have historically been slow to adjust to the needs of students with chronic illnesses, recent advancements in inclusive education and health-education collaboration have started to put conventional methods to the test.</w:t>
      </w:r>
    </w:p>
    <w:p w:rsidRPr="00BD2909" w:rsidR="00BA06D0" w:rsidP="5FF0A1E2" w:rsidRDefault="00BA06D0" w14:paraId="2BEB99C5" w14:textId="77777777" w14:noSpellErr="1">
      <w:pPr>
        <w:pStyle w:val="paragraph"/>
        <w:spacing w:before="0" w:beforeAutospacing="off" w:after="0" w:afterAutospacing="off" w:line="360" w:lineRule="auto"/>
        <w:ind w:left="720"/>
        <w:textAlignment w:val="baseline"/>
        <w:rPr>
          <w:rFonts w:ascii="Arial" w:hAnsi="Arial" w:eastAsia="Arial" w:cs="Arial"/>
          <w:sz w:val="22"/>
          <w:szCs w:val="22"/>
        </w:rPr>
      </w:pPr>
    </w:p>
    <w:p w:rsidRPr="00BD2909" w:rsidR="00BD2909" w:rsidP="5FF0A1E2" w:rsidRDefault="00BD2909" w14:paraId="25D926A3" w14:textId="77777777" w14:noSpellErr="1">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Aim of the Dissertation:</w:t>
      </w:r>
      <w:r w:rsidRPr="5FF0A1E2" w:rsidR="031E6882">
        <w:rPr>
          <w:rStyle w:val="eop"/>
          <w:rFonts w:ascii="Arial" w:hAnsi="Arial" w:eastAsia="Arial" w:cs="Arial"/>
          <w:sz w:val="22"/>
          <w:szCs w:val="22"/>
        </w:rPr>
        <w:t> </w:t>
      </w:r>
    </w:p>
    <w:p w:rsidR="5FF0A1E2" w:rsidP="5FF0A1E2" w:rsidRDefault="5FF0A1E2" w14:paraId="29F9F083" w14:textId="3D273137">
      <w:pPr>
        <w:pStyle w:val="paragraph"/>
        <w:spacing w:before="0" w:beforeAutospacing="off" w:after="0" w:afterAutospacing="off" w:line="360" w:lineRule="auto"/>
        <w:ind w:left="0"/>
        <w:rPr>
          <w:rStyle w:val="eop"/>
          <w:rFonts w:ascii="Arial" w:hAnsi="Arial" w:eastAsia="Arial" w:cs="Arial"/>
          <w:sz w:val="22"/>
          <w:szCs w:val="22"/>
        </w:rPr>
      </w:pPr>
    </w:p>
    <w:p w:rsidRPr="00BD2909" w:rsidR="00BD2909" w:rsidP="5FF0A1E2" w:rsidRDefault="00BD2909" w14:paraId="18072CD8" w14:textId="32DB1A7B">
      <w:pPr>
        <w:pStyle w:val="paragraph"/>
        <w:spacing w:before="0" w:beforeAutospacing="off" w:after="0" w:afterAutospacing="off" w:line="360" w:lineRule="auto"/>
        <w:ind w:left="0"/>
        <w:textAlignment w:val="baseline"/>
        <w:rPr>
          <w:rFonts w:ascii="Arial" w:hAnsi="Arial" w:eastAsia="Arial" w:cs="Arial"/>
          <w:sz w:val="22"/>
          <w:szCs w:val="22"/>
        </w:rPr>
      </w:pPr>
      <w:r w:rsidRPr="5FF0A1E2" w:rsidR="2F2A29F6">
        <w:rPr>
          <w:rStyle w:val="eop"/>
          <w:rFonts w:ascii="Arial" w:hAnsi="Arial" w:eastAsia="Arial" w:cs="Arial"/>
          <w:sz w:val="22"/>
          <w:szCs w:val="22"/>
        </w:rPr>
        <w:t>This dissertation's main goal is to investigate how inclusive practices, policy creation, and interprofessional cooperation might help educational environments effectively serve kids with chronic diseases</w:t>
      </w:r>
      <w:r w:rsidRPr="5FF0A1E2" w:rsidR="2F2A29F6">
        <w:rPr>
          <w:rStyle w:val="eop"/>
          <w:rFonts w:ascii="Arial" w:hAnsi="Arial" w:eastAsia="Arial" w:cs="Arial"/>
          <w:sz w:val="22"/>
          <w:szCs w:val="22"/>
        </w:rPr>
        <w:t xml:space="preserve">.  </w:t>
      </w:r>
      <w:r w:rsidRPr="5FF0A1E2" w:rsidR="2F2A29F6">
        <w:rPr>
          <w:rStyle w:val="eop"/>
          <w:rFonts w:ascii="Arial" w:hAnsi="Arial" w:eastAsia="Arial" w:cs="Arial"/>
          <w:sz w:val="22"/>
          <w:szCs w:val="22"/>
        </w:rPr>
        <w:t>In order to</w:t>
      </w:r>
      <w:r w:rsidRPr="5FF0A1E2" w:rsidR="2F2A29F6">
        <w:rPr>
          <w:rStyle w:val="eop"/>
          <w:rFonts w:ascii="Arial" w:hAnsi="Arial" w:eastAsia="Arial" w:cs="Arial"/>
          <w:sz w:val="22"/>
          <w:szCs w:val="22"/>
        </w:rPr>
        <w:t xml:space="preserve"> create a more egalitarian </w:t>
      </w:r>
      <w:r w:rsidRPr="5FF0A1E2" w:rsidR="2F2A29F6">
        <w:rPr>
          <w:rStyle w:val="eop"/>
          <w:rFonts w:ascii="Arial" w:hAnsi="Arial" w:eastAsia="Arial" w:cs="Arial"/>
          <w:sz w:val="22"/>
          <w:szCs w:val="22"/>
        </w:rPr>
        <w:t>and health-conscious educational system, the research aims to find practical methods that improve academic engagement, emotional health, and long-term educational outcomes.</w:t>
      </w:r>
    </w:p>
    <w:p w:rsidR="5FF0A1E2" w:rsidP="5FF0A1E2" w:rsidRDefault="5FF0A1E2" w14:paraId="214659D1" w14:textId="0BF5C696">
      <w:pPr>
        <w:pStyle w:val="paragraph"/>
        <w:spacing w:before="0" w:beforeAutospacing="off" w:after="0" w:afterAutospacing="off" w:line="360" w:lineRule="auto"/>
        <w:rPr>
          <w:rStyle w:val="normaltextrun"/>
          <w:rFonts w:ascii="Arial" w:hAnsi="Arial" w:eastAsia="Arial" w:cs="Arial"/>
          <w:color w:val="0F4761"/>
          <w:sz w:val="22"/>
          <w:szCs w:val="22"/>
        </w:rPr>
      </w:pPr>
    </w:p>
    <w:p w:rsidR="5FF0A1E2" w:rsidP="5FF0A1E2" w:rsidRDefault="5FF0A1E2" w14:paraId="6A3C032B" w14:textId="5B860513">
      <w:pPr>
        <w:pStyle w:val="paragraph"/>
        <w:spacing w:before="0" w:beforeAutospacing="off" w:after="0" w:afterAutospacing="off" w:line="360" w:lineRule="auto"/>
        <w:rPr>
          <w:rStyle w:val="normaltextrun"/>
          <w:rFonts w:ascii="Arial" w:hAnsi="Arial" w:eastAsia="Arial" w:cs="Arial"/>
          <w:color w:val="0F4761"/>
          <w:sz w:val="28"/>
          <w:szCs w:val="28"/>
        </w:rPr>
      </w:pPr>
    </w:p>
    <w:p w:rsidR="00BD2909" w:rsidP="5FF0A1E2" w:rsidRDefault="00BD2909" w14:paraId="66501BF4" w14:textId="764697DD">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1</w:t>
      </w:r>
      <w:r w:rsidRPr="5FF0A1E2" w:rsidR="031E6882">
        <w:rPr>
          <w:rStyle w:val="normaltextrun"/>
          <w:rFonts w:ascii="Arial" w:hAnsi="Arial" w:eastAsia="Arial" w:cs="Arial"/>
          <w:color w:val="0F4761"/>
          <w:sz w:val="28"/>
          <w:szCs w:val="28"/>
        </w:rPr>
        <w:t>.2 Definitions and Terminology</w:t>
      </w:r>
    </w:p>
    <w:p w:rsidR="006D3F80" w:rsidP="5FF0A1E2" w:rsidRDefault="006D3F80" w14:paraId="49EC326D" w14:textId="77777777" w14:noSpellErr="1">
      <w:pPr>
        <w:pStyle w:val="paragraph"/>
        <w:spacing w:before="0" w:beforeAutospacing="off" w:after="0" w:afterAutospacing="off" w:line="360" w:lineRule="auto"/>
        <w:textAlignment w:val="baseline"/>
        <w:rPr>
          <w:rFonts w:ascii="Arial" w:hAnsi="Arial" w:eastAsia="Arial" w:cs="Arial"/>
          <w:sz w:val="22"/>
          <w:szCs w:val="22"/>
        </w:rPr>
      </w:pPr>
    </w:p>
    <w:p w:rsidRPr="006D3F80" w:rsidR="006D3F80" w:rsidP="5FF0A1E2" w:rsidRDefault="006D3F80" w14:paraId="6E1FE10B" w14:textId="6AD36903"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4AB1D21A">
        <w:rPr>
          <w:rFonts w:ascii="Arial" w:hAnsi="Arial" w:eastAsia="Arial" w:cs="Arial"/>
          <w:sz w:val="22"/>
          <w:szCs w:val="22"/>
        </w:rPr>
        <w:t xml:space="preserve">Understanding the breadth and focus of this dissertation on </w:t>
      </w:r>
      <w:r w:rsidRPr="5FF0A1E2" w:rsidR="4AB1D21A">
        <w:rPr>
          <w:rFonts w:ascii="Arial" w:hAnsi="Arial" w:eastAsia="Arial" w:cs="Arial"/>
          <w:sz w:val="22"/>
          <w:szCs w:val="22"/>
        </w:rPr>
        <w:t>assisting</w:t>
      </w:r>
      <w:r w:rsidRPr="5FF0A1E2" w:rsidR="4AB1D21A">
        <w:rPr>
          <w:rFonts w:ascii="Arial" w:hAnsi="Arial" w:eastAsia="Arial" w:cs="Arial"/>
          <w:sz w:val="22"/>
          <w:szCs w:val="22"/>
        </w:rPr>
        <w:t xml:space="preserve"> children with chronic illnesses in educational settings requires precise definitions of important terms</w:t>
      </w:r>
      <w:r w:rsidRPr="5FF0A1E2" w:rsidR="01082088">
        <w:rPr>
          <w:rFonts w:ascii="Arial" w:hAnsi="Arial" w:eastAsia="Arial" w:cs="Arial"/>
          <w:sz w:val="22"/>
          <w:szCs w:val="22"/>
        </w:rPr>
        <w:t>.</w:t>
      </w:r>
    </w:p>
    <w:p w:rsidR="5FF0A1E2" w:rsidP="5FF0A1E2" w:rsidRDefault="5FF0A1E2" w14:paraId="7E10ECE7" w14:textId="4ECF8C24">
      <w:pPr>
        <w:pStyle w:val="paragraph"/>
        <w:tabs>
          <w:tab w:val="clear" w:leader="none" w:pos="720"/>
          <w:tab w:val="num" w:leader="none" w:pos="0"/>
        </w:tabs>
        <w:spacing w:before="0" w:beforeAutospacing="off" w:after="0" w:afterAutospacing="off" w:line="360" w:lineRule="auto"/>
        <w:ind w:left="0" w:firstLine="0"/>
        <w:rPr>
          <w:rStyle w:val="normaltextrun"/>
          <w:rFonts w:ascii="Arial" w:hAnsi="Arial" w:eastAsia="Arial" w:cs="Arial"/>
          <w:b w:val="1"/>
          <w:bCs w:val="1"/>
          <w:sz w:val="22"/>
          <w:szCs w:val="22"/>
        </w:rPr>
      </w:pPr>
    </w:p>
    <w:p w:rsidR="00BD2909" w:rsidP="5FF0A1E2" w:rsidRDefault="00BD2909" w14:paraId="2A4D5667" w14:textId="77777777" w14:noSpellErr="1">
      <w:pPr>
        <w:pStyle w:val="paragraph"/>
        <w:tabs>
          <w:tab w:val="clear" w:pos="720"/>
          <w:tab w:val="num" w:pos="0"/>
        </w:tabs>
        <w:spacing w:before="0" w:beforeAutospacing="off" w:after="0" w:afterAutospacing="off" w:line="360" w:lineRule="auto"/>
        <w:ind w:left="0" w:firstLine="0"/>
        <w:textAlignment w:val="baseline"/>
        <w:rPr>
          <w:rStyle w:val="eop"/>
          <w:rFonts w:ascii="Arial" w:hAnsi="Arial" w:eastAsia="Arial" w:cs="Arial"/>
          <w:sz w:val="22"/>
          <w:szCs w:val="22"/>
        </w:rPr>
      </w:pPr>
      <w:r w:rsidRPr="5FF0A1E2" w:rsidR="031E6882">
        <w:rPr>
          <w:rStyle w:val="normaltextrun"/>
          <w:rFonts w:ascii="Arial" w:hAnsi="Arial" w:eastAsia="Arial" w:cs="Arial"/>
          <w:b w:val="1"/>
          <w:bCs w:val="1"/>
          <w:sz w:val="22"/>
          <w:szCs w:val="22"/>
        </w:rPr>
        <w:t>Key Definitions:</w:t>
      </w:r>
      <w:r w:rsidRPr="5FF0A1E2" w:rsidR="031E6882">
        <w:rPr>
          <w:rStyle w:val="eop"/>
          <w:rFonts w:ascii="Arial" w:hAnsi="Arial" w:eastAsia="Arial" w:cs="Arial"/>
          <w:sz w:val="22"/>
          <w:szCs w:val="22"/>
        </w:rPr>
        <w:t> </w:t>
      </w:r>
    </w:p>
    <w:p w:rsidR="5FF0A1E2" w:rsidP="5FF0A1E2" w:rsidRDefault="5FF0A1E2" w14:paraId="381B17DC" w14:textId="4B645DC9">
      <w:pPr>
        <w:pStyle w:val="paragraph"/>
        <w:spacing w:before="0" w:beforeAutospacing="off" w:after="0" w:afterAutospacing="off" w:line="360" w:lineRule="auto"/>
        <w:rPr>
          <w:rFonts w:ascii="Arial" w:hAnsi="Arial" w:eastAsia="Arial" w:cs="Arial"/>
          <w:sz w:val="22"/>
          <w:szCs w:val="22"/>
        </w:rPr>
      </w:pPr>
    </w:p>
    <w:p w:rsidR="00291C90" w:rsidP="5FF0A1E2" w:rsidRDefault="00761F00" w14:paraId="1515D495" w14:textId="3C3FAE08">
      <w:pPr>
        <w:pStyle w:val="paragraph"/>
        <w:spacing w:before="0" w:beforeAutospacing="off" w:after="0" w:afterAutospacing="off" w:line="360" w:lineRule="auto"/>
        <w:textAlignment w:val="baseline"/>
        <w:rPr>
          <w:rFonts w:ascii="Arial" w:hAnsi="Arial" w:eastAsia="Arial" w:cs="Arial"/>
          <w:sz w:val="22"/>
          <w:szCs w:val="22"/>
        </w:rPr>
      </w:pPr>
      <w:r w:rsidRPr="5FF0A1E2" w:rsidR="61FFB1CE">
        <w:rPr>
          <w:rFonts w:ascii="Arial" w:hAnsi="Arial" w:eastAsia="Arial" w:cs="Arial"/>
          <w:sz w:val="22"/>
          <w:szCs w:val="22"/>
        </w:rPr>
        <w:t xml:space="preserve">A chronic illness is a long-term, persistent, </w:t>
      </w:r>
      <w:r w:rsidRPr="5FF0A1E2" w:rsidR="61FFB1CE">
        <w:rPr>
          <w:rFonts w:ascii="Arial" w:hAnsi="Arial" w:eastAsia="Arial" w:cs="Arial"/>
          <w:sz w:val="22"/>
          <w:szCs w:val="22"/>
        </w:rPr>
        <w:t>frequently</w:t>
      </w:r>
      <w:r w:rsidRPr="5FF0A1E2" w:rsidR="61FFB1CE">
        <w:rPr>
          <w:rFonts w:ascii="Arial" w:hAnsi="Arial" w:eastAsia="Arial" w:cs="Arial"/>
          <w:sz w:val="22"/>
          <w:szCs w:val="22"/>
        </w:rPr>
        <w:t xml:space="preserve"> lifelong physical or mental health problem that usually </w:t>
      </w:r>
      <w:r w:rsidRPr="5FF0A1E2" w:rsidR="61FFB1CE">
        <w:rPr>
          <w:rFonts w:ascii="Arial" w:hAnsi="Arial" w:eastAsia="Arial" w:cs="Arial"/>
          <w:sz w:val="22"/>
          <w:szCs w:val="22"/>
        </w:rPr>
        <w:t>necessitates</w:t>
      </w:r>
      <w:r w:rsidRPr="5FF0A1E2" w:rsidR="61FFB1CE">
        <w:rPr>
          <w:rFonts w:ascii="Arial" w:hAnsi="Arial" w:eastAsia="Arial" w:cs="Arial"/>
          <w:sz w:val="22"/>
          <w:szCs w:val="22"/>
        </w:rPr>
        <w:t xml:space="preserve"> continuous medical care</w:t>
      </w:r>
      <w:r w:rsidRPr="5FF0A1E2" w:rsidR="01082088">
        <w:rPr>
          <w:rFonts w:ascii="Arial" w:hAnsi="Arial" w:eastAsia="Arial" w:cs="Arial"/>
          <w:sz w:val="22"/>
          <w:szCs w:val="22"/>
        </w:rPr>
        <w:t xml:space="preserve"> </w:t>
      </w:r>
      <w:r w:rsidRPr="5FF0A1E2" w:rsidR="01082088">
        <w:rPr>
          <w:rFonts w:ascii="Arial" w:hAnsi="Arial" w:eastAsia="Arial" w:cs="Arial"/>
          <w:sz w:val="22"/>
          <w:szCs w:val="22"/>
        </w:rPr>
        <w:t>(World Health Organization [WHO], 2020).</w:t>
      </w:r>
      <w:r w:rsidRPr="5FF0A1E2" w:rsidR="5E274165">
        <w:rPr>
          <w:rFonts w:ascii="Arial" w:hAnsi="Arial" w:eastAsia="Arial" w:cs="Arial"/>
          <w:sz w:val="22"/>
          <w:szCs w:val="22"/>
        </w:rPr>
        <w:t xml:space="preserve"> </w:t>
      </w:r>
      <w:r w:rsidRPr="5FF0A1E2" w:rsidR="5E274165">
        <w:rPr>
          <w:rFonts w:ascii="Arial" w:hAnsi="Arial" w:eastAsia="Arial" w:cs="Arial"/>
          <w:sz w:val="22"/>
          <w:szCs w:val="22"/>
        </w:rPr>
        <w:t>Asthma, diabetes, epilepsy, PKU, and juvenile arthritis are examples of chronic disorders in children that can vary in severity and affect day-to-day functioning</w:t>
      </w:r>
      <w:r w:rsidRPr="5FF0A1E2" w:rsidR="753779FC">
        <w:rPr>
          <w:rFonts w:ascii="Arial" w:hAnsi="Arial" w:eastAsia="Arial" w:cs="Arial"/>
          <w:sz w:val="22"/>
          <w:szCs w:val="22"/>
        </w:rPr>
        <w:t xml:space="preserve"> </w:t>
      </w:r>
      <w:r w:rsidRPr="5FF0A1E2" w:rsidR="753779FC">
        <w:rPr>
          <w:rFonts w:ascii="Arial" w:hAnsi="Arial" w:eastAsia="Arial" w:cs="Arial"/>
          <w:sz w:val="22"/>
          <w:szCs w:val="22"/>
        </w:rPr>
        <w:t>(</w:t>
      </w:r>
      <w:r w:rsidRPr="5FF0A1E2" w:rsidR="753779FC">
        <w:rPr>
          <w:rFonts w:ascii="Arial" w:hAnsi="Arial" w:eastAsia="Arial" w:cs="Arial"/>
          <w:sz w:val="22"/>
          <w:szCs w:val="22"/>
        </w:rPr>
        <w:t>Compas</w:t>
      </w:r>
      <w:r w:rsidRPr="5FF0A1E2" w:rsidR="753779FC">
        <w:rPr>
          <w:rFonts w:ascii="Arial" w:hAnsi="Arial" w:eastAsia="Arial" w:cs="Arial"/>
          <w:sz w:val="22"/>
          <w:szCs w:val="22"/>
        </w:rPr>
        <w:t xml:space="preserve"> et al., 2011)</w:t>
      </w:r>
      <w:r w:rsidRPr="5FF0A1E2" w:rsidR="753779FC">
        <w:rPr>
          <w:rFonts w:ascii="Arial" w:hAnsi="Arial" w:eastAsia="Arial" w:cs="Arial"/>
          <w:sz w:val="22"/>
          <w:szCs w:val="22"/>
        </w:rPr>
        <w:t>.</w:t>
      </w:r>
      <w:r w:rsidRPr="5FF0A1E2" w:rsidR="1ED0ADF4">
        <w:rPr>
          <w:rFonts w:ascii="Arial" w:hAnsi="Arial" w:eastAsia="Arial" w:cs="Arial"/>
          <w:sz w:val="22"/>
          <w:szCs w:val="22"/>
        </w:rPr>
        <w:t xml:space="preserve"> </w:t>
      </w:r>
      <w:r w:rsidRPr="5FF0A1E2" w:rsidR="1ED0ADF4">
        <w:rPr>
          <w:rFonts w:ascii="Arial" w:hAnsi="Arial" w:eastAsia="Arial" w:cs="Arial"/>
          <w:sz w:val="22"/>
          <w:szCs w:val="22"/>
        </w:rPr>
        <w:t>The investigation of how schools might adjust to accommodate kids whose health requirements are ongoing rather than transient is based on this definition, which is crucial to the study.</w:t>
      </w:r>
    </w:p>
    <w:p w:rsidR="00750A75" w:rsidP="5FF0A1E2" w:rsidRDefault="00750A75" w14:paraId="4C8D1065" w14:textId="77777777" w14:noSpellErr="1">
      <w:pPr>
        <w:pStyle w:val="paragraph"/>
        <w:spacing w:before="0" w:beforeAutospacing="off" w:after="0" w:afterAutospacing="off" w:line="360" w:lineRule="auto"/>
        <w:textAlignment w:val="baseline"/>
        <w:rPr>
          <w:rFonts w:ascii="Arial" w:hAnsi="Arial" w:eastAsia="Arial" w:cs="Arial"/>
          <w:sz w:val="22"/>
          <w:szCs w:val="22"/>
        </w:rPr>
      </w:pPr>
    </w:p>
    <w:p w:rsidR="00EF3695" w:rsidP="5FF0A1E2" w:rsidRDefault="00EF3695" w14:paraId="6A5F008D" w14:textId="087BFEA4"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76D821FF">
        <w:rPr>
          <w:rFonts w:ascii="Arial" w:hAnsi="Arial" w:eastAsia="Arial" w:cs="Arial"/>
          <w:sz w:val="22"/>
          <w:szCs w:val="22"/>
        </w:rPr>
        <w:t>The process of ensuring that all students, regardless of ability, health, or background, may fully engage in learning environments that cater to their specific needs is known as inclusive education</w:t>
      </w:r>
      <w:r w:rsidRPr="5FF0A1E2" w:rsidR="76D821FF">
        <w:rPr>
          <w:rFonts w:ascii="Arial" w:hAnsi="Arial" w:eastAsia="Arial" w:cs="Arial"/>
          <w:sz w:val="22"/>
          <w:szCs w:val="22"/>
        </w:rPr>
        <w:t xml:space="preserve"> </w:t>
      </w:r>
      <w:r w:rsidRPr="5FF0A1E2" w:rsidR="7C2A51F4">
        <w:rPr>
          <w:rFonts w:ascii="Arial" w:hAnsi="Arial" w:eastAsia="Arial" w:cs="Arial"/>
          <w:sz w:val="22"/>
          <w:szCs w:val="22"/>
        </w:rPr>
        <w:t>(UNESCO, 2017).</w:t>
      </w:r>
      <w:r w:rsidRPr="5FF0A1E2" w:rsidR="7C2A51F4">
        <w:rPr>
          <w:rFonts w:ascii="Arial" w:hAnsi="Arial" w:eastAsia="Arial" w:cs="Arial"/>
          <w:sz w:val="22"/>
          <w:szCs w:val="22"/>
        </w:rPr>
        <w:t xml:space="preserve"> </w:t>
      </w:r>
      <w:r w:rsidRPr="5FF0A1E2" w:rsidR="696CA9AF">
        <w:rPr>
          <w:rFonts w:ascii="Arial" w:hAnsi="Arial" w:eastAsia="Arial" w:cs="Arial"/>
          <w:sz w:val="22"/>
          <w:szCs w:val="22"/>
        </w:rPr>
        <w:t>In this context, inclusion entails removing obstacles that impede children with chronic illnesses from having equal access to education.</w:t>
      </w:r>
    </w:p>
    <w:p w:rsidR="00533244" w:rsidP="5FF0A1E2" w:rsidRDefault="00533244" w14:paraId="0B94F504" w14:textId="77777777" w14:noSpellErr="1">
      <w:pPr>
        <w:pStyle w:val="paragraph"/>
        <w:spacing w:before="0" w:beforeAutospacing="off" w:after="0" w:afterAutospacing="off" w:line="360" w:lineRule="auto"/>
        <w:textAlignment w:val="baseline"/>
        <w:rPr>
          <w:rFonts w:ascii="Arial" w:hAnsi="Arial" w:eastAsia="Arial" w:cs="Arial"/>
          <w:sz w:val="22"/>
          <w:szCs w:val="22"/>
        </w:rPr>
      </w:pPr>
    </w:p>
    <w:p w:rsidR="00533244" w:rsidP="5FF0A1E2" w:rsidRDefault="00E244D7" w14:paraId="4710B361" w14:textId="03E0AD41"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14967CC1">
        <w:rPr>
          <w:rFonts w:ascii="Arial" w:hAnsi="Arial" w:eastAsia="Arial" w:cs="Arial"/>
          <w:sz w:val="22"/>
          <w:szCs w:val="22"/>
        </w:rPr>
        <w:t>This phrase refers to the social, emotional, and intellectual tactics used by schools to support children with chronic illnesses' learning and well-being</w:t>
      </w:r>
      <w:r w:rsidRPr="5FF0A1E2" w:rsidR="7D09F0F7">
        <w:rPr>
          <w:rFonts w:ascii="Arial" w:hAnsi="Arial" w:eastAsia="Arial" w:cs="Arial"/>
          <w:sz w:val="22"/>
          <w:szCs w:val="22"/>
        </w:rPr>
        <w:t xml:space="preserve"> </w:t>
      </w:r>
      <w:r w:rsidRPr="5FF0A1E2" w:rsidR="7D09F0F7">
        <w:rPr>
          <w:rFonts w:ascii="Arial" w:hAnsi="Arial" w:eastAsia="Arial" w:cs="Arial"/>
          <w:sz w:val="22"/>
          <w:szCs w:val="22"/>
        </w:rPr>
        <w:t>(Herlitz et al., 2025).</w:t>
      </w:r>
    </w:p>
    <w:p w:rsidRPr="00BD2909" w:rsidR="00E244D7" w:rsidP="5FF0A1E2" w:rsidRDefault="00E244D7" w14:paraId="55E045B0" w14:textId="77777777" w14:noSpellErr="1">
      <w:pPr>
        <w:pStyle w:val="paragraph"/>
        <w:spacing w:before="0" w:beforeAutospacing="off" w:after="0" w:afterAutospacing="off" w:line="360" w:lineRule="auto"/>
        <w:textAlignment w:val="baseline"/>
        <w:rPr>
          <w:rFonts w:ascii="Arial" w:hAnsi="Arial" w:eastAsia="Arial" w:cs="Arial"/>
          <w:sz w:val="22"/>
          <w:szCs w:val="22"/>
        </w:rPr>
      </w:pPr>
    </w:p>
    <w:p w:rsidRPr="00BD2909" w:rsidR="00BD2909" w:rsidP="5FF0A1E2" w:rsidRDefault="00BD2909" w14:paraId="1C096159" w14:textId="77777777" w14:noSpellErr="1">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Acronyms and Abbreviations:</w:t>
      </w:r>
      <w:r w:rsidRPr="5FF0A1E2" w:rsidR="031E6882">
        <w:rPr>
          <w:rStyle w:val="eop"/>
          <w:rFonts w:ascii="Arial" w:hAnsi="Arial" w:eastAsia="Arial" w:cs="Arial"/>
          <w:sz w:val="22"/>
          <w:szCs w:val="22"/>
        </w:rPr>
        <w:t> </w:t>
      </w:r>
    </w:p>
    <w:p w:rsidRPr="00070782" w:rsidR="00070782" w:rsidP="5FF0A1E2" w:rsidRDefault="00070782" w14:paraId="35899DB5" w14:textId="77777777" w14:noSpellErr="1">
      <w:pPr>
        <w:pStyle w:val="paragraph"/>
        <w:numPr>
          <w:ilvl w:val="1"/>
          <w:numId w:val="9"/>
        </w:numPr>
        <w:spacing w:after="0" w:line="360" w:lineRule="auto"/>
        <w:textAlignment w:val="baseline"/>
        <w:rPr>
          <w:rStyle w:val="eop"/>
          <w:rFonts w:ascii="Arial" w:hAnsi="Arial" w:eastAsia="Arial" w:cs="Arial"/>
          <w:sz w:val="22"/>
          <w:szCs w:val="22"/>
        </w:rPr>
      </w:pPr>
      <w:r w:rsidRPr="5FF0A1E2" w:rsidR="58CA82D6">
        <w:rPr>
          <w:rStyle w:val="eop"/>
          <w:rFonts w:ascii="Arial" w:hAnsi="Arial" w:eastAsia="Arial" w:cs="Arial"/>
          <w:sz w:val="22"/>
          <w:szCs w:val="22"/>
        </w:rPr>
        <w:t>WHO – World Health Organization</w:t>
      </w:r>
    </w:p>
    <w:p w:rsidR="00070782" w:rsidP="5FF0A1E2" w:rsidRDefault="00070782" w14:paraId="4B2B8C09" w14:textId="77777777" w14:noSpellErr="1">
      <w:pPr>
        <w:pStyle w:val="paragraph"/>
        <w:spacing w:after="0" w:line="360" w:lineRule="auto"/>
        <w:ind w:left="720"/>
        <w:textAlignment w:val="baseline"/>
        <w:rPr>
          <w:rStyle w:val="eop"/>
          <w:rFonts w:ascii="Arial" w:hAnsi="Arial" w:eastAsia="Arial" w:cs="Arial"/>
          <w:sz w:val="22"/>
          <w:szCs w:val="22"/>
        </w:rPr>
      </w:pPr>
    </w:p>
    <w:p w:rsidRPr="00070782" w:rsidR="00070782" w:rsidP="5FF0A1E2" w:rsidRDefault="00070782" w14:paraId="2BCB1BF2" w14:textId="0126DE51" w14:noSpellErr="1">
      <w:pPr>
        <w:pStyle w:val="paragraph"/>
        <w:numPr>
          <w:ilvl w:val="1"/>
          <w:numId w:val="9"/>
        </w:numPr>
        <w:spacing w:after="0" w:line="360" w:lineRule="auto"/>
        <w:textAlignment w:val="baseline"/>
        <w:rPr>
          <w:rStyle w:val="eop"/>
          <w:rFonts w:ascii="Arial" w:hAnsi="Arial" w:eastAsia="Arial" w:cs="Arial"/>
          <w:sz w:val="22"/>
          <w:szCs w:val="22"/>
        </w:rPr>
      </w:pPr>
      <w:r w:rsidRPr="5FF0A1E2" w:rsidR="58CA82D6">
        <w:rPr>
          <w:rStyle w:val="eop"/>
          <w:rFonts w:ascii="Arial" w:hAnsi="Arial" w:eastAsia="Arial" w:cs="Arial"/>
          <w:sz w:val="22"/>
          <w:szCs w:val="22"/>
        </w:rPr>
        <w:t>IEP – Individualized Education Plan: a document outlining tailored educational goals and support for students with special or health-related needs.</w:t>
      </w:r>
    </w:p>
    <w:p w:rsidRPr="00070782" w:rsidR="00070782" w:rsidP="5FF0A1E2" w:rsidRDefault="00070782" w14:paraId="29FBD9DF" w14:textId="77777777" w14:noSpellErr="1">
      <w:pPr>
        <w:pStyle w:val="paragraph"/>
        <w:spacing w:after="0" w:line="360" w:lineRule="auto"/>
        <w:ind w:left="1080"/>
        <w:textAlignment w:val="baseline"/>
        <w:rPr>
          <w:rStyle w:val="eop"/>
          <w:rFonts w:ascii="Arial" w:hAnsi="Arial" w:eastAsia="Arial" w:cs="Arial"/>
          <w:sz w:val="22"/>
          <w:szCs w:val="22"/>
        </w:rPr>
      </w:pPr>
    </w:p>
    <w:p w:rsidRPr="002279D1" w:rsidR="00BD2909" w:rsidP="5FF0A1E2" w:rsidRDefault="00070782" w14:paraId="4BC66D2F" w14:textId="7C5E7E2F" w14:noSpellErr="1">
      <w:pPr>
        <w:pStyle w:val="paragraph"/>
        <w:numPr>
          <w:ilvl w:val="1"/>
          <w:numId w:val="9"/>
        </w:numPr>
        <w:spacing w:before="0" w:beforeAutospacing="off" w:after="0" w:afterAutospacing="off" w:line="360" w:lineRule="auto"/>
        <w:textAlignment w:val="baseline"/>
        <w:rPr>
          <w:rStyle w:val="eop"/>
          <w:rFonts w:ascii="Arial" w:hAnsi="Arial" w:eastAsia="Arial" w:cs="Arial"/>
          <w:sz w:val="22"/>
          <w:szCs w:val="22"/>
        </w:rPr>
      </w:pPr>
      <w:r w:rsidRPr="5FF0A1E2" w:rsidR="58CA82D6">
        <w:rPr>
          <w:rStyle w:val="eop"/>
          <w:rFonts w:ascii="Arial" w:hAnsi="Arial" w:eastAsia="Arial" w:cs="Arial"/>
          <w:sz w:val="22"/>
          <w:szCs w:val="22"/>
        </w:rPr>
        <w:t xml:space="preserve">SEND – Special Educational Needs and Disabilities, a UK term encompassing a range of </w:t>
      </w:r>
      <w:r w:rsidRPr="5FF0A1E2" w:rsidR="58CA82D6">
        <w:rPr>
          <w:rStyle w:val="eop"/>
          <w:rFonts w:ascii="Arial" w:hAnsi="Arial" w:eastAsia="Arial" w:cs="Arial"/>
          <w:sz w:val="22"/>
          <w:szCs w:val="22"/>
        </w:rPr>
        <w:t>additional</w:t>
      </w:r>
      <w:r w:rsidRPr="5FF0A1E2" w:rsidR="58CA82D6">
        <w:rPr>
          <w:rStyle w:val="eop"/>
          <w:rFonts w:ascii="Arial" w:hAnsi="Arial" w:eastAsia="Arial" w:cs="Arial"/>
          <w:sz w:val="22"/>
          <w:szCs w:val="22"/>
        </w:rPr>
        <w:t xml:space="preserve"> learning or health needs.</w:t>
      </w:r>
      <w:r w:rsidRPr="5FF0A1E2" w:rsidR="031E6882">
        <w:rPr>
          <w:rStyle w:val="eop"/>
          <w:rFonts w:ascii="Arial" w:hAnsi="Arial" w:eastAsia="Arial" w:cs="Arial"/>
          <w:sz w:val="22"/>
          <w:szCs w:val="22"/>
        </w:rPr>
        <w:t> </w:t>
      </w:r>
    </w:p>
    <w:p w:rsidRPr="00BD2909" w:rsidR="002279D1" w:rsidP="5FF0A1E2" w:rsidRDefault="002279D1" w14:paraId="548EF5AE" w14:noSpellErr="1" w14:textId="4BAC8E24">
      <w:pPr>
        <w:pStyle w:val="paragraph"/>
        <w:spacing w:before="0" w:beforeAutospacing="0" w:after="0" w:afterAutospacing="0" w:line="360" w:lineRule="auto"/>
        <w:textAlignment w:val="baseline"/>
        <w:rPr>
          <w:rFonts w:ascii="Arial" w:hAnsi="Arial" w:eastAsia="Arial" w:cs="Arial"/>
          <w:sz w:val="22"/>
          <w:szCs w:val="22"/>
        </w:rPr>
      </w:pPr>
    </w:p>
    <w:p w:rsidR="5FF0A1E2" w:rsidP="5FF0A1E2" w:rsidRDefault="5FF0A1E2" w14:paraId="788EC9DD" w14:textId="38A45782">
      <w:pPr>
        <w:pStyle w:val="paragraph"/>
        <w:spacing w:before="0" w:beforeAutospacing="off" w:after="0" w:afterAutospacing="off" w:line="360" w:lineRule="auto"/>
        <w:rPr>
          <w:rStyle w:val="normaltextrun"/>
          <w:rFonts w:ascii="Arial" w:hAnsi="Arial" w:eastAsia="Arial" w:cs="Arial"/>
          <w:color w:val="0F4761"/>
          <w:sz w:val="28"/>
          <w:szCs w:val="28"/>
        </w:rPr>
      </w:pPr>
    </w:p>
    <w:p w:rsidR="5FF0A1E2" w:rsidP="5FF0A1E2" w:rsidRDefault="5FF0A1E2" w14:paraId="370479E5" w14:textId="3EFFCBF7">
      <w:pPr>
        <w:pStyle w:val="paragraph"/>
        <w:spacing w:before="0" w:beforeAutospacing="off" w:after="0" w:afterAutospacing="off" w:line="360" w:lineRule="auto"/>
        <w:rPr>
          <w:rStyle w:val="normaltextrun"/>
          <w:rFonts w:ascii="Arial" w:hAnsi="Arial" w:eastAsia="Arial" w:cs="Arial"/>
          <w:color w:val="0F4761"/>
          <w:sz w:val="28"/>
          <w:szCs w:val="28"/>
        </w:rPr>
      </w:pPr>
    </w:p>
    <w:p w:rsidRPr="00BD2909" w:rsidR="00BD2909" w:rsidP="5FF0A1E2" w:rsidRDefault="00BD2909" w14:paraId="165773A7" w14:textId="106C55FA">
      <w:pPr>
        <w:pStyle w:val="paragraph"/>
        <w:spacing w:before="0" w:beforeAutospacing="off" w:after="0" w:afterAutospacing="off" w:line="360" w:lineRule="auto"/>
        <w:textAlignment w:val="baseline"/>
        <w:rPr>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1.3 Rationale for Research</w:t>
      </w:r>
      <w:r w:rsidRPr="5FF0A1E2" w:rsidR="031E6882">
        <w:rPr>
          <w:rStyle w:val="eop"/>
          <w:rFonts w:ascii="Arial" w:hAnsi="Arial" w:eastAsia="Arial" w:cs="Arial"/>
          <w:color w:val="0F4761"/>
          <w:sz w:val="28"/>
          <w:szCs w:val="28"/>
        </w:rPr>
        <w:t> </w:t>
      </w:r>
    </w:p>
    <w:p w:rsidR="5FF0A1E2" w:rsidP="5FF0A1E2" w:rsidRDefault="5FF0A1E2" w14:paraId="3885BBF6" w14:textId="09D82FEE">
      <w:pPr>
        <w:pStyle w:val="paragraph"/>
        <w:spacing w:before="0" w:beforeAutospacing="off" w:after="0" w:afterAutospacing="off" w:line="360" w:lineRule="auto"/>
        <w:rPr>
          <w:rFonts w:ascii="Arial" w:hAnsi="Arial" w:eastAsia="Arial" w:cs="Arial"/>
          <w:sz w:val="22"/>
          <w:szCs w:val="22"/>
        </w:rPr>
      </w:pPr>
    </w:p>
    <w:p w:rsidR="00BD2909" w:rsidP="5FF0A1E2" w:rsidRDefault="00F02373" w14:paraId="33FC7D66" w14:textId="68A3072B"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79926D12">
        <w:rPr>
          <w:rFonts w:ascii="Arial" w:hAnsi="Arial" w:eastAsia="Arial" w:cs="Arial"/>
          <w:sz w:val="22"/>
          <w:szCs w:val="22"/>
        </w:rPr>
        <w:t>The goal of this study is to investigate how inclusive practices, customised treatments, and improved cooperation between schools, families, and healthcare professionals might help educational systems better support children with chronic health conditions</w:t>
      </w:r>
      <w:r w:rsidRPr="5FF0A1E2" w:rsidR="79926D12">
        <w:rPr>
          <w:rFonts w:ascii="Arial" w:hAnsi="Arial" w:eastAsia="Arial" w:cs="Arial"/>
          <w:sz w:val="22"/>
          <w:szCs w:val="22"/>
        </w:rPr>
        <w:t xml:space="preserve">.  </w:t>
      </w:r>
      <w:r w:rsidRPr="5FF0A1E2" w:rsidR="79926D12">
        <w:rPr>
          <w:rFonts w:ascii="Arial" w:hAnsi="Arial" w:eastAsia="Arial" w:cs="Arial"/>
          <w:sz w:val="22"/>
          <w:szCs w:val="22"/>
        </w:rPr>
        <w:t>Childhood chronic illnesses are becoming more common, placing difficult emotional, social, and educational demands on kids and institutions</w:t>
      </w:r>
      <w:r w:rsidRPr="5FF0A1E2" w:rsidR="4685A464">
        <w:rPr>
          <w:rFonts w:ascii="Arial" w:hAnsi="Arial" w:eastAsia="Arial" w:cs="Arial"/>
          <w:sz w:val="22"/>
          <w:szCs w:val="22"/>
        </w:rPr>
        <w:t xml:space="preserve"> (</w:t>
      </w:r>
      <w:r w:rsidRPr="5FF0A1E2" w:rsidR="4685A464">
        <w:rPr>
          <w:rFonts w:ascii="Arial" w:hAnsi="Arial" w:eastAsia="Arial" w:cs="Arial"/>
          <w:sz w:val="22"/>
          <w:szCs w:val="22"/>
        </w:rPr>
        <w:t>Van der Lee et al., 2017).</w:t>
      </w:r>
      <w:r w:rsidRPr="5FF0A1E2" w:rsidR="4685A464">
        <w:rPr>
          <w:rFonts w:ascii="Arial" w:hAnsi="Arial" w:eastAsia="Arial" w:cs="Arial"/>
          <w:sz w:val="22"/>
          <w:szCs w:val="22"/>
        </w:rPr>
        <w:t xml:space="preserve"> </w:t>
      </w:r>
      <w:r w:rsidRPr="5FF0A1E2" w:rsidR="3A122908">
        <w:rPr>
          <w:rFonts w:ascii="Arial" w:hAnsi="Arial" w:eastAsia="Arial" w:cs="Arial"/>
          <w:sz w:val="22"/>
          <w:szCs w:val="22"/>
        </w:rPr>
        <w:t xml:space="preserve">This topic is of great modern significance since children with chronic diseases </w:t>
      </w:r>
      <w:r w:rsidRPr="5FF0A1E2" w:rsidR="3A122908">
        <w:rPr>
          <w:rFonts w:ascii="Arial" w:hAnsi="Arial" w:eastAsia="Arial" w:cs="Arial"/>
          <w:sz w:val="22"/>
          <w:szCs w:val="22"/>
        </w:rPr>
        <w:t>frequently</w:t>
      </w:r>
      <w:r w:rsidRPr="5FF0A1E2" w:rsidR="3A122908">
        <w:rPr>
          <w:rFonts w:ascii="Arial" w:hAnsi="Arial" w:eastAsia="Arial" w:cs="Arial"/>
          <w:sz w:val="22"/>
          <w:szCs w:val="22"/>
        </w:rPr>
        <w:t xml:space="preserve"> have greater rates of absence, anxiety, exhaustion, and loss of educational continuity</w:t>
      </w:r>
      <w:r w:rsidRPr="5FF0A1E2" w:rsidR="3A122908">
        <w:rPr>
          <w:rFonts w:ascii="Arial" w:hAnsi="Arial" w:eastAsia="Arial" w:cs="Arial"/>
          <w:sz w:val="22"/>
          <w:szCs w:val="22"/>
        </w:rPr>
        <w:t xml:space="preserve"> </w:t>
      </w:r>
      <w:r w:rsidRPr="5FF0A1E2" w:rsidR="6DE81AFA">
        <w:rPr>
          <w:rFonts w:ascii="Arial" w:hAnsi="Arial" w:eastAsia="Arial" w:cs="Arial"/>
          <w:sz w:val="22"/>
          <w:szCs w:val="22"/>
        </w:rPr>
        <w:t>(Coyne et al., 2022).</w:t>
      </w:r>
    </w:p>
    <w:p w:rsidR="007866AA" w:rsidP="5FF0A1E2" w:rsidRDefault="007866AA" w14:paraId="04B6A032" w14:textId="1BE321C8"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3BEB419C">
        <w:rPr>
          <w:rFonts w:ascii="Arial" w:hAnsi="Arial" w:eastAsia="Arial" w:cs="Arial"/>
          <w:sz w:val="22"/>
          <w:szCs w:val="22"/>
        </w:rPr>
        <w:t>There are still large gaps in the literature about how schools can methodically plan for, implement, and assess inclusive support strategies for this group, despite increased awareness</w:t>
      </w:r>
      <w:r w:rsidRPr="5FF0A1E2" w:rsidR="3BEB419C">
        <w:rPr>
          <w:rFonts w:ascii="Arial" w:hAnsi="Arial" w:eastAsia="Arial" w:cs="Arial"/>
          <w:sz w:val="22"/>
          <w:szCs w:val="22"/>
        </w:rPr>
        <w:t xml:space="preserve">.  </w:t>
      </w:r>
      <w:r w:rsidRPr="5FF0A1E2" w:rsidR="3BEB419C">
        <w:rPr>
          <w:rFonts w:ascii="Arial" w:hAnsi="Arial" w:eastAsia="Arial" w:cs="Arial"/>
          <w:sz w:val="22"/>
          <w:szCs w:val="22"/>
        </w:rPr>
        <w:t xml:space="preserve">For instance, reviews show that although children with chronic diseases have lower levels of engagement and academic performance, there is no empirical data </w:t>
      </w:r>
      <w:r w:rsidRPr="5FF0A1E2" w:rsidR="3BEB419C">
        <w:rPr>
          <w:rFonts w:ascii="Arial" w:hAnsi="Arial" w:eastAsia="Arial" w:cs="Arial"/>
          <w:sz w:val="22"/>
          <w:szCs w:val="22"/>
        </w:rPr>
        <w:t>regarding</w:t>
      </w:r>
      <w:r w:rsidRPr="5FF0A1E2" w:rsidR="3BEB419C">
        <w:rPr>
          <w:rFonts w:ascii="Arial" w:hAnsi="Arial" w:eastAsia="Arial" w:cs="Arial"/>
          <w:sz w:val="22"/>
          <w:szCs w:val="22"/>
        </w:rPr>
        <w:t xml:space="preserve"> successful school-based interventions and how these relate to health-education partnership</w:t>
      </w:r>
      <w:r w:rsidRPr="5FF0A1E2" w:rsidR="7FE11F4E">
        <w:rPr>
          <w:rFonts w:ascii="Arial" w:hAnsi="Arial" w:eastAsia="Arial" w:cs="Arial"/>
          <w:sz w:val="22"/>
          <w:szCs w:val="22"/>
        </w:rPr>
        <w:t xml:space="preserve"> </w:t>
      </w:r>
      <w:r w:rsidRPr="5FF0A1E2" w:rsidR="7FE11F4E">
        <w:rPr>
          <w:rFonts w:ascii="Arial" w:hAnsi="Arial" w:eastAsia="Arial" w:cs="Arial"/>
          <w:sz w:val="22"/>
          <w:szCs w:val="22"/>
        </w:rPr>
        <w:t>(</w:t>
      </w:r>
      <w:r w:rsidRPr="5FF0A1E2" w:rsidR="7FE11F4E">
        <w:rPr>
          <w:rFonts w:ascii="Arial" w:hAnsi="Arial" w:eastAsia="Arial" w:cs="Arial"/>
          <w:sz w:val="22"/>
          <w:szCs w:val="22"/>
        </w:rPr>
        <w:t>Nichols et al., 2023)</w:t>
      </w:r>
      <w:r w:rsidRPr="5FF0A1E2" w:rsidR="7FE11F4E">
        <w:rPr>
          <w:rFonts w:ascii="Arial" w:hAnsi="Arial" w:eastAsia="Arial" w:cs="Arial"/>
          <w:sz w:val="22"/>
          <w:szCs w:val="22"/>
        </w:rPr>
        <w:t xml:space="preserve">. </w:t>
      </w:r>
      <w:r w:rsidRPr="5FF0A1E2" w:rsidR="27A46DED">
        <w:rPr>
          <w:rFonts w:ascii="Arial" w:hAnsi="Arial" w:eastAsia="Arial" w:cs="Arial"/>
          <w:sz w:val="22"/>
          <w:szCs w:val="22"/>
        </w:rPr>
        <w:t xml:space="preserve"> </w:t>
      </w:r>
      <w:r w:rsidRPr="5FF0A1E2" w:rsidR="25151161">
        <w:rPr>
          <w:rFonts w:ascii="Arial" w:hAnsi="Arial" w:eastAsia="Arial" w:cs="Arial"/>
          <w:sz w:val="22"/>
          <w:szCs w:val="22"/>
        </w:rPr>
        <w:t>Furthermore, rather than the comprehensive educational experience or long-term achievement in mainstream education, many studies concentrate on health or medical results</w:t>
      </w:r>
      <w:r w:rsidRPr="5FF0A1E2" w:rsidR="25151161">
        <w:rPr>
          <w:rFonts w:ascii="Arial" w:hAnsi="Arial" w:eastAsia="Arial" w:cs="Arial"/>
          <w:sz w:val="22"/>
          <w:szCs w:val="22"/>
        </w:rPr>
        <w:t xml:space="preserve"> </w:t>
      </w:r>
      <w:r w:rsidRPr="5FF0A1E2" w:rsidR="6EE98BAE">
        <w:rPr>
          <w:rFonts w:ascii="Arial" w:hAnsi="Arial" w:eastAsia="Arial" w:cs="Arial"/>
          <w:sz w:val="22"/>
          <w:szCs w:val="22"/>
        </w:rPr>
        <w:t>(Smith &amp; Jones, 2021).</w:t>
      </w:r>
    </w:p>
    <w:p w:rsidR="00B804EE" w:rsidP="5FF0A1E2" w:rsidRDefault="00B804EE" w14:paraId="439E1394" w14:textId="77777777" w14:noSpellErr="1">
      <w:pPr>
        <w:pStyle w:val="paragraph"/>
        <w:spacing w:before="0" w:beforeAutospacing="off" w:after="0" w:afterAutospacing="off" w:line="360" w:lineRule="auto"/>
        <w:textAlignment w:val="baseline"/>
        <w:rPr>
          <w:rFonts w:ascii="Arial" w:hAnsi="Arial" w:eastAsia="Arial" w:cs="Arial"/>
          <w:sz w:val="22"/>
          <w:szCs w:val="22"/>
        </w:rPr>
      </w:pPr>
    </w:p>
    <w:p w:rsidRPr="00BD2909" w:rsidR="00B804EE" w:rsidP="5FF0A1E2" w:rsidRDefault="00447699" w14:paraId="2219E156" w14:textId="36F8851D"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3CA17540">
        <w:rPr>
          <w:rFonts w:ascii="Arial" w:hAnsi="Arial" w:eastAsia="Arial" w:cs="Arial"/>
          <w:sz w:val="22"/>
          <w:szCs w:val="22"/>
        </w:rPr>
        <w:t xml:space="preserve">By examining how health-education integration can inform educational practices and policies and by </w:t>
      </w:r>
      <w:r w:rsidRPr="5FF0A1E2" w:rsidR="3CA17540">
        <w:rPr>
          <w:rFonts w:ascii="Arial" w:hAnsi="Arial" w:eastAsia="Arial" w:cs="Arial"/>
          <w:sz w:val="22"/>
          <w:szCs w:val="22"/>
        </w:rPr>
        <w:t>identifying</w:t>
      </w:r>
      <w:r w:rsidRPr="5FF0A1E2" w:rsidR="3CA17540">
        <w:rPr>
          <w:rFonts w:ascii="Arial" w:hAnsi="Arial" w:eastAsia="Arial" w:cs="Arial"/>
          <w:sz w:val="22"/>
          <w:szCs w:val="22"/>
        </w:rPr>
        <w:t xml:space="preserve"> potential interventions that improve academic involvement and well-being for children with chronic diseases, this dissertation </w:t>
      </w:r>
      <w:r w:rsidRPr="5FF0A1E2" w:rsidR="3CA17540">
        <w:rPr>
          <w:rFonts w:ascii="Arial" w:hAnsi="Arial" w:eastAsia="Arial" w:cs="Arial"/>
          <w:sz w:val="22"/>
          <w:szCs w:val="22"/>
        </w:rPr>
        <w:t>seeks</w:t>
      </w:r>
      <w:r w:rsidRPr="5FF0A1E2" w:rsidR="3CA17540">
        <w:rPr>
          <w:rFonts w:ascii="Arial" w:hAnsi="Arial" w:eastAsia="Arial" w:cs="Arial"/>
          <w:sz w:val="22"/>
          <w:szCs w:val="22"/>
        </w:rPr>
        <w:t xml:space="preserve"> to close these gaps</w:t>
      </w:r>
      <w:r w:rsidRPr="5FF0A1E2" w:rsidR="3CA17540">
        <w:rPr>
          <w:rFonts w:ascii="Arial" w:hAnsi="Arial" w:eastAsia="Arial" w:cs="Arial"/>
          <w:sz w:val="22"/>
          <w:szCs w:val="22"/>
        </w:rPr>
        <w:t xml:space="preserve">.  </w:t>
      </w:r>
      <w:r w:rsidRPr="5FF0A1E2" w:rsidR="3CA17540">
        <w:rPr>
          <w:rFonts w:ascii="Arial" w:hAnsi="Arial" w:eastAsia="Arial" w:cs="Arial"/>
          <w:sz w:val="22"/>
          <w:szCs w:val="22"/>
        </w:rPr>
        <w:t xml:space="preserve">By ensuring that children whose health state poses persistent obstacles are not disadvantaged, our research </w:t>
      </w:r>
      <w:r w:rsidRPr="5FF0A1E2" w:rsidR="3CA17540">
        <w:rPr>
          <w:rFonts w:ascii="Arial" w:hAnsi="Arial" w:eastAsia="Arial" w:cs="Arial"/>
          <w:sz w:val="22"/>
          <w:szCs w:val="22"/>
        </w:rPr>
        <w:t>seeks</w:t>
      </w:r>
      <w:r w:rsidRPr="5FF0A1E2" w:rsidR="3CA17540">
        <w:rPr>
          <w:rFonts w:ascii="Arial" w:hAnsi="Arial" w:eastAsia="Arial" w:cs="Arial"/>
          <w:sz w:val="22"/>
          <w:szCs w:val="22"/>
        </w:rPr>
        <w:t xml:space="preserve"> to contribute to the larger conversation on equity in education.</w:t>
      </w:r>
    </w:p>
    <w:p w:rsidRPr="00BD2909" w:rsidR="00BD2909" w:rsidP="5FF0A1E2" w:rsidRDefault="00BD2909" w14:paraId="75E17D56" w14:textId="77777777" w14:noSpellErr="1">
      <w:pPr>
        <w:pStyle w:val="paragraph"/>
        <w:spacing w:before="0" w:beforeAutospacing="off" w:after="0" w:afterAutospacing="off" w:line="360" w:lineRule="auto"/>
        <w:ind w:left="1080"/>
        <w:textAlignment w:val="baseline"/>
        <w:rPr>
          <w:rFonts w:ascii="Arial" w:hAnsi="Arial" w:eastAsia="Arial" w:cs="Arial"/>
          <w:sz w:val="22"/>
          <w:szCs w:val="22"/>
        </w:rPr>
      </w:pPr>
      <w:r w:rsidRPr="5FF0A1E2" w:rsidR="031E6882">
        <w:rPr>
          <w:rStyle w:val="eop"/>
          <w:rFonts w:ascii="Arial" w:hAnsi="Arial" w:eastAsia="Arial" w:cs="Arial"/>
          <w:sz w:val="22"/>
          <w:szCs w:val="22"/>
        </w:rPr>
        <w:t> </w:t>
      </w:r>
    </w:p>
    <w:p w:rsidR="00BD2909" w:rsidP="5FF0A1E2" w:rsidRDefault="00BD2909" w14:paraId="669241A7" w14:textId="41954A1E">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1.4 Aim and Objectives</w:t>
      </w:r>
      <w:r w:rsidRPr="5FF0A1E2" w:rsidR="031E6882">
        <w:rPr>
          <w:rStyle w:val="eop"/>
          <w:rFonts w:ascii="Arial" w:hAnsi="Arial" w:eastAsia="Arial" w:cs="Arial"/>
          <w:color w:val="0F4761"/>
          <w:sz w:val="28"/>
          <w:szCs w:val="28"/>
        </w:rPr>
        <w:t> </w:t>
      </w:r>
    </w:p>
    <w:p w:rsidRPr="00BD2909" w:rsidR="0000591D" w:rsidP="5FF0A1E2" w:rsidRDefault="0000591D" w14:paraId="41B88E09" w14:textId="77777777" w14:noSpellErr="1">
      <w:pPr>
        <w:pStyle w:val="paragraph"/>
        <w:spacing w:before="0" w:beforeAutospacing="off" w:after="0" w:afterAutospacing="off" w:line="360" w:lineRule="auto"/>
        <w:textAlignment w:val="baseline"/>
        <w:rPr>
          <w:rFonts w:ascii="Arial" w:hAnsi="Arial" w:eastAsia="Arial" w:cs="Arial"/>
          <w:color w:val="0F4761"/>
          <w:sz w:val="22"/>
          <w:szCs w:val="22"/>
        </w:rPr>
      </w:pPr>
    </w:p>
    <w:p w:rsidR="0045571A" w:rsidP="5FF0A1E2" w:rsidRDefault="00B97445" w14:paraId="4218D9DC" w14:textId="470DF0D5" w14:noSpellErr="1">
      <w:pPr>
        <w:pStyle w:val="paragraph"/>
        <w:spacing w:before="0" w:beforeAutospacing="off" w:after="0" w:afterAutospacing="off" w:line="360" w:lineRule="auto"/>
        <w:textAlignment w:val="baseline"/>
        <w:rPr>
          <w:rStyle w:val="eop"/>
          <w:rFonts w:ascii="Arial" w:hAnsi="Arial" w:eastAsia="Arial" w:cs="Arial"/>
          <w:sz w:val="22"/>
          <w:szCs w:val="22"/>
        </w:rPr>
      </w:pPr>
      <w:r w:rsidRPr="5FF0A1E2" w:rsidR="27129D03">
        <w:rPr>
          <w:rStyle w:val="eop"/>
          <w:rFonts w:ascii="Arial" w:hAnsi="Arial" w:eastAsia="Arial" w:cs="Arial"/>
          <w:sz w:val="22"/>
          <w:szCs w:val="22"/>
        </w:rPr>
        <w:t>This dissertation's main goal is to look at how inclusive teaching methods, health-education partnerships, and focused policy implementation might help educational environments support kids with long-term conditions</w:t>
      </w:r>
      <w:r w:rsidRPr="5FF0A1E2" w:rsidR="27129D03">
        <w:rPr>
          <w:rStyle w:val="eop"/>
          <w:rFonts w:ascii="Arial" w:hAnsi="Arial" w:eastAsia="Arial" w:cs="Arial"/>
          <w:sz w:val="22"/>
          <w:szCs w:val="22"/>
        </w:rPr>
        <w:t xml:space="preserve">.  </w:t>
      </w:r>
      <w:r w:rsidRPr="5FF0A1E2" w:rsidR="27129D03">
        <w:rPr>
          <w:rStyle w:val="eop"/>
          <w:rFonts w:ascii="Arial" w:hAnsi="Arial" w:eastAsia="Arial" w:cs="Arial"/>
          <w:sz w:val="22"/>
          <w:szCs w:val="22"/>
        </w:rPr>
        <w:t xml:space="preserve">According to research, kids with long-term medical illnesses </w:t>
      </w:r>
      <w:r w:rsidRPr="5FF0A1E2" w:rsidR="27129D03">
        <w:rPr>
          <w:rStyle w:val="eop"/>
          <w:rFonts w:ascii="Arial" w:hAnsi="Arial" w:eastAsia="Arial" w:cs="Arial"/>
          <w:sz w:val="22"/>
          <w:szCs w:val="22"/>
        </w:rPr>
        <w:t>frequently</w:t>
      </w:r>
      <w:r w:rsidRPr="5FF0A1E2" w:rsidR="27129D03">
        <w:rPr>
          <w:rStyle w:val="eop"/>
          <w:rFonts w:ascii="Arial" w:hAnsi="Arial" w:eastAsia="Arial" w:cs="Arial"/>
          <w:sz w:val="22"/>
          <w:szCs w:val="22"/>
        </w:rPr>
        <w:t xml:space="preserve"> have interrupted schooling, lower academic engagement, and more social isolation</w:t>
      </w:r>
      <w:r w:rsidRPr="5FF0A1E2" w:rsidR="458D8119">
        <w:rPr>
          <w:rFonts w:ascii="Arial" w:hAnsi="Arial" w:eastAsia="Arial" w:cs="Arial"/>
          <w:sz w:val="22"/>
          <w:szCs w:val="22"/>
        </w:rPr>
        <w:t xml:space="preserve"> </w:t>
      </w:r>
      <w:r w:rsidRPr="5FF0A1E2" w:rsidR="458D8119">
        <w:rPr>
          <w:rStyle w:val="eop"/>
          <w:rFonts w:ascii="Arial" w:hAnsi="Arial" w:eastAsia="Arial" w:cs="Arial"/>
          <w:sz w:val="22"/>
          <w:szCs w:val="22"/>
        </w:rPr>
        <w:t>(Lum et al., 2021; Kaffenberger, 2019)</w:t>
      </w:r>
      <w:r w:rsidRPr="5FF0A1E2" w:rsidR="458D8119">
        <w:rPr>
          <w:rStyle w:val="eop"/>
          <w:rFonts w:ascii="Arial" w:hAnsi="Arial" w:eastAsia="Arial" w:cs="Arial"/>
          <w:sz w:val="22"/>
          <w:szCs w:val="22"/>
        </w:rPr>
        <w:t>.</w:t>
      </w:r>
      <w:r w:rsidRPr="5FF0A1E2" w:rsidR="458D8119">
        <w:rPr>
          <w:rStyle w:val="eop"/>
          <w:rFonts w:ascii="Arial" w:hAnsi="Arial" w:eastAsia="Arial" w:cs="Arial"/>
          <w:sz w:val="22"/>
          <w:szCs w:val="22"/>
        </w:rPr>
        <w:t xml:space="preserve">  </w:t>
      </w:r>
      <w:r w:rsidRPr="5FF0A1E2" w:rsidR="47E0687E">
        <w:rPr>
          <w:rStyle w:val="eop"/>
          <w:rFonts w:ascii="Arial" w:hAnsi="Arial" w:eastAsia="Arial" w:cs="Arial"/>
          <w:sz w:val="22"/>
          <w:szCs w:val="22"/>
        </w:rPr>
        <w:t xml:space="preserve">By </w:t>
      </w:r>
      <w:r w:rsidRPr="5FF0A1E2" w:rsidR="47E0687E">
        <w:rPr>
          <w:rStyle w:val="eop"/>
          <w:rFonts w:ascii="Arial" w:hAnsi="Arial" w:eastAsia="Arial" w:cs="Arial"/>
          <w:sz w:val="22"/>
          <w:szCs w:val="22"/>
        </w:rPr>
        <w:t>identifying</w:t>
      </w:r>
      <w:r w:rsidRPr="5FF0A1E2" w:rsidR="47E0687E">
        <w:rPr>
          <w:rStyle w:val="eop"/>
          <w:rFonts w:ascii="Arial" w:hAnsi="Arial" w:eastAsia="Arial" w:cs="Arial"/>
          <w:sz w:val="22"/>
          <w:szCs w:val="22"/>
        </w:rPr>
        <w:t xml:space="preserve"> evidence-based tactics that support both educational access and emotional well-being, this study aims to solve these issues</w:t>
      </w:r>
      <w:r w:rsidRPr="5FF0A1E2" w:rsidR="47E0687E">
        <w:rPr>
          <w:rStyle w:val="eop"/>
          <w:rFonts w:ascii="Arial" w:hAnsi="Arial" w:eastAsia="Arial" w:cs="Arial"/>
          <w:sz w:val="22"/>
          <w:szCs w:val="22"/>
        </w:rPr>
        <w:t xml:space="preserve">.  </w:t>
      </w:r>
      <w:r w:rsidRPr="5FF0A1E2" w:rsidR="47E0687E">
        <w:rPr>
          <w:rStyle w:val="eop"/>
          <w:rFonts w:ascii="Arial" w:hAnsi="Arial" w:eastAsia="Arial" w:cs="Arial"/>
          <w:sz w:val="22"/>
          <w:szCs w:val="22"/>
        </w:rPr>
        <w:t>By doing this, the study advances the global push for fair learning opportunities for all children and the larger conversation on inclusive education</w:t>
      </w:r>
      <w:r w:rsidRPr="5FF0A1E2" w:rsidR="224DF6F3">
        <w:rPr>
          <w:rStyle w:val="eop"/>
          <w:rFonts w:ascii="Arial" w:hAnsi="Arial" w:eastAsia="Arial" w:cs="Arial"/>
          <w:sz w:val="22"/>
          <w:szCs w:val="22"/>
        </w:rPr>
        <w:t xml:space="preserve"> </w:t>
      </w:r>
      <w:r w:rsidRPr="5FF0A1E2" w:rsidR="224DF6F3">
        <w:rPr>
          <w:rStyle w:val="eop"/>
          <w:rFonts w:ascii="Arial" w:hAnsi="Arial" w:eastAsia="Arial" w:cs="Arial"/>
          <w:sz w:val="22"/>
          <w:szCs w:val="22"/>
        </w:rPr>
        <w:t>(Florian, 2015).</w:t>
      </w:r>
    </w:p>
    <w:p w:rsidR="5FF0A1E2" w:rsidP="5FF0A1E2" w:rsidRDefault="5FF0A1E2" w14:paraId="6D04D5D3" w14:textId="715F5495">
      <w:pPr>
        <w:pStyle w:val="paragraph"/>
        <w:spacing w:after="0" w:line="360" w:lineRule="auto"/>
        <w:rPr>
          <w:rStyle w:val="eop"/>
          <w:rFonts w:ascii="Arial" w:hAnsi="Arial" w:eastAsia="Arial" w:cs="Arial"/>
          <w:sz w:val="22"/>
          <w:szCs w:val="22"/>
        </w:rPr>
      </w:pPr>
    </w:p>
    <w:p w:rsidRPr="003A5277" w:rsidR="003A5277" w:rsidP="5FF0A1E2" w:rsidRDefault="003A5277" w14:paraId="2C07378E" w14:textId="675AA059">
      <w:pPr>
        <w:pStyle w:val="paragraph"/>
        <w:spacing w:after="0" w:line="360" w:lineRule="auto"/>
        <w:textAlignment w:val="baseline"/>
        <w:rPr>
          <w:rStyle w:val="eop"/>
          <w:rFonts w:ascii="Arial" w:hAnsi="Arial" w:eastAsia="Arial" w:cs="Arial"/>
          <w:sz w:val="22"/>
          <w:szCs w:val="22"/>
        </w:rPr>
      </w:pPr>
      <w:r w:rsidRPr="5FF0A1E2" w:rsidR="63AA3491">
        <w:rPr>
          <w:rStyle w:val="eop"/>
          <w:rFonts w:ascii="Arial" w:hAnsi="Arial" w:eastAsia="Arial" w:cs="Arial"/>
          <w:sz w:val="22"/>
          <w:szCs w:val="22"/>
        </w:rPr>
        <w:t xml:space="preserve">The following goals have been </w:t>
      </w:r>
      <w:r w:rsidRPr="5FF0A1E2" w:rsidR="63AA3491">
        <w:rPr>
          <w:rStyle w:val="eop"/>
          <w:rFonts w:ascii="Arial" w:hAnsi="Arial" w:eastAsia="Arial" w:cs="Arial"/>
          <w:sz w:val="22"/>
          <w:szCs w:val="22"/>
        </w:rPr>
        <w:t>established</w:t>
      </w:r>
      <w:r w:rsidRPr="5FF0A1E2" w:rsidR="63AA3491">
        <w:rPr>
          <w:rStyle w:val="eop"/>
          <w:rFonts w:ascii="Arial" w:hAnsi="Arial" w:eastAsia="Arial" w:cs="Arial"/>
          <w:sz w:val="22"/>
          <w:szCs w:val="22"/>
        </w:rPr>
        <w:t xml:space="preserve"> </w:t>
      </w:r>
      <w:r w:rsidRPr="5FF0A1E2" w:rsidR="63AA3491">
        <w:rPr>
          <w:rStyle w:val="eop"/>
          <w:rFonts w:ascii="Arial" w:hAnsi="Arial" w:eastAsia="Arial" w:cs="Arial"/>
          <w:sz w:val="22"/>
          <w:szCs w:val="22"/>
        </w:rPr>
        <w:t>in order to</w:t>
      </w:r>
      <w:r w:rsidRPr="5FF0A1E2" w:rsidR="63AA3491">
        <w:rPr>
          <w:rStyle w:val="eop"/>
          <w:rFonts w:ascii="Arial" w:hAnsi="Arial" w:eastAsia="Arial" w:cs="Arial"/>
          <w:sz w:val="22"/>
          <w:szCs w:val="22"/>
        </w:rPr>
        <w:t xml:space="preserve"> fulfil the stated purpose:</w:t>
      </w:r>
    </w:p>
    <w:p w:rsidRPr="003A5277" w:rsidR="003A5277" w:rsidP="5FF0A1E2" w:rsidRDefault="003A5277" w14:paraId="719DC215" w14:textId="7E5850C8">
      <w:pPr>
        <w:pStyle w:val="paragraph"/>
        <w:numPr>
          <w:ilvl w:val="0"/>
          <w:numId w:val="113"/>
        </w:numPr>
        <w:spacing w:after="0" w:line="360" w:lineRule="auto"/>
        <w:textAlignment w:val="baseline"/>
        <w:rPr>
          <w:rStyle w:val="eop"/>
          <w:rFonts w:ascii="Arial" w:hAnsi="Arial" w:eastAsia="Arial" w:cs="Arial"/>
          <w:sz w:val="22"/>
          <w:szCs w:val="22"/>
        </w:rPr>
      </w:pPr>
      <w:r w:rsidRPr="5FF0A1E2" w:rsidR="63AA3491">
        <w:rPr>
          <w:rStyle w:val="eop"/>
          <w:rFonts w:ascii="Arial" w:hAnsi="Arial" w:eastAsia="Arial" w:cs="Arial"/>
          <w:b w:val="1"/>
          <w:bCs w:val="1"/>
          <w:sz w:val="22"/>
          <w:szCs w:val="22"/>
        </w:rPr>
        <w:t>Goal 1:</w:t>
      </w:r>
      <w:r w:rsidRPr="5FF0A1E2" w:rsidR="63AA3491">
        <w:rPr>
          <w:rStyle w:val="eop"/>
          <w:rFonts w:ascii="Arial" w:hAnsi="Arial" w:eastAsia="Arial" w:cs="Arial"/>
          <w:sz w:val="22"/>
          <w:szCs w:val="22"/>
        </w:rPr>
        <w:t xml:space="preserve"> To critically assess the current frameworks for inclusion, educational policies, and support networks for kids with long-term diseases.</w:t>
      </w:r>
    </w:p>
    <w:p w:rsidRPr="003A5277" w:rsidR="003A5277" w:rsidP="5FF0A1E2" w:rsidRDefault="003A5277" w14:paraId="3FE78867" w14:textId="6E1B15A6">
      <w:pPr>
        <w:pStyle w:val="paragraph"/>
        <w:numPr>
          <w:ilvl w:val="0"/>
          <w:numId w:val="113"/>
        </w:numPr>
        <w:spacing w:after="0" w:line="360" w:lineRule="auto"/>
        <w:textAlignment w:val="baseline"/>
        <w:rPr>
          <w:rStyle w:val="eop"/>
          <w:rFonts w:ascii="Arial" w:hAnsi="Arial" w:eastAsia="Arial" w:cs="Arial"/>
          <w:sz w:val="22"/>
          <w:szCs w:val="22"/>
        </w:rPr>
      </w:pPr>
      <w:r w:rsidRPr="5FF0A1E2" w:rsidR="63AA3491">
        <w:rPr>
          <w:rStyle w:val="eop"/>
          <w:rFonts w:ascii="Arial" w:hAnsi="Arial" w:eastAsia="Arial" w:cs="Arial"/>
          <w:b w:val="1"/>
          <w:bCs w:val="1"/>
          <w:sz w:val="22"/>
          <w:szCs w:val="22"/>
        </w:rPr>
        <w:t>Goal 2</w:t>
      </w:r>
      <w:r w:rsidRPr="5FF0A1E2" w:rsidR="63AA3491">
        <w:rPr>
          <w:rStyle w:val="eop"/>
          <w:rFonts w:ascii="Arial" w:hAnsi="Arial" w:eastAsia="Arial" w:cs="Arial"/>
          <w:sz w:val="22"/>
          <w:szCs w:val="22"/>
        </w:rPr>
        <w:t>: To investigate the experiences and viewpoints of educators, parents, and students about the obstacles and enablers to children with chronic conditions attending school.</w:t>
      </w:r>
    </w:p>
    <w:p w:rsidRPr="003A5277" w:rsidR="003A5277" w:rsidP="5FF0A1E2" w:rsidRDefault="003A5277" w14:paraId="3BA71FAD" w14:textId="10A28FD1">
      <w:pPr>
        <w:pStyle w:val="paragraph"/>
        <w:numPr>
          <w:ilvl w:val="0"/>
          <w:numId w:val="113"/>
        </w:numPr>
        <w:spacing w:after="0" w:line="360" w:lineRule="auto"/>
        <w:textAlignment w:val="baseline"/>
        <w:rPr>
          <w:rStyle w:val="eop"/>
          <w:rFonts w:ascii="Arial" w:hAnsi="Arial" w:eastAsia="Arial" w:cs="Arial"/>
          <w:sz w:val="22"/>
          <w:szCs w:val="22"/>
        </w:rPr>
      </w:pPr>
      <w:r w:rsidRPr="5FF0A1E2" w:rsidR="63AA3491">
        <w:rPr>
          <w:rStyle w:val="eop"/>
          <w:rFonts w:ascii="Arial" w:hAnsi="Arial" w:eastAsia="Arial" w:cs="Arial"/>
          <w:b w:val="1"/>
          <w:bCs w:val="1"/>
          <w:sz w:val="22"/>
          <w:szCs w:val="22"/>
        </w:rPr>
        <w:t>Goal 3</w:t>
      </w:r>
      <w:r w:rsidRPr="5FF0A1E2" w:rsidR="63AA3491">
        <w:rPr>
          <w:rStyle w:val="eop"/>
          <w:rFonts w:ascii="Arial" w:hAnsi="Arial" w:eastAsia="Arial" w:cs="Arial"/>
          <w:sz w:val="22"/>
          <w:szCs w:val="22"/>
        </w:rPr>
        <w:t>: Evaluate the success of existing school-based interventions and cross-sector collaborations between educators and health care providers.</w:t>
      </w:r>
    </w:p>
    <w:p w:rsidRPr="003A5277" w:rsidR="003A5277" w:rsidP="5FF0A1E2" w:rsidRDefault="003A5277" w14:paraId="0FF5768E" w14:textId="53A3EA2C">
      <w:pPr>
        <w:pStyle w:val="paragraph"/>
        <w:numPr>
          <w:ilvl w:val="0"/>
          <w:numId w:val="113"/>
        </w:numPr>
        <w:spacing w:after="0" w:line="360" w:lineRule="auto"/>
        <w:textAlignment w:val="baseline"/>
        <w:rPr>
          <w:rStyle w:val="eop"/>
          <w:rFonts w:ascii="Arial" w:hAnsi="Arial" w:eastAsia="Arial" w:cs="Arial"/>
          <w:sz w:val="22"/>
          <w:szCs w:val="22"/>
        </w:rPr>
      </w:pPr>
      <w:r w:rsidRPr="5FF0A1E2" w:rsidR="63AA3491">
        <w:rPr>
          <w:rStyle w:val="eop"/>
          <w:rFonts w:ascii="Arial" w:hAnsi="Arial" w:eastAsia="Arial" w:cs="Arial"/>
          <w:b w:val="1"/>
          <w:bCs w:val="1"/>
          <w:sz w:val="22"/>
          <w:szCs w:val="22"/>
        </w:rPr>
        <w:t>Goal 4:</w:t>
      </w:r>
      <w:r w:rsidRPr="5FF0A1E2" w:rsidR="63AA3491">
        <w:rPr>
          <w:rStyle w:val="eop"/>
          <w:rFonts w:ascii="Arial" w:hAnsi="Arial" w:eastAsia="Arial" w:cs="Arial"/>
          <w:sz w:val="22"/>
          <w:szCs w:val="22"/>
        </w:rPr>
        <w:t xml:space="preserve"> To provide doable suggestions for improving inclusive practices and policy coordination </w:t>
      </w:r>
      <w:r w:rsidRPr="5FF0A1E2" w:rsidR="63AA3491">
        <w:rPr>
          <w:rStyle w:val="eop"/>
          <w:rFonts w:ascii="Arial" w:hAnsi="Arial" w:eastAsia="Arial" w:cs="Arial"/>
          <w:sz w:val="22"/>
          <w:szCs w:val="22"/>
        </w:rPr>
        <w:t>in order to</w:t>
      </w:r>
      <w:r w:rsidRPr="5FF0A1E2" w:rsidR="63AA3491">
        <w:rPr>
          <w:rStyle w:val="eop"/>
          <w:rFonts w:ascii="Arial" w:hAnsi="Arial" w:eastAsia="Arial" w:cs="Arial"/>
          <w:sz w:val="22"/>
          <w:szCs w:val="22"/>
        </w:rPr>
        <w:t xml:space="preserve"> improve the health and educational results for kids with long-term conditions.</w:t>
      </w:r>
    </w:p>
    <w:p w:rsidR="00BD2909" w:rsidP="5FF0A1E2" w:rsidRDefault="003A5277" w14:paraId="7FA3F3C5" w14:textId="46C6D97E">
      <w:pPr>
        <w:pStyle w:val="paragraph"/>
        <w:spacing w:before="0" w:beforeAutospacing="off" w:after="0" w:afterAutospacing="off" w:line="360" w:lineRule="auto"/>
        <w:textAlignment w:val="baseline"/>
        <w:rPr>
          <w:rStyle w:val="eop"/>
          <w:rFonts w:ascii="Arial" w:hAnsi="Arial" w:eastAsia="Arial" w:cs="Arial"/>
          <w:sz w:val="22"/>
          <w:szCs w:val="22"/>
        </w:rPr>
      </w:pPr>
      <w:r w:rsidRPr="5FF0A1E2" w:rsidR="63AA3491">
        <w:rPr>
          <w:rStyle w:val="eop"/>
          <w:rFonts w:ascii="Arial" w:hAnsi="Arial" w:eastAsia="Arial" w:cs="Arial"/>
          <w:sz w:val="22"/>
          <w:szCs w:val="22"/>
        </w:rPr>
        <w:t xml:space="preserve">By achieving these goals, the dissertation hopes to offer fresh perspectives on the developing fields of inclusive education and child health </w:t>
      </w:r>
      <w:r w:rsidRPr="5FF0A1E2" w:rsidR="63AA3491">
        <w:rPr>
          <w:rStyle w:val="eop"/>
          <w:rFonts w:ascii="Arial" w:hAnsi="Arial" w:eastAsia="Arial" w:cs="Arial"/>
          <w:sz w:val="22"/>
          <w:szCs w:val="22"/>
        </w:rPr>
        <w:t>assistance</w:t>
      </w:r>
      <w:r w:rsidRPr="5FF0A1E2" w:rsidR="63AA3491">
        <w:rPr>
          <w:rStyle w:val="eop"/>
          <w:rFonts w:ascii="Arial" w:hAnsi="Arial" w:eastAsia="Arial" w:cs="Arial"/>
          <w:sz w:val="22"/>
          <w:szCs w:val="22"/>
        </w:rPr>
        <w:t>.</w:t>
      </w:r>
      <w:r w:rsidRPr="5FF0A1E2" w:rsidR="031E6882">
        <w:rPr>
          <w:rStyle w:val="eop"/>
          <w:rFonts w:ascii="Arial" w:hAnsi="Arial" w:eastAsia="Arial" w:cs="Arial"/>
          <w:sz w:val="22"/>
          <w:szCs w:val="22"/>
        </w:rPr>
        <w:t> </w:t>
      </w:r>
    </w:p>
    <w:p w:rsidRPr="00BD2909" w:rsidR="0000591D" w:rsidP="5FF0A1E2" w:rsidRDefault="0000591D" w14:paraId="56FB7D43" w14:textId="77777777" w14:noSpellErr="1">
      <w:pPr>
        <w:pStyle w:val="paragraph"/>
        <w:spacing w:before="0" w:beforeAutospacing="off" w:after="0" w:afterAutospacing="off" w:line="360" w:lineRule="auto"/>
        <w:textAlignment w:val="baseline"/>
        <w:rPr>
          <w:rFonts w:ascii="Arial" w:hAnsi="Arial" w:eastAsia="Arial" w:cs="Arial"/>
          <w:sz w:val="22"/>
          <w:szCs w:val="22"/>
        </w:rPr>
      </w:pPr>
    </w:p>
    <w:p w:rsidRPr="00BD2909" w:rsidR="00BD2909" w:rsidP="5FF0A1E2" w:rsidRDefault="00BD2909" w14:paraId="4FCBBEC2" w14:textId="6CC6E166">
      <w:pPr>
        <w:pStyle w:val="paragraph"/>
        <w:spacing w:before="0" w:beforeAutospacing="off" w:after="0" w:afterAutospacing="off" w:line="360" w:lineRule="auto"/>
        <w:textAlignment w:val="baseline"/>
        <w:rPr>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1.5 Conclusion</w:t>
      </w:r>
      <w:r w:rsidRPr="5FF0A1E2" w:rsidR="031E6882">
        <w:rPr>
          <w:rStyle w:val="eop"/>
          <w:rFonts w:ascii="Arial" w:hAnsi="Arial" w:eastAsia="Arial" w:cs="Arial"/>
          <w:color w:val="0F4761"/>
          <w:sz w:val="28"/>
          <w:szCs w:val="28"/>
        </w:rPr>
        <w:t> </w:t>
      </w:r>
    </w:p>
    <w:p w:rsidR="5FF0A1E2" w:rsidP="5FF0A1E2" w:rsidRDefault="5FF0A1E2" w14:paraId="039FF029" w14:textId="4854A99D">
      <w:pPr>
        <w:pStyle w:val="paragraph"/>
        <w:tabs>
          <w:tab w:val="clear" w:leader="none" w:pos="720"/>
          <w:tab w:val="num" w:leader="none" w:pos="0"/>
        </w:tabs>
        <w:spacing w:before="0" w:beforeAutospacing="off" w:after="0" w:afterAutospacing="off" w:line="360" w:lineRule="auto"/>
        <w:ind w:left="0" w:firstLine="0"/>
        <w:rPr>
          <w:rStyle w:val="normaltextrun"/>
          <w:rFonts w:ascii="Arial" w:hAnsi="Arial" w:eastAsia="Arial" w:cs="Arial"/>
          <w:b w:val="1"/>
          <w:bCs w:val="1"/>
          <w:sz w:val="22"/>
          <w:szCs w:val="22"/>
        </w:rPr>
      </w:pPr>
    </w:p>
    <w:p w:rsidR="00BD2909" w:rsidP="5FF0A1E2" w:rsidRDefault="00BD2909" w14:paraId="5661EB6C" w14:textId="77777777" w14:noSpellErr="1">
      <w:pPr>
        <w:pStyle w:val="paragraph"/>
        <w:tabs>
          <w:tab w:val="clear" w:pos="720"/>
          <w:tab w:val="num" w:pos="0"/>
        </w:tabs>
        <w:spacing w:before="0" w:beforeAutospacing="off" w:after="0" w:afterAutospacing="off" w:line="360" w:lineRule="auto"/>
        <w:ind w:left="0" w:firstLine="0"/>
        <w:textAlignment w:val="baseline"/>
        <w:rPr>
          <w:rStyle w:val="eop"/>
          <w:rFonts w:ascii="Arial" w:hAnsi="Arial" w:eastAsia="Arial" w:cs="Arial"/>
          <w:sz w:val="22"/>
          <w:szCs w:val="22"/>
        </w:rPr>
      </w:pPr>
      <w:r w:rsidRPr="5FF0A1E2" w:rsidR="031E6882">
        <w:rPr>
          <w:rStyle w:val="normaltextrun"/>
          <w:rFonts w:ascii="Arial" w:hAnsi="Arial" w:eastAsia="Arial" w:cs="Arial"/>
          <w:b w:val="1"/>
          <w:bCs w:val="1"/>
          <w:sz w:val="22"/>
          <w:szCs w:val="22"/>
        </w:rPr>
        <w:t>Summary of Chapter 1:</w:t>
      </w:r>
      <w:r w:rsidRPr="5FF0A1E2" w:rsidR="031E6882">
        <w:rPr>
          <w:rStyle w:val="eop"/>
          <w:rFonts w:ascii="Arial" w:hAnsi="Arial" w:eastAsia="Arial" w:cs="Arial"/>
          <w:sz w:val="22"/>
          <w:szCs w:val="22"/>
        </w:rPr>
        <w:t> </w:t>
      </w:r>
    </w:p>
    <w:p w:rsidR="008E2B12" w:rsidP="5FF0A1E2" w:rsidRDefault="006673D3" w14:paraId="2D94ECFC" w14:textId="77777777"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01CBD324">
        <w:rPr>
          <w:rFonts w:ascii="Arial" w:hAnsi="Arial" w:eastAsia="Arial" w:cs="Arial"/>
          <w:sz w:val="22"/>
          <w:szCs w:val="22"/>
        </w:rPr>
        <w:t>The topic of this dissertation, which is to support children with chronic illnesses in educational settings, was introduced in Chapter 1</w:t>
      </w:r>
      <w:r w:rsidRPr="5FF0A1E2" w:rsidR="01CBD324">
        <w:rPr>
          <w:rFonts w:ascii="Arial" w:hAnsi="Arial" w:eastAsia="Arial" w:cs="Arial"/>
          <w:sz w:val="22"/>
          <w:szCs w:val="22"/>
        </w:rPr>
        <w:t xml:space="preserve">.  </w:t>
      </w:r>
      <w:r w:rsidRPr="5FF0A1E2" w:rsidR="01CBD324">
        <w:rPr>
          <w:rFonts w:ascii="Arial" w:hAnsi="Arial" w:eastAsia="Arial" w:cs="Arial"/>
          <w:sz w:val="22"/>
          <w:szCs w:val="22"/>
        </w:rPr>
        <w:t>It included a summary of the subject, emphasising the rising incidence of chronic illnesses in school-age children and the related emotional, social, and academic difficulties</w:t>
      </w:r>
      <w:r w:rsidRPr="5FF0A1E2" w:rsidR="01FE1926">
        <w:rPr>
          <w:rFonts w:ascii="Arial" w:hAnsi="Arial" w:eastAsia="Arial" w:cs="Arial"/>
          <w:sz w:val="22"/>
          <w:szCs w:val="22"/>
        </w:rPr>
        <w:t xml:space="preserve"> </w:t>
      </w:r>
      <w:r w:rsidRPr="5FF0A1E2" w:rsidR="01FE1926">
        <w:rPr>
          <w:rFonts w:ascii="Arial" w:hAnsi="Arial" w:eastAsia="Arial" w:cs="Arial"/>
          <w:sz w:val="22"/>
          <w:szCs w:val="22"/>
        </w:rPr>
        <w:t>(Michaud et al., 2018).</w:t>
      </w:r>
      <w:r w:rsidRPr="5FF0A1E2" w:rsidR="01FE1926">
        <w:rPr>
          <w:rFonts w:ascii="Arial" w:hAnsi="Arial" w:eastAsia="Arial" w:cs="Arial"/>
          <w:sz w:val="22"/>
          <w:szCs w:val="22"/>
        </w:rPr>
        <w:t xml:space="preserve"> </w:t>
      </w:r>
      <w:r w:rsidRPr="5FF0A1E2" w:rsidR="6D9B0EE7">
        <w:rPr>
          <w:rFonts w:ascii="Arial" w:hAnsi="Arial" w:eastAsia="Arial" w:cs="Arial"/>
          <w:sz w:val="22"/>
          <w:szCs w:val="22"/>
        </w:rPr>
        <w:t>To guarantee conceptual coherence, important terms like chronic illness, inclusiveness, and educational support were made clearer</w:t>
      </w:r>
      <w:r w:rsidRPr="5FF0A1E2" w:rsidR="6D9B0EE7">
        <w:rPr>
          <w:rFonts w:ascii="Arial" w:hAnsi="Arial" w:eastAsia="Arial" w:cs="Arial"/>
          <w:sz w:val="22"/>
          <w:szCs w:val="22"/>
        </w:rPr>
        <w:t xml:space="preserve">.  </w:t>
      </w:r>
      <w:r w:rsidRPr="5FF0A1E2" w:rsidR="6D9B0EE7">
        <w:rPr>
          <w:rFonts w:ascii="Arial" w:hAnsi="Arial" w:eastAsia="Arial" w:cs="Arial"/>
          <w:sz w:val="22"/>
          <w:szCs w:val="22"/>
        </w:rPr>
        <w:t>The study's justification highlighted the necessity of filling in the gaps in cross-sector cooperation, school-based interventions, and policy implementation</w:t>
      </w:r>
      <w:r w:rsidRPr="5FF0A1E2" w:rsidR="6D9B0EE7">
        <w:rPr>
          <w:rFonts w:ascii="Arial" w:hAnsi="Arial" w:eastAsia="Arial" w:cs="Arial"/>
          <w:sz w:val="22"/>
          <w:szCs w:val="22"/>
        </w:rPr>
        <w:t xml:space="preserve"> </w:t>
      </w:r>
      <w:r w:rsidRPr="5FF0A1E2" w:rsidR="571C5694">
        <w:rPr>
          <w:rFonts w:ascii="Arial" w:hAnsi="Arial" w:eastAsia="Arial" w:cs="Arial"/>
          <w:sz w:val="22"/>
          <w:szCs w:val="22"/>
        </w:rPr>
        <w:t>(Borgi et al., 2020).</w:t>
      </w:r>
      <w:r w:rsidRPr="5FF0A1E2" w:rsidR="3BB0F527">
        <w:rPr>
          <w:rFonts w:ascii="Arial" w:hAnsi="Arial" w:eastAsia="Arial" w:cs="Arial"/>
          <w:sz w:val="22"/>
          <w:szCs w:val="22"/>
        </w:rPr>
        <w:t xml:space="preserve"> </w:t>
      </w:r>
      <w:r w:rsidRPr="5FF0A1E2" w:rsidR="3BB0F527">
        <w:rPr>
          <w:rFonts w:ascii="Arial" w:hAnsi="Arial" w:eastAsia="Arial" w:cs="Arial"/>
          <w:sz w:val="22"/>
          <w:szCs w:val="22"/>
        </w:rPr>
        <w:t xml:space="preserve">The chapter ended with a summary of the four </w:t>
      </w:r>
      <w:r w:rsidRPr="5FF0A1E2" w:rsidR="3BB0F527">
        <w:rPr>
          <w:rFonts w:ascii="Arial" w:hAnsi="Arial" w:eastAsia="Arial" w:cs="Arial"/>
          <w:sz w:val="22"/>
          <w:szCs w:val="22"/>
        </w:rPr>
        <w:t>particular goals</w:t>
      </w:r>
      <w:r w:rsidRPr="5FF0A1E2" w:rsidR="3BB0F527">
        <w:rPr>
          <w:rFonts w:ascii="Arial" w:hAnsi="Arial" w:eastAsia="Arial" w:cs="Arial"/>
          <w:sz w:val="22"/>
          <w:szCs w:val="22"/>
        </w:rPr>
        <w:t xml:space="preserve"> that will direct the study as well as the overall research goal, which is to </w:t>
      </w:r>
      <w:r w:rsidRPr="5FF0A1E2" w:rsidR="3BB0F527">
        <w:rPr>
          <w:rFonts w:ascii="Arial" w:hAnsi="Arial" w:eastAsia="Arial" w:cs="Arial"/>
          <w:sz w:val="22"/>
          <w:szCs w:val="22"/>
        </w:rPr>
        <w:t>look into</w:t>
      </w:r>
      <w:r w:rsidRPr="5FF0A1E2" w:rsidR="3BB0F527">
        <w:rPr>
          <w:rFonts w:ascii="Arial" w:hAnsi="Arial" w:eastAsia="Arial" w:cs="Arial"/>
          <w:sz w:val="22"/>
          <w:szCs w:val="22"/>
        </w:rPr>
        <w:t xml:space="preserve"> practical ways to </w:t>
      </w:r>
      <w:r w:rsidRPr="5FF0A1E2" w:rsidR="3BB0F527">
        <w:rPr>
          <w:rFonts w:ascii="Arial" w:hAnsi="Arial" w:eastAsia="Arial" w:cs="Arial"/>
          <w:sz w:val="22"/>
          <w:szCs w:val="22"/>
        </w:rPr>
        <w:t>assist</w:t>
      </w:r>
      <w:r w:rsidRPr="5FF0A1E2" w:rsidR="3BB0F527">
        <w:rPr>
          <w:rFonts w:ascii="Arial" w:hAnsi="Arial" w:eastAsia="Arial" w:cs="Arial"/>
          <w:sz w:val="22"/>
          <w:szCs w:val="22"/>
        </w:rPr>
        <w:t xml:space="preserve"> these kids.</w:t>
      </w:r>
      <w:r w:rsidRPr="5FF0A1E2" w:rsidR="3BB0F527">
        <w:rPr>
          <w:rFonts w:ascii="Arial" w:hAnsi="Arial" w:eastAsia="Arial" w:cs="Arial"/>
          <w:sz w:val="22"/>
          <w:szCs w:val="22"/>
        </w:rPr>
        <w:t xml:space="preserve"> </w:t>
      </w:r>
    </w:p>
    <w:p w:rsidRPr="00BD2909" w:rsidR="006673D3" w:rsidP="5FF0A1E2" w:rsidRDefault="006673D3" w14:paraId="02E8EE44" w14:textId="78D941B6" w14:noSpellErr="1">
      <w:pPr>
        <w:pStyle w:val="paragraph"/>
        <w:spacing w:before="0" w:beforeAutospacing="off" w:after="0" w:afterAutospacing="off" w:line="360" w:lineRule="auto"/>
        <w:textAlignment w:val="baseline"/>
        <w:rPr>
          <w:rFonts w:ascii="Arial" w:hAnsi="Arial" w:eastAsia="Arial" w:cs="Arial"/>
          <w:sz w:val="22"/>
          <w:szCs w:val="22"/>
        </w:rPr>
      </w:pPr>
    </w:p>
    <w:p w:rsidRPr="00BD2909" w:rsidR="00BD2909" w:rsidP="5FF0A1E2" w:rsidRDefault="00BD2909" w14:paraId="60BC6C87" w14:textId="77777777" w14:noSpellErr="1">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Signposting to Chapter 2:</w:t>
      </w:r>
      <w:r w:rsidRPr="5FF0A1E2" w:rsidR="031E6882">
        <w:rPr>
          <w:rStyle w:val="eop"/>
          <w:rFonts w:ascii="Arial" w:hAnsi="Arial" w:eastAsia="Arial" w:cs="Arial"/>
          <w:sz w:val="22"/>
          <w:szCs w:val="22"/>
        </w:rPr>
        <w:t> </w:t>
      </w:r>
    </w:p>
    <w:p w:rsidR="00730C3C" w:rsidP="5FF0A1E2" w:rsidRDefault="006629D9" w14:paraId="4A886E55" w14:textId="3B086C71" w14:noSpellErr="1">
      <w:pPr>
        <w:spacing w:line="360" w:lineRule="auto"/>
        <w:rPr>
          <w:rFonts w:ascii="Arial" w:hAnsi="Arial" w:eastAsia="Arial" w:cs="Arial"/>
          <w:sz w:val="22"/>
          <w:szCs w:val="22"/>
        </w:rPr>
      </w:pPr>
      <w:r w:rsidRPr="5FF0A1E2" w:rsidR="3894912C">
        <w:rPr>
          <w:rFonts w:ascii="Arial" w:hAnsi="Arial" w:eastAsia="Arial" w:cs="Arial"/>
          <w:sz w:val="22"/>
          <w:szCs w:val="22"/>
        </w:rPr>
        <w:t>By examining the body of research on chronic illness in educational settings, Chapter 2 will expand on this basis</w:t>
      </w:r>
      <w:r w:rsidRPr="5FF0A1E2" w:rsidR="3894912C">
        <w:rPr>
          <w:rFonts w:ascii="Arial" w:hAnsi="Arial" w:eastAsia="Arial" w:cs="Arial"/>
          <w:sz w:val="22"/>
          <w:szCs w:val="22"/>
        </w:rPr>
        <w:t xml:space="preserve">.  </w:t>
      </w:r>
      <w:r w:rsidRPr="5FF0A1E2" w:rsidR="3894912C">
        <w:rPr>
          <w:rFonts w:ascii="Arial" w:hAnsi="Arial" w:eastAsia="Arial" w:cs="Arial"/>
          <w:sz w:val="22"/>
          <w:szCs w:val="22"/>
        </w:rPr>
        <w:t>In order to</w:t>
      </w:r>
      <w:r w:rsidRPr="5FF0A1E2" w:rsidR="3894912C">
        <w:rPr>
          <w:rFonts w:ascii="Arial" w:hAnsi="Arial" w:eastAsia="Arial" w:cs="Arial"/>
          <w:sz w:val="22"/>
          <w:szCs w:val="22"/>
        </w:rPr>
        <w:t xml:space="preserve"> discover best practices and point out areas that need more research, it will critically examine theoretical frameworks, policy recommendations, and empirical studies. This will set the stage for the research process.</w:t>
      </w:r>
    </w:p>
    <w:p w:rsidR="5FF0A1E2" w:rsidP="5FF0A1E2" w:rsidRDefault="5FF0A1E2" w14:paraId="2A45B8BB" w14:textId="0FB8AAA7">
      <w:pPr>
        <w:pStyle w:val="Heading1"/>
        <w:spacing w:line="360" w:lineRule="auto"/>
        <w:ind w:left="0"/>
        <w:rPr>
          <w:rFonts w:ascii="Arial" w:hAnsi="Arial" w:eastAsia="Arial" w:cs="Arial"/>
          <w:sz w:val="22"/>
          <w:szCs w:val="22"/>
        </w:rPr>
      </w:pPr>
    </w:p>
    <w:p w:rsidRPr="000D0641" w:rsidR="000D0641" w:rsidP="5FF0A1E2" w:rsidRDefault="000D0641" w14:paraId="33D4B98F" w14:textId="3FC96984">
      <w:pPr>
        <w:pStyle w:val="Heading1"/>
        <w:spacing w:line="360" w:lineRule="auto"/>
        <w:ind w:left="0"/>
        <w:rPr>
          <w:rFonts w:ascii="Arial" w:hAnsi="Arial" w:eastAsia="Arial" w:cs="Arial"/>
          <w:sz w:val="32"/>
          <w:szCs w:val="32"/>
        </w:rPr>
      </w:pPr>
      <w:bookmarkStart w:name="_Toc1122146478" w:id="1685582876"/>
      <w:r w:rsidRPr="5FF0A1E2" w:rsidR="2E1197F7">
        <w:rPr>
          <w:rFonts w:ascii="Arial" w:hAnsi="Arial" w:eastAsia="Arial" w:cs="Arial"/>
          <w:sz w:val="32"/>
          <w:szCs w:val="32"/>
        </w:rPr>
        <w:t xml:space="preserve">CHAPTER 2 – </w:t>
      </w:r>
      <w:r w:rsidRPr="5FF0A1E2" w:rsidR="031E6882">
        <w:rPr>
          <w:rFonts w:ascii="Arial" w:hAnsi="Arial" w:eastAsia="Arial" w:cs="Arial"/>
          <w:sz w:val="32"/>
          <w:szCs w:val="32"/>
        </w:rPr>
        <w:t xml:space="preserve">Background </w:t>
      </w:r>
      <w:r w:rsidRPr="5FF0A1E2" w:rsidR="36CD8F21">
        <w:rPr>
          <w:rFonts w:ascii="Arial" w:hAnsi="Arial" w:eastAsia="Arial" w:cs="Arial"/>
          <w:sz w:val="32"/>
          <w:szCs w:val="32"/>
        </w:rPr>
        <w:t xml:space="preserve">Information and </w:t>
      </w:r>
      <w:r w:rsidRPr="5FF0A1E2" w:rsidR="031E6882">
        <w:rPr>
          <w:rFonts w:ascii="Arial" w:hAnsi="Arial" w:eastAsia="Arial" w:cs="Arial"/>
          <w:sz w:val="32"/>
          <w:szCs w:val="32"/>
        </w:rPr>
        <w:t>Analysis</w:t>
      </w:r>
      <w:bookmarkEnd w:id="1685582876"/>
      <w:r w:rsidRPr="5FF0A1E2" w:rsidR="2E1197F7">
        <w:rPr>
          <w:rFonts w:ascii="Arial" w:hAnsi="Arial" w:eastAsia="Arial" w:cs="Arial"/>
          <w:sz w:val="32"/>
          <w:szCs w:val="32"/>
        </w:rPr>
        <w:t xml:space="preserve"> </w:t>
      </w:r>
    </w:p>
    <w:p w:rsidR="00BD2909" w:rsidP="5FF0A1E2" w:rsidRDefault="00BD2909" w14:paraId="6BA7DF87" w14:textId="77777777" w14:noSpellErr="1">
      <w:pPr>
        <w:pStyle w:val="paragraph"/>
        <w:spacing w:before="0" w:beforeAutospacing="off" w:after="0" w:afterAutospacing="off" w:line="360" w:lineRule="auto"/>
        <w:textAlignment w:val="baseline"/>
        <w:rPr>
          <w:rFonts w:ascii="Arial" w:hAnsi="Arial" w:eastAsia="Arial" w:cs="Arial"/>
          <w:color w:val="0F4761"/>
          <w:sz w:val="22"/>
          <w:szCs w:val="22"/>
        </w:rPr>
      </w:pPr>
      <w:r w:rsidRPr="5FF0A1E2" w:rsidR="031E6882">
        <w:rPr>
          <w:rStyle w:val="eop"/>
          <w:rFonts w:ascii="Arial" w:hAnsi="Arial" w:eastAsia="Arial" w:cs="Arial"/>
          <w:color w:val="0F4761"/>
          <w:sz w:val="22"/>
          <w:szCs w:val="22"/>
        </w:rPr>
        <w:t> </w:t>
      </w:r>
    </w:p>
    <w:p w:rsidRPr="00F44833" w:rsidR="00BD2909" w:rsidP="5FF0A1E2" w:rsidRDefault="00BD2909" w14:paraId="223734F5" w14:textId="20584EB2">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2.1 Introduction</w:t>
      </w:r>
    </w:p>
    <w:p w:rsidR="5FF0A1E2" w:rsidP="5FF0A1E2" w:rsidRDefault="5FF0A1E2" w14:paraId="01716870" w14:textId="552A8EA2">
      <w:pPr>
        <w:pStyle w:val="paragraph"/>
        <w:spacing w:before="0" w:beforeAutospacing="off" w:after="0" w:afterAutospacing="off" w:line="360" w:lineRule="auto"/>
        <w:rPr>
          <w:rStyle w:val="eop"/>
          <w:rFonts w:ascii="Arial" w:hAnsi="Arial" w:eastAsia="Arial" w:cs="Arial"/>
          <w:sz w:val="22"/>
          <w:szCs w:val="22"/>
        </w:rPr>
      </w:pPr>
    </w:p>
    <w:p w:rsidR="001C7C1F" w:rsidP="5FF0A1E2" w:rsidRDefault="00BD2909" w14:paraId="3C5ADB6A" w14:textId="1602BDA7">
      <w:pPr>
        <w:pStyle w:val="paragraph"/>
        <w:spacing w:before="0" w:beforeAutospacing="off" w:after="0" w:afterAutospacing="off" w:line="360" w:lineRule="auto"/>
        <w:textAlignment w:val="baseline"/>
        <w:rPr>
          <w:rStyle w:val="eop"/>
          <w:rFonts w:ascii="Arial" w:hAnsi="Arial" w:eastAsia="Arial" w:cs="Arial"/>
          <w:sz w:val="22"/>
          <w:szCs w:val="22"/>
        </w:rPr>
      </w:pPr>
      <w:r w:rsidRPr="5FF0A1E2" w:rsidR="41EE8641">
        <w:rPr>
          <w:rStyle w:val="eop"/>
          <w:rFonts w:ascii="Arial" w:hAnsi="Arial" w:eastAsia="Arial" w:cs="Arial"/>
          <w:sz w:val="22"/>
          <w:szCs w:val="22"/>
        </w:rPr>
        <w:t>This chapter's goal is to give a thorough history and contextual study of children with chronic illnesses' educational experiences</w:t>
      </w:r>
      <w:r w:rsidRPr="5FF0A1E2" w:rsidR="41EE8641">
        <w:rPr>
          <w:rStyle w:val="eop"/>
          <w:rFonts w:ascii="Arial" w:hAnsi="Arial" w:eastAsia="Arial" w:cs="Arial"/>
          <w:sz w:val="22"/>
          <w:szCs w:val="22"/>
        </w:rPr>
        <w:t xml:space="preserve">.  </w:t>
      </w:r>
      <w:r w:rsidRPr="5FF0A1E2" w:rsidR="41EE8641">
        <w:rPr>
          <w:rStyle w:val="eop"/>
          <w:rFonts w:ascii="Arial" w:hAnsi="Arial" w:eastAsia="Arial" w:cs="Arial"/>
          <w:sz w:val="22"/>
          <w:szCs w:val="22"/>
        </w:rPr>
        <w:t xml:space="preserve">By examining historical advancements, theoretical frameworks, and current educational practices that affect the inclusion and </w:t>
      </w:r>
      <w:r w:rsidRPr="5FF0A1E2" w:rsidR="41EE8641">
        <w:rPr>
          <w:rStyle w:val="eop"/>
          <w:rFonts w:ascii="Arial" w:hAnsi="Arial" w:eastAsia="Arial" w:cs="Arial"/>
          <w:sz w:val="22"/>
          <w:szCs w:val="22"/>
        </w:rPr>
        <w:t>assistance</w:t>
      </w:r>
      <w:r w:rsidRPr="5FF0A1E2" w:rsidR="41EE8641">
        <w:rPr>
          <w:rStyle w:val="eop"/>
          <w:rFonts w:ascii="Arial" w:hAnsi="Arial" w:eastAsia="Arial" w:cs="Arial"/>
          <w:sz w:val="22"/>
          <w:szCs w:val="22"/>
        </w:rPr>
        <w:t xml:space="preserve"> of students with long-term health concerns, this chapter </w:t>
      </w:r>
      <w:r w:rsidRPr="5FF0A1E2" w:rsidR="41EE8641">
        <w:rPr>
          <w:rStyle w:val="eop"/>
          <w:rFonts w:ascii="Arial" w:hAnsi="Arial" w:eastAsia="Arial" w:cs="Arial"/>
          <w:sz w:val="22"/>
          <w:szCs w:val="22"/>
        </w:rPr>
        <w:t>seeks</w:t>
      </w:r>
      <w:r w:rsidRPr="5FF0A1E2" w:rsidR="41EE8641">
        <w:rPr>
          <w:rStyle w:val="eop"/>
          <w:rFonts w:ascii="Arial" w:hAnsi="Arial" w:eastAsia="Arial" w:cs="Arial"/>
          <w:sz w:val="22"/>
          <w:szCs w:val="22"/>
        </w:rPr>
        <w:t xml:space="preserve"> to lay the groundwork for the dissertation</w:t>
      </w:r>
      <w:r w:rsidRPr="5FF0A1E2" w:rsidR="41EE8641">
        <w:rPr>
          <w:rStyle w:val="eop"/>
          <w:rFonts w:ascii="Arial" w:hAnsi="Arial" w:eastAsia="Arial" w:cs="Arial"/>
          <w:sz w:val="22"/>
          <w:szCs w:val="22"/>
        </w:rPr>
        <w:t xml:space="preserve">.  </w:t>
      </w:r>
      <w:r w:rsidRPr="5FF0A1E2" w:rsidR="41EE8641">
        <w:rPr>
          <w:rStyle w:val="eop"/>
          <w:rFonts w:ascii="Arial" w:hAnsi="Arial" w:eastAsia="Arial" w:cs="Arial"/>
          <w:sz w:val="22"/>
          <w:szCs w:val="22"/>
        </w:rPr>
        <w:t xml:space="preserve">To place the research within larger educational, societal, and health-related contexts, it is crucial to </w:t>
      </w:r>
      <w:r w:rsidRPr="5FF0A1E2" w:rsidR="41EE8641">
        <w:rPr>
          <w:rStyle w:val="eop"/>
          <w:rFonts w:ascii="Arial" w:hAnsi="Arial" w:eastAsia="Arial" w:cs="Arial"/>
          <w:sz w:val="22"/>
          <w:szCs w:val="22"/>
        </w:rPr>
        <w:t>comprehend</w:t>
      </w:r>
      <w:r w:rsidRPr="5FF0A1E2" w:rsidR="41EE8641">
        <w:rPr>
          <w:rStyle w:val="eop"/>
          <w:rFonts w:ascii="Arial" w:hAnsi="Arial" w:eastAsia="Arial" w:cs="Arial"/>
          <w:sz w:val="22"/>
          <w:szCs w:val="22"/>
        </w:rPr>
        <w:t xml:space="preserve"> these components</w:t>
      </w:r>
      <w:r w:rsidRPr="5FF0A1E2" w:rsidR="41EE8641">
        <w:rPr>
          <w:rStyle w:val="eop"/>
          <w:rFonts w:ascii="Arial" w:hAnsi="Arial" w:eastAsia="Arial" w:cs="Arial"/>
          <w:sz w:val="22"/>
          <w:szCs w:val="22"/>
        </w:rPr>
        <w:t xml:space="preserve"> </w:t>
      </w:r>
      <w:r w:rsidRPr="5FF0A1E2" w:rsidR="3DB62CAC">
        <w:rPr>
          <w:rStyle w:val="eop"/>
          <w:rFonts w:ascii="Arial" w:hAnsi="Arial" w:eastAsia="Arial" w:cs="Arial"/>
          <w:sz w:val="22"/>
          <w:szCs w:val="22"/>
        </w:rPr>
        <w:t>(</w:t>
      </w:r>
      <w:r w:rsidRPr="5FF0A1E2" w:rsidR="3DB62CAC">
        <w:rPr>
          <w:rStyle w:val="eop"/>
          <w:rFonts w:ascii="Arial" w:hAnsi="Arial" w:eastAsia="Arial" w:cs="Arial"/>
          <w:sz w:val="22"/>
          <w:szCs w:val="22"/>
        </w:rPr>
        <w:t>Pfefferbaum</w:t>
      </w:r>
      <w:r w:rsidRPr="5FF0A1E2" w:rsidR="3DB62CAC">
        <w:rPr>
          <w:rStyle w:val="eop"/>
          <w:rFonts w:ascii="Arial" w:hAnsi="Arial" w:eastAsia="Arial" w:cs="Arial"/>
          <w:sz w:val="22"/>
          <w:szCs w:val="22"/>
        </w:rPr>
        <w:t xml:space="preserve"> et al., 2019).</w:t>
      </w:r>
    </w:p>
    <w:p w:rsidR="00312E58" w:rsidP="5FF0A1E2" w:rsidRDefault="00312E58" w14:paraId="67C0D842" w14:textId="77777777" w14:noSpellErr="1">
      <w:pPr>
        <w:pStyle w:val="paragraph"/>
        <w:spacing w:before="0" w:beforeAutospacing="off" w:after="0" w:afterAutospacing="off" w:line="360" w:lineRule="auto"/>
        <w:textAlignment w:val="baseline"/>
        <w:rPr>
          <w:rStyle w:val="eop"/>
          <w:rFonts w:ascii="Arial" w:hAnsi="Arial" w:eastAsia="Arial" w:cs="Arial"/>
          <w:sz w:val="22"/>
          <w:szCs w:val="22"/>
        </w:rPr>
      </w:pPr>
    </w:p>
    <w:p w:rsidR="00BD2909" w:rsidP="5FF0A1E2" w:rsidRDefault="00BD2909" w14:paraId="1ADF7C27" w14:textId="51C80DD7">
      <w:pPr>
        <w:pStyle w:val="paragraph"/>
        <w:spacing w:before="0" w:beforeAutospacing="off" w:after="0" w:afterAutospacing="off" w:line="360" w:lineRule="auto"/>
        <w:textAlignment w:val="baseline"/>
        <w:rPr>
          <w:rStyle w:val="eop"/>
          <w:rFonts w:ascii="Arial" w:hAnsi="Arial" w:eastAsia="Arial" w:cs="Arial"/>
          <w:sz w:val="22"/>
          <w:szCs w:val="22"/>
        </w:rPr>
      </w:pPr>
      <w:r w:rsidRPr="5FF0A1E2" w:rsidR="27148E62">
        <w:rPr>
          <w:rStyle w:val="eop"/>
          <w:rFonts w:ascii="Arial" w:hAnsi="Arial" w:eastAsia="Arial" w:cs="Arial"/>
          <w:sz w:val="22"/>
          <w:szCs w:val="22"/>
        </w:rPr>
        <w:t>This chapter will look at how schools have traditionally dealt with students who have chronic diseases, from segregated healthcare-focused education to the present focus on inclusive education</w:t>
      </w:r>
      <w:r w:rsidRPr="5FF0A1E2" w:rsidR="6E985F75">
        <w:rPr>
          <w:rFonts w:ascii="Arial" w:hAnsi="Arial" w:eastAsia="Arial" w:cs="Arial"/>
          <w:sz w:val="22"/>
          <w:szCs w:val="22"/>
        </w:rPr>
        <w:t xml:space="preserve"> </w:t>
      </w:r>
      <w:r w:rsidRPr="5FF0A1E2" w:rsidR="6E985F75">
        <w:rPr>
          <w:rStyle w:val="eop"/>
          <w:rFonts w:ascii="Arial" w:hAnsi="Arial" w:eastAsia="Arial" w:cs="Arial"/>
          <w:sz w:val="22"/>
          <w:szCs w:val="22"/>
        </w:rPr>
        <w:t>(Lomax et al., 2020).</w:t>
      </w:r>
      <w:r w:rsidRPr="5FF0A1E2" w:rsidR="50F7A3AD">
        <w:rPr>
          <w:rStyle w:val="eop"/>
          <w:rFonts w:ascii="Arial" w:hAnsi="Arial" w:eastAsia="Arial" w:cs="Arial"/>
          <w:sz w:val="22"/>
          <w:szCs w:val="22"/>
        </w:rPr>
        <w:t xml:space="preserve"> </w:t>
      </w:r>
      <w:r w:rsidRPr="5FF0A1E2" w:rsidR="50F7A3AD">
        <w:rPr>
          <w:rStyle w:val="eop"/>
          <w:rFonts w:ascii="Arial" w:hAnsi="Arial" w:eastAsia="Arial" w:cs="Arial"/>
          <w:sz w:val="22"/>
          <w:szCs w:val="22"/>
        </w:rPr>
        <w:t>It will also examine pertinent theories of school involvement, child development, and inclusion, offering a conceptual foundation for this research</w:t>
      </w:r>
      <w:r w:rsidRPr="5FF0A1E2" w:rsidR="50F7A3AD">
        <w:rPr>
          <w:rStyle w:val="eop"/>
          <w:rFonts w:ascii="Arial" w:hAnsi="Arial" w:eastAsia="Arial" w:cs="Arial"/>
          <w:sz w:val="22"/>
          <w:szCs w:val="22"/>
        </w:rPr>
        <w:t xml:space="preserve">.  </w:t>
      </w:r>
      <w:r w:rsidRPr="5FF0A1E2" w:rsidR="50F7A3AD">
        <w:rPr>
          <w:rStyle w:val="eop"/>
          <w:rFonts w:ascii="Arial" w:hAnsi="Arial" w:eastAsia="Arial" w:cs="Arial"/>
          <w:sz w:val="22"/>
          <w:szCs w:val="22"/>
        </w:rPr>
        <w:t xml:space="preserve">This chapter </w:t>
      </w:r>
      <w:r w:rsidRPr="5FF0A1E2" w:rsidR="50F7A3AD">
        <w:rPr>
          <w:rStyle w:val="eop"/>
          <w:rFonts w:ascii="Arial" w:hAnsi="Arial" w:eastAsia="Arial" w:cs="Arial"/>
          <w:sz w:val="22"/>
          <w:szCs w:val="22"/>
        </w:rPr>
        <w:t>establishes</w:t>
      </w:r>
      <w:r w:rsidRPr="5FF0A1E2" w:rsidR="50F7A3AD">
        <w:rPr>
          <w:rStyle w:val="eop"/>
          <w:rFonts w:ascii="Arial" w:hAnsi="Arial" w:eastAsia="Arial" w:cs="Arial"/>
          <w:sz w:val="22"/>
          <w:szCs w:val="22"/>
        </w:rPr>
        <w:t xml:space="preserve"> the foundation for the next critical analysis of the literature in connection to the study aim and </w:t>
      </w:r>
      <w:r w:rsidRPr="5FF0A1E2" w:rsidR="50F7A3AD">
        <w:rPr>
          <w:rStyle w:val="eop"/>
          <w:rFonts w:ascii="Arial" w:hAnsi="Arial" w:eastAsia="Arial" w:cs="Arial"/>
          <w:sz w:val="22"/>
          <w:szCs w:val="22"/>
        </w:rPr>
        <w:t>objectives</w:t>
      </w:r>
      <w:r w:rsidRPr="5FF0A1E2" w:rsidR="50F7A3AD">
        <w:rPr>
          <w:rStyle w:val="eop"/>
          <w:rFonts w:ascii="Arial" w:hAnsi="Arial" w:eastAsia="Arial" w:cs="Arial"/>
          <w:sz w:val="22"/>
          <w:szCs w:val="22"/>
        </w:rPr>
        <w:t xml:space="preserve"> by examining historical, policy, and theoretical viewpoints.</w:t>
      </w:r>
      <w:r w:rsidRPr="5FF0A1E2" w:rsidR="27148E62">
        <w:rPr>
          <w:rStyle w:val="eop"/>
          <w:rFonts w:ascii="Arial" w:hAnsi="Arial" w:eastAsia="Arial" w:cs="Arial"/>
          <w:sz w:val="22"/>
          <w:szCs w:val="22"/>
        </w:rPr>
        <w:t xml:space="preserve"> </w:t>
      </w:r>
    </w:p>
    <w:p w:rsidRPr="00F44833" w:rsidR="00CB7F87" w:rsidP="5FF0A1E2" w:rsidRDefault="00CB7F87" w14:paraId="3B386211" w14:textId="77777777" w14:noSpellErr="1">
      <w:pPr>
        <w:pStyle w:val="paragraph"/>
        <w:spacing w:before="0" w:beforeAutospacing="off" w:after="0" w:afterAutospacing="off" w:line="360" w:lineRule="auto"/>
        <w:textAlignment w:val="baseline"/>
        <w:rPr>
          <w:rFonts w:ascii="Arial" w:hAnsi="Arial" w:eastAsia="Arial" w:cs="Arial"/>
          <w:sz w:val="22"/>
          <w:szCs w:val="22"/>
        </w:rPr>
      </w:pPr>
    </w:p>
    <w:p w:rsidRPr="00F44833" w:rsidR="00BD2909" w:rsidP="5FF0A1E2" w:rsidRDefault="00BD2909" w14:paraId="0AAAB744" w14:textId="4CCF5086">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2.2 Historical Background</w:t>
      </w:r>
    </w:p>
    <w:p w:rsidR="00226F18" w:rsidP="5FF0A1E2" w:rsidRDefault="00226F18" w14:paraId="636DB2EA" w14:textId="77777777" w14:noSpellErr="1">
      <w:pPr>
        <w:pStyle w:val="paragraph"/>
        <w:spacing w:before="0" w:beforeAutospacing="off" w:after="0" w:afterAutospacing="off" w:line="360" w:lineRule="auto"/>
        <w:textAlignment w:val="baseline"/>
        <w:rPr>
          <w:rStyle w:val="normaltextrun"/>
          <w:rFonts w:ascii="Arial" w:hAnsi="Arial" w:eastAsia="Arial" w:cs="Arial"/>
          <w:b w:val="1"/>
          <w:bCs w:val="1"/>
          <w:sz w:val="22"/>
          <w:szCs w:val="22"/>
        </w:rPr>
      </w:pPr>
    </w:p>
    <w:p w:rsidR="00D559DE" w:rsidP="5FF0A1E2" w:rsidRDefault="005A7903" w14:paraId="62DC20C3" w14:textId="77777777" w14:noSpellErr="1">
      <w:pPr>
        <w:pStyle w:val="paragraph"/>
        <w:spacing w:before="0" w:beforeAutospacing="off" w:after="0" w:afterAutospacing="off" w:line="360" w:lineRule="auto"/>
        <w:textAlignment w:val="baseline"/>
        <w:rPr>
          <w:rStyle w:val="normaltextrun"/>
          <w:rFonts w:ascii="Arial" w:hAnsi="Arial" w:eastAsia="Arial" w:cs="Arial"/>
          <w:sz w:val="22"/>
          <w:szCs w:val="22"/>
        </w:rPr>
      </w:pPr>
      <w:r w:rsidRPr="5FF0A1E2" w:rsidR="64B0050F">
        <w:rPr>
          <w:rStyle w:val="normaltextrun"/>
          <w:rFonts w:ascii="Arial" w:hAnsi="Arial" w:eastAsia="Arial" w:cs="Arial"/>
          <w:sz w:val="22"/>
          <w:szCs w:val="22"/>
        </w:rPr>
        <w:t>Over the past century, there has been a significant evolution in the participation of children with chronic illnesses in education</w:t>
      </w:r>
      <w:r w:rsidRPr="5FF0A1E2" w:rsidR="64B0050F">
        <w:rPr>
          <w:rStyle w:val="normaltextrun"/>
          <w:rFonts w:ascii="Arial" w:hAnsi="Arial" w:eastAsia="Arial" w:cs="Arial"/>
          <w:sz w:val="22"/>
          <w:szCs w:val="22"/>
        </w:rPr>
        <w:t xml:space="preserve">.  </w:t>
      </w:r>
      <w:r w:rsidRPr="5FF0A1E2" w:rsidR="64B0050F">
        <w:rPr>
          <w:rStyle w:val="normaltextrun"/>
          <w:rFonts w:ascii="Arial" w:hAnsi="Arial" w:eastAsia="Arial" w:cs="Arial"/>
          <w:sz w:val="22"/>
          <w:szCs w:val="22"/>
        </w:rPr>
        <w:t xml:space="preserve">At first, children with chronic illnesses were </w:t>
      </w:r>
      <w:r w:rsidRPr="5FF0A1E2" w:rsidR="64B0050F">
        <w:rPr>
          <w:rStyle w:val="normaltextrun"/>
          <w:rFonts w:ascii="Arial" w:hAnsi="Arial" w:eastAsia="Arial" w:cs="Arial"/>
          <w:sz w:val="22"/>
          <w:szCs w:val="22"/>
        </w:rPr>
        <w:t>frequently</w:t>
      </w:r>
      <w:r w:rsidRPr="5FF0A1E2" w:rsidR="64B0050F">
        <w:rPr>
          <w:rStyle w:val="normaltextrun"/>
          <w:rFonts w:ascii="Arial" w:hAnsi="Arial" w:eastAsia="Arial" w:cs="Arial"/>
          <w:sz w:val="22"/>
          <w:szCs w:val="22"/>
        </w:rPr>
        <w:t xml:space="preserve"> taught in segregated environments, either in special schools or at home through hospital tutoring programs, where their medical demands took precedence over their educational experiences</w:t>
      </w:r>
      <w:r w:rsidRPr="5FF0A1E2" w:rsidR="5B11A406">
        <w:rPr>
          <w:rStyle w:val="normaltextrun"/>
          <w:rFonts w:ascii="Arial" w:hAnsi="Arial" w:eastAsia="Arial" w:cs="Arial"/>
          <w:sz w:val="22"/>
          <w:szCs w:val="22"/>
        </w:rPr>
        <w:t xml:space="preserve"> </w:t>
      </w:r>
      <w:r w:rsidRPr="5FF0A1E2" w:rsidR="5B11A406">
        <w:rPr>
          <w:rStyle w:val="normaltextrun"/>
          <w:rFonts w:ascii="Arial" w:hAnsi="Arial" w:eastAsia="Arial" w:cs="Arial"/>
          <w:sz w:val="22"/>
          <w:szCs w:val="22"/>
        </w:rPr>
        <w:t>(Closs,</w:t>
      </w:r>
      <w:r w:rsidRPr="5FF0A1E2" w:rsidR="5B11A406">
        <w:rPr>
          <w:rStyle w:val="normaltextrun"/>
          <w:rFonts w:ascii="Arial" w:hAnsi="Arial" w:eastAsia="Arial" w:cs="Arial"/>
          <w:sz w:val="22"/>
          <w:szCs w:val="22"/>
        </w:rPr>
        <w:t> </w:t>
      </w:r>
      <w:r w:rsidRPr="5FF0A1E2" w:rsidR="5B11A406">
        <w:rPr>
          <w:rStyle w:val="normaltextrun"/>
          <w:rFonts w:ascii="Arial" w:hAnsi="Arial" w:eastAsia="Arial" w:cs="Arial"/>
          <w:sz w:val="22"/>
          <w:szCs w:val="22"/>
        </w:rPr>
        <w:t>2000).</w:t>
      </w:r>
      <w:r w:rsidRPr="5FF0A1E2" w:rsidR="643FA628">
        <w:rPr>
          <w:rStyle w:val="normaltextrun"/>
          <w:rFonts w:ascii="Arial" w:hAnsi="Arial" w:eastAsia="Arial" w:cs="Arial"/>
          <w:sz w:val="22"/>
          <w:szCs w:val="22"/>
        </w:rPr>
        <w:t xml:space="preserve"> </w:t>
      </w:r>
      <w:r w:rsidRPr="5FF0A1E2" w:rsidR="643FA628">
        <w:rPr>
          <w:rStyle w:val="normaltextrun"/>
          <w:rFonts w:ascii="Arial" w:hAnsi="Arial" w:eastAsia="Arial" w:cs="Arial"/>
          <w:sz w:val="22"/>
          <w:szCs w:val="22"/>
        </w:rPr>
        <w:t>With time, the trend towards inclusive education started to acknowledge kids with long-term medical difficulties as learners rather than just patients</w:t>
      </w:r>
      <w:r w:rsidRPr="5FF0A1E2" w:rsidR="643FA628">
        <w:rPr>
          <w:rStyle w:val="normaltextrun"/>
          <w:rFonts w:ascii="Arial" w:hAnsi="Arial" w:eastAsia="Arial" w:cs="Arial"/>
          <w:sz w:val="22"/>
          <w:szCs w:val="22"/>
        </w:rPr>
        <w:t xml:space="preserve">.  </w:t>
      </w:r>
      <w:r w:rsidRPr="5FF0A1E2" w:rsidR="643FA628">
        <w:rPr>
          <w:rStyle w:val="normaltextrun"/>
          <w:rFonts w:ascii="Arial" w:hAnsi="Arial" w:eastAsia="Arial" w:cs="Arial"/>
          <w:sz w:val="22"/>
          <w:szCs w:val="22"/>
        </w:rPr>
        <w:t>Notably, by the late 20th century, the idea of mainstreaming or inclusion for students with disabilities cleared the path for children with chronic illnesses to be recognised more widely by opposing separate education and demanding access to general education settings</w:t>
      </w:r>
      <w:r w:rsidRPr="5FF0A1E2" w:rsidR="255CA5DC">
        <w:rPr>
          <w:rStyle w:val="normaltextrun"/>
          <w:rFonts w:ascii="Arial" w:hAnsi="Arial" w:eastAsia="Arial" w:cs="Arial"/>
          <w:sz w:val="22"/>
          <w:szCs w:val="22"/>
        </w:rPr>
        <w:t xml:space="preserve"> </w:t>
      </w:r>
      <w:r w:rsidRPr="5FF0A1E2" w:rsidR="255CA5DC">
        <w:rPr>
          <w:rStyle w:val="normaltextrun"/>
          <w:rFonts w:ascii="Arial" w:hAnsi="Arial" w:eastAsia="Arial" w:cs="Arial"/>
          <w:sz w:val="22"/>
          <w:szCs w:val="22"/>
        </w:rPr>
        <w:t>(Inclusive Voices,</w:t>
      </w:r>
      <w:r w:rsidRPr="5FF0A1E2" w:rsidR="255CA5DC">
        <w:rPr>
          <w:rStyle w:val="normaltextrun"/>
          <w:rFonts w:ascii="Arial" w:hAnsi="Arial" w:eastAsia="Arial" w:cs="Arial"/>
          <w:sz w:val="22"/>
          <w:szCs w:val="22"/>
        </w:rPr>
        <w:t> </w:t>
      </w:r>
      <w:r w:rsidRPr="5FF0A1E2" w:rsidR="255CA5DC">
        <w:rPr>
          <w:rStyle w:val="normaltextrun"/>
          <w:rFonts w:ascii="Arial" w:hAnsi="Arial" w:eastAsia="Arial" w:cs="Arial"/>
          <w:sz w:val="22"/>
          <w:szCs w:val="22"/>
        </w:rPr>
        <w:t>2018).</w:t>
      </w:r>
    </w:p>
    <w:p w:rsidR="00D559DE" w:rsidP="5FF0A1E2" w:rsidRDefault="00D559DE" w14:paraId="3F30D99A" w14:textId="77777777" w14:noSpellErr="1">
      <w:pPr>
        <w:pStyle w:val="paragraph"/>
        <w:spacing w:before="0" w:beforeAutospacing="off" w:after="0" w:afterAutospacing="off" w:line="360" w:lineRule="auto"/>
        <w:textAlignment w:val="baseline"/>
        <w:rPr>
          <w:rStyle w:val="normaltextrun"/>
          <w:rFonts w:ascii="Arial" w:hAnsi="Arial" w:eastAsia="Arial" w:cs="Arial"/>
          <w:sz w:val="22"/>
          <w:szCs w:val="22"/>
        </w:rPr>
      </w:pPr>
    </w:p>
    <w:p w:rsidR="0077488D" w:rsidP="5FF0A1E2" w:rsidRDefault="00BD2909" w14:paraId="453FB6E6" w14:textId="5073E751">
      <w:pPr>
        <w:pStyle w:val="paragraph"/>
        <w:spacing w:before="0" w:beforeAutospacing="off" w:after="0" w:afterAutospacing="off" w:line="360" w:lineRule="auto"/>
        <w:textAlignment w:val="baseline"/>
        <w:rPr>
          <w:rStyle w:val="eop"/>
          <w:rFonts w:ascii="Arial" w:hAnsi="Arial" w:eastAsia="Arial" w:cs="Arial"/>
          <w:sz w:val="22"/>
          <w:szCs w:val="22"/>
        </w:rPr>
      </w:pPr>
      <w:r w:rsidRPr="5FF0A1E2" w:rsidR="031E6882">
        <w:rPr>
          <w:rStyle w:val="eop"/>
          <w:rFonts w:ascii="Arial" w:hAnsi="Arial" w:eastAsia="Arial" w:cs="Arial"/>
          <w:sz w:val="22"/>
          <w:szCs w:val="22"/>
        </w:rPr>
        <w:t> </w:t>
      </w:r>
      <w:r w:rsidRPr="5FF0A1E2" w:rsidR="660F401D">
        <w:rPr>
          <w:rStyle w:val="eop"/>
          <w:rFonts w:ascii="Arial" w:hAnsi="Arial" w:eastAsia="Arial" w:cs="Arial"/>
          <w:sz w:val="22"/>
          <w:szCs w:val="22"/>
        </w:rPr>
        <w:t>Many nations started to enact laws and policies requiring equal access to education in the 1970s and 1980s, regardless of a person's health or disability</w:t>
      </w:r>
      <w:r w:rsidRPr="5FF0A1E2" w:rsidR="660F401D">
        <w:rPr>
          <w:rStyle w:val="eop"/>
          <w:rFonts w:ascii="Arial" w:hAnsi="Arial" w:eastAsia="Arial" w:cs="Arial"/>
          <w:sz w:val="22"/>
          <w:szCs w:val="22"/>
        </w:rPr>
        <w:t xml:space="preserve">.  </w:t>
      </w:r>
      <w:r w:rsidRPr="5FF0A1E2" w:rsidR="660F401D">
        <w:rPr>
          <w:rStyle w:val="eop"/>
          <w:rFonts w:ascii="Arial" w:hAnsi="Arial" w:eastAsia="Arial" w:cs="Arial"/>
          <w:sz w:val="22"/>
          <w:szCs w:val="22"/>
        </w:rPr>
        <w:t>For instance, the Individuals with Disabilities Education Act (IDEA) mandated that schools in the United States offer educational services to students with disabilities in general education settings</w:t>
      </w:r>
      <w:r w:rsidRPr="5FF0A1E2" w:rsidR="660F401D">
        <w:rPr>
          <w:rStyle w:val="eop"/>
          <w:rFonts w:ascii="Arial" w:hAnsi="Arial" w:eastAsia="Arial" w:cs="Arial"/>
          <w:sz w:val="22"/>
          <w:szCs w:val="22"/>
        </w:rPr>
        <w:t xml:space="preserve">.  </w:t>
      </w:r>
      <w:r w:rsidRPr="5FF0A1E2" w:rsidR="660F401D">
        <w:rPr>
          <w:rStyle w:val="eop"/>
          <w:rFonts w:ascii="Arial" w:hAnsi="Arial" w:eastAsia="Arial" w:cs="Arial"/>
          <w:sz w:val="22"/>
          <w:szCs w:val="22"/>
        </w:rPr>
        <w:t>Even while early laws did not always specifically address chronic disease, the concepts of the least restrictive environment and access to education had an impact on how chronically sick children were treated</w:t>
      </w:r>
      <w:r w:rsidRPr="5FF0A1E2" w:rsidR="7BE9EA7F">
        <w:rPr>
          <w:rStyle w:val="eop"/>
          <w:rFonts w:ascii="Arial" w:hAnsi="Arial" w:eastAsia="Arial" w:cs="Arial"/>
          <w:sz w:val="22"/>
          <w:szCs w:val="22"/>
        </w:rPr>
        <w:t xml:space="preserve"> </w:t>
      </w:r>
      <w:r w:rsidRPr="5FF0A1E2" w:rsidR="7F3644E5">
        <w:rPr>
          <w:rStyle w:val="eop"/>
          <w:rFonts w:ascii="Arial" w:hAnsi="Arial" w:eastAsia="Arial" w:cs="Arial"/>
          <w:sz w:val="22"/>
          <w:szCs w:val="22"/>
        </w:rPr>
        <w:t>(Inclusive Voices,</w:t>
      </w:r>
      <w:r w:rsidRPr="5FF0A1E2" w:rsidR="7F3644E5">
        <w:rPr>
          <w:rStyle w:val="eop"/>
          <w:rFonts w:ascii="Arial" w:hAnsi="Arial" w:eastAsia="Arial" w:cs="Arial"/>
          <w:sz w:val="22"/>
          <w:szCs w:val="22"/>
        </w:rPr>
        <w:t> </w:t>
      </w:r>
      <w:r w:rsidRPr="5FF0A1E2" w:rsidR="7F3644E5">
        <w:rPr>
          <w:rStyle w:val="eop"/>
          <w:rFonts w:ascii="Arial" w:hAnsi="Arial" w:eastAsia="Arial" w:cs="Arial"/>
          <w:sz w:val="22"/>
          <w:szCs w:val="22"/>
        </w:rPr>
        <w:t>2018).</w:t>
      </w:r>
      <w:r w:rsidRPr="5FF0A1E2" w:rsidR="1B7C03C4">
        <w:rPr>
          <w:rFonts w:ascii="Arial" w:hAnsi="Arial" w:eastAsia="Arial" w:cs="Arial"/>
          <w:sz w:val="22"/>
          <w:szCs w:val="22"/>
        </w:rPr>
        <w:t xml:space="preserve"> </w:t>
      </w:r>
      <w:r w:rsidRPr="5FF0A1E2" w:rsidR="1B7C03C4">
        <w:rPr>
          <w:rStyle w:val="eop"/>
          <w:rFonts w:ascii="Arial" w:hAnsi="Arial" w:eastAsia="Arial" w:cs="Arial"/>
          <w:sz w:val="22"/>
          <w:szCs w:val="22"/>
        </w:rPr>
        <w:t xml:space="preserve">In contrast, early </w:t>
      </w:r>
      <w:r w:rsidRPr="5FF0A1E2" w:rsidR="1B7C03C4">
        <w:rPr>
          <w:rStyle w:val="eop"/>
          <w:rFonts w:ascii="Arial" w:hAnsi="Arial" w:eastAsia="Arial" w:cs="Arial"/>
          <w:sz w:val="22"/>
          <w:szCs w:val="22"/>
        </w:rPr>
        <w:t>childhood</w:t>
      </w:r>
      <w:r w:rsidRPr="5FF0A1E2" w:rsidR="1B7C03C4">
        <w:rPr>
          <w:rStyle w:val="eop"/>
          <w:rFonts w:ascii="Arial" w:hAnsi="Arial" w:eastAsia="Arial" w:cs="Arial"/>
          <w:sz w:val="22"/>
          <w:szCs w:val="22"/>
        </w:rPr>
        <w:t xml:space="preserve"> and school health services in the UK, such as the creation of the school nurse position in the early 20th century, promoted children's health and attendance but infrequently incorporated the systematic educational inclusion of students with chronic illness</w:t>
      </w:r>
      <w:r w:rsidRPr="5FF0A1E2" w:rsidR="1B7C03C4">
        <w:rPr>
          <w:rStyle w:val="eop"/>
          <w:rFonts w:ascii="Arial" w:hAnsi="Arial" w:eastAsia="Arial" w:cs="Arial"/>
          <w:sz w:val="22"/>
          <w:szCs w:val="22"/>
        </w:rPr>
        <w:t xml:space="preserve"> </w:t>
      </w:r>
      <w:r w:rsidRPr="5FF0A1E2" w:rsidR="1B7C03C4">
        <w:rPr>
          <w:rStyle w:val="eop"/>
          <w:rFonts w:ascii="Arial" w:hAnsi="Arial" w:eastAsia="Arial" w:cs="Arial"/>
          <w:sz w:val="22"/>
          <w:szCs w:val="22"/>
        </w:rPr>
        <w:t>(Hughes &amp;</w:t>
      </w:r>
      <w:r w:rsidRPr="5FF0A1E2" w:rsidR="1B7C03C4">
        <w:rPr>
          <w:rStyle w:val="eop"/>
          <w:rFonts w:ascii="Arial" w:hAnsi="Arial" w:eastAsia="Arial" w:cs="Arial"/>
          <w:sz w:val="22"/>
          <w:szCs w:val="22"/>
        </w:rPr>
        <w:t> </w:t>
      </w:r>
      <w:r w:rsidRPr="5FF0A1E2" w:rsidR="1B7C03C4">
        <w:rPr>
          <w:rStyle w:val="eop"/>
          <w:rFonts w:ascii="Arial" w:hAnsi="Arial" w:eastAsia="Arial" w:cs="Arial"/>
          <w:sz w:val="22"/>
          <w:szCs w:val="22"/>
        </w:rPr>
        <w:t>Colleagues,</w:t>
      </w:r>
      <w:r w:rsidRPr="5FF0A1E2" w:rsidR="1B7C03C4">
        <w:rPr>
          <w:rStyle w:val="eop"/>
          <w:rFonts w:ascii="Arial" w:hAnsi="Arial" w:eastAsia="Arial" w:cs="Arial"/>
          <w:sz w:val="22"/>
          <w:szCs w:val="22"/>
        </w:rPr>
        <w:t> </w:t>
      </w:r>
      <w:r w:rsidRPr="5FF0A1E2" w:rsidR="1B7C03C4">
        <w:rPr>
          <w:rStyle w:val="eop"/>
          <w:rFonts w:ascii="Arial" w:hAnsi="Arial" w:eastAsia="Arial" w:cs="Arial"/>
          <w:sz w:val="22"/>
          <w:szCs w:val="22"/>
        </w:rPr>
        <w:t>2015).</w:t>
      </w:r>
      <w:r w:rsidRPr="5FF0A1E2" w:rsidR="1B7C03C4">
        <w:rPr>
          <w:rStyle w:val="eop"/>
          <w:rFonts w:ascii="Arial" w:hAnsi="Arial" w:eastAsia="Arial" w:cs="Arial"/>
          <w:sz w:val="22"/>
          <w:szCs w:val="22"/>
        </w:rPr>
        <w:t xml:space="preserve"> </w:t>
      </w:r>
    </w:p>
    <w:p w:rsidR="0077488D" w:rsidP="5FF0A1E2" w:rsidRDefault="0077488D" w14:paraId="32E470CE" w14:textId="77777777" w14:noSpellErr="1">
      <w:pPr>
        <w:pStyle w:val="paragraph"/>
        <w:spacing w:before="0" w:beforeAutospacing="off" w:after="0" w:afterAutospacing="off" w:line="360" w:lineRule="auto"/>
        <w:textAlignment w:val="baseline"/>
        <w:rPr>
          <w:rStyle w:val="eop"/>
          <w:rFonts w:ascii="Arial" w:hAnsi="Arial" w:eastAsia="Arial" w:cs="Arial"/>
          <w:sz w:val="22"/>
          <w:szCs w:val="22"/>
        </w:rPr>
      </w:pPr>
    </w:p>
    <w:p w:rsidR="00BD2909" w:rsidP="5FF0A1E2" w:rsidRDefault="00886CC0" w14:paraId="4D42201B" w14:textId="148E13EC">
      <w:pPr>
        <w:pStyle w:val="paragraph"/>
        <w:spacing w:before="0" w:beforeAutospacing="off" w:after="0" w:afterAutospacing="off" w:line="360" w:lineRule="auto"/>
        <w:textAlignment w:val="baseline"/>
        <w:rPr>
          <w:rStyle w:val="eop"/>
          <w:rFonts w:ascii="Arial" w:hAnsi="Arial" w:eastAsia="Arial" w:cs="Arial"/>
          <w:sz w:val="22"/>
          <w:szCs w:val="22"/>
        </w:rPr>
      </w:pPr>
      <w:r w:rsidRPr="5FF0A1E2" w:rsidR="4EC78DFC">
        <w:rPr>
          <w:rStyle w:val="eop"/>
          <w:rFonts w:ascii="Arial" w:hAnsi="Arial" w:eastAsia="Arial" w:cs="Arial"/>
          <w:sz w:val="22"/>
          <w:szCs w:val="22"/>
        </w:rPr>
        <w:t>Important turning points include the emergence of the idea of "medical conditions in school" as separate from special education needs and the release of groundbreaking books like Alison Closs's edited volume Education of Children with Medical Conditions (2000), which compiled multidisciplinary research and highlighted the link between chronic illness and educational disadvantage</w:t>
      </w:r>
      <w:r w:rsidRPr="5FF0A1E2" w:rsidR="4EC78DFC">
        <w:rPr>
          <w:rStyle w:val="eop"/>
          <w:rFonts w:ascii="Arial" w:hAnsi="Arial" w:eastAsia="Arial" w:cs="Arial"/>
          <w:sz w:val="22"/>
          <w:szCs w:val="22"/>
        </w:rPr>
        <w:t xml:space="preserve">.  </w:t>
      </w:r>
      <w:r w:rsidRPr="5FF0A1E2" w:rsidR="4EC78DFC">
        <w:rPr>
          <w:rStyle w:val="eop"/>
          <w:rFonts w:ascii="Arial" w:hAnsi="Arial" w:eastAsia="Arial" w:cs="Arial"/>
          <w:sz w:val="22"/>
          <w:szCs w:val="22"/>
        </w:rPr>
        <w:t>By emphasising that children with chronic illnesses experience not just medical but also educational and social marginalisation, Closs's study had an impact on practitioners and policy makers</w:t>
      </w:r>
      <w:r w:rsidRPr="5FF0A1E2" w:rsidR="4EC78DFC">
        <w:rPr>
          <w:rStyle w:val="eop"/>
          <w:rFonts w:ascii="Arial" w:hAnsi="Arial" w:eastAsia="Arial" w:cs="Arial"/>
          <w:sz w:val="22"/>
          <w:szCs w:val="22"/>
        </w:rPr>
        <w:t xml:space="preserve">.  </w:t>
      </w:r>
      <w:r w:rsidRPr="5FF0A1E2" w:rsidR="4EC78DFC">
        <w:rPr>
          <w:rStyle w:val="eop"/>
          <w:rFonts w:ascii="Arial" w:hAnsi="Arial" w:eastAsia="Arial" w:cs="Arial"/>
          <w:sz w:val="22"/>
          <w:szCs w:val="22"/>
        </w:rPr>
        <w:t>More recently, the emergence of digital and remote learning</w:t>
      </w:r>
      <w:r w:rsidRPr="5FF0A1E2" w:rsidR="52F65138">
        <w:rPr>
          <w:rStyle w:val="eop"/>
          <w:rFonts w:ascii="Arial" w:hAnsi="Arial" w:eastAsia="Arial" w:cs="Arial"/>
          <w:sz w:val="22"/>
          <w:szCs w:val="22"/>
        </w:rPr>
        <w:t xml:space="preserve"> </w:t>
      </w:r>
      <w:r w:rsidRPr="5FF0A1E2" w:rsidR="4EC78DFC">
        <w:rPr>
          <w:rStyle w:val="eop"/>
          <w:rFonts w:ascii="Arial" w:hAnsi="Arial" w:eastAsia="Arial" w:cs="Arial"/>
          <w:sz w:val="22"/>
          <w:szCs w:val="22"/>
        </w:rPr>
        <w:t>especially during the COVID-19 pandemic</w:t>
      </w:r>
      <w:r w:rsidRPr="5FF0A1E2" w:rsidR="22DB5143">
        <w:rPr>
          <w:rStyle w:val="eop"/>
          <w:rFonts w:ascii="Arial" w:hAnsi="Arial" w:eastAsia="Arial" w:cs="Arial"/>
          <w:sz w:val="22"/>
          <w:szCs w:val="22"/>
        </w:rPr>
        <w:t xml:space="preserve"> </w:t>
      </w:r>
      <w:r w:rsidRPr="5FF0A1E2" w:rsidR="4EC78DFC">
        <w:rPr>
          <w:rStyle w:val="eop"/>
          <w:rFonts w:ascii="Arial" w:hAnsi="Arial" w:eastAsia="Arial" w:cs="Arial"/>
          <w:sz w:val="22"/>
          <w:szCs w:val="22"/>
        </w:rPr>
        <w:t>has highlighted the need for educational systems to adjust to the possibility that children with chronic illnesses will not be able to attend school</w:t>
      </w:r>
      <w:r w:rsidRPr="5FF0A1E2" w:rsidR="66F80FA9">
        <w:rPr>
          <w:rStyle w:val="eop"/>
          <w:rFonts w:ascii="Arial" w:hAnsi="Arial" w:eastAsia="Arial" w:cs="Arial"/>
          <w:sz w:val="22"/>
          <w:szCs w:val="22"/>
        </w:rPr>
        <w:t xml:space="preserve"> </w:t>
      </w:r>
      <w:r w:rsidRPr="5FF0A1E2" w:rsidR="66F80FA9">
        <w:rPr>
          <w:rStyle w:val="eop"/>
          <w:rFonts w:ascii="Arial" w:hAnsi="Arial" w:eastAsia="Arial" w:cs="Arial"/>
          <w:sz w:val="22"/>
          <w:szCs w:val="22"/>
        </w:rPr>
        <w:t>(Thornton, Ruble &amp;</w:t>
      </w:r>
      <w:r w:rsidRPr="5FF0A1E2" w:rsidR="66F80FA9">
        <w:rPr>
          <w:rStyle w:val="eop"/>
          <w:rFonts w:ascii="Arial" w:hAnsi="Arial" w:eastAsia="Arial" w:cs="Arial"/>
          <w:sz w:val="22"/>
          <w:szCs w:val="22"/>
        </w:rPr>
        <w:t> </w:t>
      </w:r>
      <w:r w:rsidRPr="5FF0A1E2" w:rsidR="66F80FA9">
        <w:rPr>
          <w:rStyle w:val="eop"/>
          <w:rFonts w:ascii="Arial" w:hAnsi="Arial" w:eastAsia="Arial" w:cs="Arial"/>
          <w:sz w:val="22"/>
          <w:szCs w:val="22"/>
        </w:rPr>
        <w:t>Jacobson,</w:t>
      </w:r>
      <w:r w:rsidRPr="5FF0A1E2" w:rsidR="66F80FA9">
        <w:rPr>
          <w:rStyle w:val="eop"/>
          <w:rFonts w:ascii="Arial" w:hAnsi="Arial" w:eastAsia="Arial" w:cs="Arial"/>
          <w:sz w:val="22"/>
          <w:szCs w:val="22"/>
        </w:rPr>
        <w:t> </w:t>
      </w:r>
      <w:r w:rsidRPr="5FF0A1E2" w:rsidR="66F80FA9">
        <w:rPr>
          <w:rStyle w:val="eop"/>
          <w:rFonts w:ascii="Arial" w:hAnsi="Arial" w:eastAsia="Arial" w:cs="Arial"/>
          <w:sz w:val="22"/>
          <w:szCs w:val="22"/>
        </w:rPr>
        <w:t>2023).</w:t>
      </w:r>
    </w:p>
    <w:p w:rsidRPr="00F44833" w:rsidR="00131DEC" w:rsidP="5FF0A1E2" w:rsidRDefault="00131DEC" w14:paraId="10C59C3C" w14:noSpellErr="1" w14:textId="53B7DCA3">
      <w:pPr>
        <w:pStyle w:val="paragraph"/>
        <w:spacing w:before="0" w:beforeAutospacing="off" w:after="0" w:afterAutospacing="off" w:line="360" w:lineRule="auto"/>
        <w:textAlignment w:val="baseline"/>
        <w:rPr>
          <w:rStyle w:val="eop"/>
          <w:rFonts w:ascii="Arial" w:hAnsi="Arial" w:eastAsia="Arial" w:cs="Arial"/>
          <w:sz w:val="22"/>
          <w:szCs w:val="22"/>
        </w:rPr>
      </w:pPr>
    </w:p>
    <w:p w:rsidRPr="00F44833" w:rsidR="00BD2909" w:rsidP="5FF0A1E2" w:rsidRDefault="00BD2909" w14:paraId="7CD6820C" w14:textId="2906D47F">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 xml:space="preserve">2.3 Theoretical Background </w:t>
      </w:r>
    </w:p>
    <w:p w:rsidRPr="00F44833" w:rsidR="00BD2909" w:rsidP="5FF0A1E2" w:rsidRDefault="00BD2909" w14:paraId="4C48092F" w14:textId="77777777"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031E6882">
        <w:rPr>
          <w:rStyle w:val="eop"/>
          <w:rFonts w:ascii="Arial" w:hAnsi="Arial" w:eastAsia="Arial" w:cs="Arial"/>
          <w:sz w:val="22"/>
          <w:szCs w:val="22"/>
        </w:rPr>
        <w:t> </w:t>
      </w:r>
    </w:p>
    <w:p w:rsidRPr="00F44833" w:rsidR="00BD2909" w:rsidP="5FF0A1E2" w:rsidRDefault="00BD2909" w14:paraId="02952F9D" w14:textId="77777777" w14:noSpellErr="1">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Key Theories and Concepts:</w:t>
      </w:r>
      <w:r w:rsidRPr="5FF0A1E2" w:rsidR="031E6882">
        <w:rPr>
          <w:rStyle w:val="eop"/>
          <w:rFonts w:ascii="Arial" w:hAnsi="Arial" w:eastAsia="Arial" w:cs="Arial"/>
          <w:sz w:val="22"/>
          <w:szCs w:val="22"/>
        </w:rPr>
        <w:t> </w:t>
      </w:r>
    </w:p>
    <w:p w:rsidR="5FF0A1E2" w:rsidP="5FF0A1E2" w:rsidRDefault="5FF0A1E2" w14:paraId="46EFF75D" w14:textId="0511D55E">
      <w:pPr>
        <w:pStyle w:val="paragraph"/>
        <w:tabs>
          <w:tab w:val="clear" w:leader="none" w:pos="720"/>
          <w:tab w:val="num" w:leader="none" w:pos="0"/>
        </w:tabs>
        <w:spacing w:before="0" w:beforeAutospacing="off" w:after="0" w:afterAutospacing="off" w:line="360" w:lineRule="auto"/>
        <w:ind w:left="0" w:firstLine="0"/>
        <w:rPr>
          <w:rFonts w:ascii="Arial" w:hAnsi="Arial" w:eastAsia="Arial" w:cs="Arial"/>
          <w:noProof w:val="0"/>
          <w:sz w:val="22"/>
          <w:szCs w:val="22"/>
          <w:lang w:val="en-GB"/>
        </w:rPr>
      </w:pPr>
    </w:p>
    <w:p w:rsidR="7C986D41" w:rsidP="5FF0A1E2" w:rsidRDefault="7C986D41" w14:paraId="372644DD" w14:textId="1BE3B5F2">
      <w:pPr>
        <w:pStyle w:val="paragraph"/>
        <w:tabs>
          <w:tab w:val="clear" w:leader="none" w:pos="720"/>
          <w:tab w:val="num" w:leader="none" w:pos="0"/>
        </w:tabs>
        <w:spacing w:before="0" w:beforeAutospacing="off" w:after="0" w:afterAutospacing="off" w:line="360" w:lineRule="auto"/>
        <w:ind w:left="0" w:firstLine="0"/>
        <w:rPr>
          <w:rFonts w:ascii="Arial" w:hAnsi="Arial" w:eastAsia="Arial" w:cs="Arial"/>
          <w:noProof w:val="0"/>
          <w:sz w:val="22"/>
          <w:szCs w:val="22"/>
          <w:lang w:val="en-GB"/>
        </w:rPr>
      </w:pPr>
      <w:r w:rsidRPr="5FF0A1E2" w:rsidR="7C986D41">
        <w:rPr>
          <w:rFonts w:ascii="Arial" w:hAnsi="Arial" w:eastAsia="Arial" w:cs="Arial"/>
          <w:noProof w:val="0"/>
          <w:sz w:val="22"/>
          <w:szCs w:val="22"/>
          <w:lang w:val="en-GB"/>
        </w:rPr>
        <w:t xml:space="preserve">Understanding how children with chronic illnesses experience school is based on </w:t>
      </w:r>
      <w:r w:rsidRPr="5FF0A1E2" w:rsidR="7C986D41">
        <w:rPr>
          <w:rFonts w:ascii="Arial" w:hAnsi="Arial" w:eastAsia="Arial" w:cs="Arial"/>
          <w:noProof w:val="0"/>
          <w:sz w:val="22"/>
          <w:szCs w:val="22"/>
          <w:lang w:val="en-GB"/>
        </w:rPr>
        <w:t>a number of</w:t>
      </w:r>
      <w:r w:rsidRPr="5FF0A1E2" w:rsidR="7C986D41">
        <w:rPr>
          <w:rFonts w:ascii="Arial" w:hAnsi="Arial" w:eastAsia="Arial" w:cs="Arial"/>
          <w:noProof w:val="0"/>
          <w:sz w:val="22"/>
          <w:szCs w:val="22"/>
          <w:lang w:val="en-GB"/>
        </w:rPr>
        <w:t xml:space="preserve"> theories and concepts. Bronfenbrenner's Ecological Systems Theory is one of the main theoretical frameworks, which emphasises that a child’s development is shaped by multiple interconnected systems, from immediate relationships to wider social and policy environments (Bronfenbrenner, 1979). </w:t>
      </w:r>
      <w:r w:rsidRPr="5FF0A1E2" w:rsidR="6F737F7C">
        <w:rPr>
          <w:rFonts w:ascii="Arial" w:hAnsi="Arial" w:eastAsia="Arial" w:cs="Arial"/>
          <w:noProof w:val="0"/>
          <w:sz w:val="22"/>
          <w:szCs w:val="22"/>
          <w:lang w:val="en-GB"/>
        </w:rPr>
        <w:t xml:space="preserve">This hypothesis is especially pertinent to children with chronic illnesses, whose educational experiences are </w:t>
      </w:r>
      <w:r w:rsidRPr="5FF0A1E2" w:rsidR="6F737F7C">
        <w:rPr>
          <w:rFonts w:ascii="Arial" w:hAnsi="Arial" w:eastAsia="Arial" w:cs="Arial"/>
          <w:noProof w:val="0"/>
          <w:sz w:val="22"/>
          <w:szCs w:val="22"/>
          <w:lang w:val="en-GB"/>
        </w:rPr>
        <w:t>impacted</w:t>
      </w:r>
      <w:r w:rsidRPr="5FF0A1E2" w:rsidR="6F737F7C">
        <w:rPr>
          <w:rFonts w:ascii="Arial" w:hAnsi="Arial" w:eastAsia="Arial" w:cs="Arial"/>
          <w:noProof w:val="0"/>
          <w:sz w:val="22"/>
          <w:szCs w:val="22"/>
          <w:lang w:val="en-GB"/>
        </w:rPr>
        <w:t xml:space="preserve"> by healthcare institutions, national policy, and cultural views </w:t>
      </w:r>
      <w:r w:rsidRPr="5FF0A1E2" w:rsidR="6F737F7C">
        <w:rPr>
          <w:rFonts w:ascii="Arial" w:hAnsi="Arial" w:eastAsia="Arial" w:cs="Arial"/>
          <w:noProof w:val="0"/>
          <w:sz w:val="22"/>
          <w:szCs w:val="22"/>
          <w:lang w:val="en-GB"/>
        </w:rPr>
        <w:t>regarding</w:t>
      </w:r>
      <w:r w:rsidRPr="5FF0A1E2" w:rsidR="6F737F7C">
        <w:rPr>
          <w:rFonts w:ascii="Arial" w:hAnsi="Arial" w:eastAsia="Arial" w:cs="Arial"/>
          <w:noProof w:val="0"/>
          <w:sz w:val="22"/>
          <w:szCs w:val="22"/>
          <w:lang w:val="en-GB"/>
        </w:rPr>
        <w:t xml:space="preserve"> disease and disability in addition to family and school circumstances. Another key concept is </w:t>
      </w:r>
      <w:r w:rsidRPr="5FF0A1E2" w:rsidR="6F737F7C">
        <w:rPr>
          <w:rFonts w:ascii="Arial" w:hAnsi="Arial" w:eastAsia="Arial" w:cs="Arial"/>
          <w:b w:val="0"/>
          <w:bCs w:val="0"/>
          <w:noProof w:val="0"/>
          <w:sz w:val="22"/>
          <w:szCs w:val="22"/>
          <w:lang w:val="en-GB"/>
        </w:rPr>
        <w:t>inclusive education theory</w:t>
      </w:r>
      <w:r w:rsidRPr="5FF0A1E2" w:rsidR="6F737F7C">
        <w:rPr>
          <w:rFonts w:ascii="Arial" w:hAnsi="Arial" w:eastAsia="Arial" w:cs="Arial"/>
          <w:b w:val="0"/>
          <w:bCs w:val="0"/>
          <w:noProof w:val="0"/>
          <w:sz w:val="22"/>
          <w:szCs w:val="22"/>
          <w:lang w:val="en-GB"/>
        </w:rPr>
        <w:t>, which argues that all children</w:t>
      </w:r>
      <w:r w:rsidRPr="5FF0A1E2" w:rsidR="3BE9A95C">
        <w:rPr>
          <w:rFonts w:ascii="Arial" w:hAnsi="Arial" w:eastAsia="Arial" w:cs="Arial"/>
          <w:b w:val="0"/>
          <w:bCs w:val="0"/>
          <w:noProof w:val="0"/>
          <w:sz w:val="22"/>
          <w:szCs w:val="22"/>
          <w:lang w:val="en-GB"/>
        </w:rPr>
        <w:t xml:space="preserve"> </w:t>
      </w:r>
      <w:r w:rsidRPr="5FF0A1E2" w:rsidR="6F737F7C">
        <w:rPr>
          <w:rFonts w:ascii="Arial" w:hAnsi="Arial" w:eastAsia="Arial" w:cs="Arial"/>
          <w:b w:val="0"/>
          <w:bCs w:val="0"/>
          <w:noProof w:val="0"/>
          <w:sz w:val="22"/>
          <w:szCs w:val="22"/>
          <w:lang w:val="en-GB"/>
        </w:rPr>
        <w:t>regardless of ability or health status</w:t>
      </w:r>
      <w:r w:rsidRPr="5FF0A1E2" w:rsidR="72B65DA6">
        <w:rPr>
          <w:rFonts w:ascii="Arial" w:hAnsi="Arial" w:eastAsia="Arial" w:cs="Arial"/>
          <w:b w:val="0"/>
          <w:bCs w:val="0"/>
          <w:noProof w:val="0"/>
          <w:sz w:val="22"/>
          <w:szCs w:val="22"/>
          <w:lang w:val="en-GB"/>
        </w:rPr>
        <w:t xml:space="preserve"> </w:t>
      </w:r>
      <w:r w:rsidRPr="5FF0A1E2" w:rsidR="6F737F7C">
        <w:rPr>
          <w:rFonts w:ascii="Arial" w:hAnsi="Arial" w:eastAsia="Arial" w:cs="Arial"/>
          <w:b w:val="0"/>
          <w:bCs w:val="0"/>
          <w:noProof w:val="0"/>
          <w:sz w:val="22"/>
          <w:szCs w:val="22"/>
          <w:lang w:val="en-GB"/>
        </w:rPr>
        <w:t xml:space="preserve">should be able to </w:t>
      </w:r>
      <w:r w:rsidRPr="5FF0A1E2" w:rsidR="6F737F7C">
        <w:rPr>
          <w:rFonts w:ascii="Arial" w:hAnsi="Arial" w:eastAsia="Arial" w:cs="Arial"/>
          <w:noProof w:val="0"/>
          <w:sz w:val="22"/>
          <w:szCs w:val="22"/>
          <w:lang w:val="en-GB"/>
        </w:rPr>
        <w:t>participate</w:t>
      </w:r>
      <w:r w:rsidRPr="5FF0A1E2" w:rsidR="6F737F7C">
        <w:rPr>
          <w:rFonts w:ascii="Arial" w:hAnsi="Arial" w:eastAsia="Arial" w:cs="Arial"/>
          <w:noProof w:val="0"/>
          <w:sz w:val="22"/>
          <w:szCs w:val="22"/>
          <w:lang w:val="en-GB"/>
        </w:rPr>
        <w:t xml:space="preserve"> fully in mainstream schooling (Ainscow, 2020). This theoretical position emphasises the significance of fair access, flexibility, and the removal of learning barriers and serves as the foundation for contemporary policy frameworks.</w:t>
      </w:r>
    </w:p>
    <w:p w:rsidR="6F737F7C" w:rsidP="5FF0A1E2" w:rsidRDefault="6F737F7C" w14:paraId="12E8A228" w14:textId="1028E5A3">
      <w:pPr>
        <w:pStyle w:val="paragraph"/>
        <w:tabs>
          <w:tab w:val="clear" w:leader="none" w:pos="720"/>
          <w:tab w:val="num" w:leader="none" w:pos="0"/>
        </w:tabs>
        <w:spacing w:before="0" w:beforeAutospacing="off" w:after="0" w:afterAutospacing="off" w:line="360" w:lineRule="auto"/>
        <w:ind w:left="0" w:firstLine="0"/>
        <w:rPr>
          <w:rFonts w:ascii="Arial" w:hAnsi="Arial" w:eastAsia="Arial" w:cs="Arial"/>
          <w:noProof w:val="0"/>
          <w:sz w:val="22"/>
          <w:szCs w:val="22"/>
          <w:lang w:val="en-GB"/>
        </w:rPr>
      </w:pPr>
      <w:r w:rsidRPr="5FF0A1E2" w:rsidR="6F737F7C">
        <w:rPr>
          <w:rFonts w:ascii="Arial" w:hAnsi="Arial" w:eastAsia="Arial" w:cs="Arial"/>
          <w:noProof w:val="0"/>
          <w:sz w:val="22"/>
          <w:szCs w:val="22"/>
          <w:lang w:val="en-GB"/>
        </w:rPr>
        <w:t xml:space="preserve"> </w:t>
      </w:r>
    </w:p>
    <w:p w:rsidRPr="00F44833" w:rsidR="00BD2909" w:rsidP="5FF0A1E2" w:rsidRDefault="00BD2909" w14:paraId="6A5BC395" w14:textId="77777777">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Application of Theories:</w:t>
      </w:r>
      <w:r w:rsidRPr="5FF0A1E2" w:rsidR="031E6882">
        <w:rPr>
          <w:rStyle w:val="eop"/>
          <w:rFonts w:ascii="Arial" w:hAnsi="Arial" w:eastAsia="Arial" w:cs="Arial"/>
          <w:sz w:val="22"/>
          <w:szCs w:val="22"/>
        </w:rPr>
        <w:t> </w:t>
      </w:r>
    </w:p>
    <w:p w:rsidRPr="00F44833" w:rsidR="00BD2909" w:rsidP="5FF0A1E2" w:rsidRDefault="00BD2909" w14:paraId="7E9F016F" w14:textId="720BF426">
      <w:pPr>
        <w:pStyle w:val="paragraph"/>
        <w:spacing w:before="240" w:beforeAutospacing="off" w:after="240" w:afterAutospacing="off" w:line="360" w:lineRule="auto"/>
        <w:ind/>
        <w:textAlignment w:val="baseline"/>
        <w:rPr>
          <w:rFonts w:ascii="Arial" w:hAnsi="Arial" w:eastAsia="Arial" w:cs="Arial"/>
          <w:sz w:val="22"/>
          <w:szCs w:val="22"/>
        </w:rPr>
      </w:pPr>
      <w:r w:rsidRPr="5FF0A1E2" w:rsidR="64A2E297">
        <w:rPr>
          <w:rFonts w:ascii="Arial" w:hAnsi="Arial" w:eastAsia="Arial" w:cs="Arial"/>
          <w:noProof w:val="0"/>
          <w:sz w:val="22"/>
          <w:szCs w:val="22"/>
          <w:lang w:val="en-GB"/>
        </w:rPr>
        <w:t xml:space="preserve">In addition, theories of </w:t>
      </w:r>
      <w:r w:rsidRPr="5FF0A1E2" w:rsidR="64A2E297">
        <w:rPr>
          <w:rFonts w:ascii="Arial" w:hAnsi="Arial" w:eastAsia="Arial" w:cs="Arial"/>
          <w:b w:val="0"/>
          <w:bCs w:val="0"/>
          <w:noProof w:val="0"/>
          <w:sz w:val="22"/>
          <w:szCs w:val="22"/>
          <w:lang w:val="en-GB"/>
        </w:rPr>
        <w:t>medical sociology</w:t>
      </w:r>
      <w:r w:rsidRPr="5FF0A1E2" w:rsidR="64A2E297">
        <w:rPr>
          <w:rFonts w:ascii="Arial" w:hAnsi="Arial" w:eastAsia="Arial" w:cs="Arial"/>
          <w:b w:val="0"/>
          <w:bCs w:val="0"/>
          <w:noProof w:val="0"/>
          <w:sz w:val="22"/>
          <w:szCs w:val="22"/>
          <w:lang w:val="en-GB"/>
        </w:rPr>
        <w:t>, particularly the notion of the “sick role” proposed by Parsons (1951), have been used to understand how illness shapes a child’s identity and behaviour. While originally developed for adult patients, the concept has been adapted to examine how chronically ill children may be perceived as vulnerable or dependent, affecting the expectations placed upon them in school settings (Williams, 2019). Furthermore,</w:t>
      </w:r>
      <w:r w:rsidRPr="5FF0A1E2" w:rsidR="64A2E297">
        <w:rPr>
          <w:rFonts w:ascii="Arial" w:hAnsi="Arial" w:eastAsia="Arial" w:cs="Arial"/>
          <w:b w:val="0"/>
          <w:bCs w:val="0"/>
          <w:noProof w:val="0"/>
          <w:sz w:val="22"/>
          <w:szCs w:val="22"/>
          <w:lang w:val="en-GB"/>
        </w:rPr>
        <w:t xml:space="preserve"> </w:t>
      </w:r>
      <w:r w:rsidRPr="5FF0A1E2" w:rsidR="64A2E297">
        <w:rPr>
          <w:rFonts w:ascii="Arial" w:hAnsi="Arial" w:eastAsia="Arial" w:cs="Arial"/>
          <w:b w:val="0"/>
          <w:bCs w:val="0"/>
          <w:noProof w:val="0"/>
          <w:sz w:val="22"/>
          <w:szCs w:val="22"/>
          <w:lang w:val="en-GB"/>
        </w:rPr>
        <w:t>attachment theory</w:t>
      </w:r>
      <w:r w:rsidRPr="5FF0A1E2" w:rsidR="64A2E297">
        <w:rPr>
          <w:rFonts w:ascii="Arial" w:hAnsi="Arial" w:eastAsia="Arial" w:cs="Arial"/>
          <w:b w:val="0"/>
          <w:bCs w:val="0"/>
          <w:noProof w:val="0"/>
          <w:sz w:val="22"/>
          <w:szCs w:val="22"/>
          <w:lang w:val="en-GB"/>
        </w:rPr>
        <w:t xml:space="preserve"> </w:t>
      </w:r>
      <w:r w:rsidRPr="5FF0A1E2" w:rsidR="64A2E297">
        <w:rPr>
          <w:rFonts w:ascii="Arial" w:hAnsi="Arial" w:eastAsia="Arial" w:cs="Arial"/>
          <w:noProof w:val="0"/>
          <w:sz w:val="22"/>
          <w:szCs w:val="22"/>
          <w:lang w:val="en-GB"/>
        </w:rPr>
        <w:t>contributes to understanding the emotional and psychological challenges faced by children who experience frequent hospitalisation or disruptions to routines, which may affect school engagement and relationships with teachers and peers (</w:t>
      </w:r>
      <w:r w:rsidRPr="5FF0A1E2" w:rsidR="64A2E297">
        <w:rPr>
          <w:rFonts w:ascii="Arial" w:hAnsi="Arial" w:eastAsia="Arial" w:cs="Arial"/>
          <w:noProof w:val="0"/>
          <w:sz w:val="22"/>
          <w:szCs w:val="22"/>
          <w:lang w:val="en-GB"/>
        </w:rPr>
        <w:t>Schuengel</w:t>
      </w:r>
      <w:r w:rsidRPr="5FF0A1E2" w:rsidR="64A2E297">
        <w:rPr>
          <w:rFonts w:ascii="Arial" w:hAnsi="Arial" w:eastAsia="Arial" w:cs="Arial"/>
          <w:noProof w:val="0"/>
          <w:sz w:val="22"/>
          <w:szCs w:val="22"/>
          <w:lang w:val="en-GB"/>
        </w:rPr>
        <w:t xml:space="preserve"> et al., 2014).</w:t>
      </w:r>
    </w:p>
    <w:p w:rsidRPr="00F44833" w:rsidR="00BD2909" w:rsidP="5FF0A1E2" w:rsidRDefault="00BD2909" w14:paraId="32F88238" w14:textId="5706943B">
      <w:pPr>
        <w:spacing w:before="240" w:beforeAutospacing="off" w:after="240" w:afterAutospacing="off" w:line="360" w:lineRule="auto"/>
        <w:ind/>
        <w:textAlignment w:val="baseline"/>
        <w:rPr>
          <w:rFonts w:ascii="Arial" w:hAnsi="Arial" w:eastAsia="Arial" w:cs="Arial"/>
          <w:noProof w:val="0"/>
          <w:sz w:val="22"/>
          <w:szCs w:val="22"/>
          <w:lang w:val="en-GB"/>
        </w:rPr>
      </w:pPr>
      <w:r w:rsidRPr="5FF0A1E2" w:rsidR="64A2E297">
        <w:rPr>
          <w:rFonts w:ascii="Arial" w:hAnsi="Arial" w:eastAsia="Arial" w:cs="Arial"/>
          <w:noProof w:val="0"/>
          <w:sz w:val="22"/>
          <w:szCs w:val="22"/>
          <w:lang w:val="en-GB"/>
        </w:rPr>
        <w:t xml:space="preserve">These theories have been applied widely in research relating to chronically ill learners. For example, ecological theory has been used to explore how multi-agency collaboration supports children with long-term conditions, emphasising that cross-system coordination is essential for ensuring continuity of education during illness episodes (Kendal et al., 2019). Inclusive education theory has informed studies examining the effectiveness of school-based interventions such as Individual Healthcare Plans (IHPs), highlighting the need for flexible curricula and teacher training (Clarke &amp; Abbott, 2021). Meanwhile, sociological theories of illness have been applied to investigate how stigma and misconceptions about chronic illness influence peer interactions and academic expectations (Price &amp; Pearce, 2020). This application </w:t>
      </w:r>
      <w:r w:rsidRPr="5FF0A1E2" w:rsidR="64A2E297">
        <w:rPr>
          <w:rFonts w:ascii="Arial" w:hAnsi="Arial" w:eastAsia="Arial" w:cs="Arial"/>
          <w:noProof w:val="0"/>
          <w:sz w:val="22"/>
          <w:szCs w:val="22"/>
          <w:lang w:val="en-GB"/>
        </w:rPr>
        <w:t>demonstrates</w:t>
      </w:r>
      <w:r w:rsidRPr="5FF0A1E2" w:rsidR="64A2E297">
        <w:rPr>
          <w:rFonts w:ascii="Arial" w:hAnsi="Arial" w:eastAsia="Arial" w:cs="Arial"/>
          <w:noProof w:val="0"/>
          <w:sz w:val="22"/>
          <w:szCs w:val="22"/>
          <w:lang w:val="en-GB"/>
        </w:rPr>
        <w:t xml:space="preserve"> how theoretical concepts help interpret the psychosocial dimensions of chronic illness in educational contexts.</w:t>
      </w:r>
    </w:p>
    <w:p w:rsidRPr="00F44833" w:rsidR="00BD2909" w:rsidP="5FF0A1E2" w:rsidRDefault="00BD2909" w14:paraId="701473F5" w14:textId="61D794D2">
      <w:pPr>
        <w:pStyle w:val="paragraph"/>
        <w:tabs>
          <w:tab w:val="clear" w:pos="720"/>
          <w:tab w:val="num" w:pos="0"/>
        </w:tabs>
        <w:spacing w:before="0" w:beforeAutospacing="off" w:after="0" w:afterAutospacing="off" w:line="360" w:lineRule="auto"/>
        <w:ind w:left="720" w:firstLine="0"/>
        <w:textAlignment w:val="baseline"/>
        <w:rPr>
          <w:rStyle w:val="eop"/>
          <w:rFonts w:ascii="Arial" w:hAnsi="Arial" w:eastAsia="Arial" w:cs="Arial"/>
          <w:sz w:val="22"/>
          <w:szCs w:val="22"/>
        </w:rPr>
      </w:pPr>
    </w:p>
    <w:p w:rsidRPr="00F44833" w:rsidR="00BD2909" w:rsidP="5FF0A1E2" w:rsidRDefault="00BD2909" w14:paraId="5BB17A15" w14:textId="77777777" w14:noSpellErr="1">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Critical Evaluation:</w:t>
      </w:r>
      <w:r w:rsidRPr="5FF0A1E2" w:rsidR="031E6882">
        <w:rPr>
          <w:rStyle w:val="eop"/>
          <w:rFonts w:ascii="Arial" w:hAnsi="Arial" w:eastAsia="Arial" w:cs="Arial"/>
          <w:sz w:val="22"/>
          <w:szCs w:val="22"/>
        </w:rPr>
        <w:t> </w:t>
      </w:r>
    </w:p>
    <w:p w:rsidR="5FF0A1E2" w:rsidP="5FF0A1E2" w:rsidRDefault="5FF0A1E2" w14:paraId="18190CF7" w14:textId="3C83DCD3">
      <w:pPr>
        <w:pStyle w:val="paragraph"/>
        <w:spacing w:before="0" w:beforeAutospacing="off" w:after="0" w:afterAutospacing="off" w:line="360" w:lineRule="auto"/>
        <w:rPr>
          <w:rFonts w:ascii="Arial" w:hAnsi="Arial" w:eastAsia="Arial" w:cs="Arial"/>
          <w:noProof w:val="0"/>
          <w:sz w:val="22"/>
          <w:szCs w:val="22"/>
          <w:lang w:val="en-GB"/>
        </w:rPr>
      </w:pPr>
    </w:p>
    <w:p w:rsidRPr="00F44833" w:rsidR="00BD2909" w:rsidP="5FF0A1E2" w:rsidRDefault="00BD2909" w14:paraId="1787DF7C" w14:textId="026A4D3D">
      <w:pPr>
        <w:pStyle w:val="paragraph"/>
        <w:spacing w:before="0" w:beforeAutospacing="off" w:after="0" w:afterAutospacing="off" w:line="360" w:lineRule="auto"/>
        <w:textAlignment w:val="baseline"/>
        <w:rPr>
          <w:rFonts w:ascii="Arial" w:hAnsi="Arial" w:eastAsia="Arial" w:cs="Arial"/>
          <w:sz w:val="22"/>
          <w:szCs w:val="22"/>
        </w:rPr>
      </w:pPr>
      <w:r w:rsidRPr="5FF0A1E2" w:rsidR="25523151">
        <w:rPr>
          <w:rFonts w:ascii="Arial" w:hAnsi="Arial" w:eastAsia="Arial" w:cs="Arial"/>
          <w:noProof w:val="0"/>
          <w:sz w:val="22"/>
          <w:szCs w:val="22"/>
          <w:lang w:val="en-GB"/>
        </w:rPr>
        <w:t xml:space="preserve">However, these theories carry both strengths and limitations. Ecological theory is widely praised for its holistic perspective, yet it can be criticised for being overly broad, making it difficult to operationalise in practice (Rosa &amp; Tudge, 2013). Inclusive education theory, while ethically compelling, is sometimes accused of being idealistic, as many schools struggle to implement inclusion effectively due to resource limitations and insufficient specialist training (Florian, 2019). The sick role concept has been criticised for being outdated and overly rigid, </w:t>
      </w:r>
      <w:r w:rsidRPr="5FF0A1E2" w:rsidR="25523151">
        <w:rPr>
          <w:rFonts w:ascii="Arial" w:hAnsi="Arial" w:eastAsia="Arial" w:cs="Arial"/>
          <w:noProof w:val="0"/>
          <w:sz w:val="22"/>
          <w:szCs w:val="22"/>
          <w:lang w:val="en-GB"/>
        </w:rPr>
        <w:t>failing to account</w:t>
      </w:r>
      <w:r w:rsidRPr="5FF0A1E2" w:rsidR="25523151">
        <w:rPr>
          <w:rFonts w:ascii="Arial" w:hAnsi="Arial" w:eastAsia="Arial" w:cs="Arial"/>
          <w:noProof w:val="0"/>
          <w:sz w:val="22"/>
          <w:szCs w:val="22"/>
          <w:lang w:val="en-GB"/>
        </w:rPr>
        <w:t xml:space="preserve"> for the complexities of chronic, fluctuating conditions and the agency of children in managing their own health (Williams, 2019). These debates </w:t>
      </w:r>
      <w:r w:rsidRPr="5FF0A1E2" w:rsidR="25523151">
        <w:rPr>
          <w:rFonts w:ascii="Arial" w:hAnsi="Arial" w:eastAsia="Arial" w:cs="Arial"/>
          <w:noProof w:val="0"/>
          <w:sz w:val="22"/>
          <w:szCs w:val="22"/>
          <w:lang w:val="en-GB"/>
        </w:rPr>
        <w:t>demonstrate</w:t>
      </w:r>
      <w:r w:rsidRPr="5FF0A1E2" w:rsidR="25523151">
        <w:rPr>
          <w:rFonts w:ascii="Arial" w:hAnsi="Arial" w:eastAsia="Arial" w:cs="Arial"/>
          <w:noProof w:val="0"/>
          <w:sz w:val="22"/>
          <w:szCs w:val="22"/>
          <w:lang w:val="en-GB"/>
        </w:rPr>
        <w:t xml:space="preserve"> the need to use theories critically and to recognise that no single framework fully explains the educational experiences of children with chronic illnesses.</w:t>
      </w:r>
    </w:p>
    <w:p w:rsidR="5FF0A1E2" w:rsidP="5FF0A1E2" w:rsidRDefault="5FF0A1E2" w14:paraId="7C38E248" w14:textId="69142E2B">
      <w:pPr>
        <w:pStyle w:val="paragraph"/>
        <w:spacing w:before="0" w:beforeAutospacing="off" w:after="0" w:afterAutospacing="off" w:line="360" w:lineRule="auto"/>
        <w:rPr>
          <w:rStyle w:val="normaltextrun"/>
          <w:rFonts w:ascii="Arial" w:hAnsi="Arial" w:eastAsia="Arial" w:cs="Arial"/>
          <w:color w:val="0F4761"/>
          <w:sz w:val="22"/>
          <w:szCs w:val="22"/>
        </w:rPr>
      </w:pPr>
    </w:p>
    <w:p w:rsidRPr="00F44833" w:rsidR="00BD2909" w:rsidP="5FF0A1E2" w:rsidRDefault="00BD2909" w14:paraId="529565AC" w14:textId="59C3216B">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2.4 International Context</w:t>
      </w:r>
    </w:p>
    <w:p w:rsidRPr="00F44833" w:rsidR="00BD2909" w:rsidP="5FF0A1E2" w:rsidRDefault="00BD2909" w14:paraId="486A5837" w14:textId="77777777"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031E6882">
        <w:rPr>
          <w:rStyle w:val="eop"/>
          <w:rFonts w:ascii="Arial" w:hAnsi="Arial" w:eastAsia="Arial" w:cs="Arial"/>
          <w:sz w:val="22"/>
          <w:szCs w:val="22"/>
        </w:rPr>
        <w:t> </w:t>
      </w:r>
    </w:p>
    <w:p w:rsidRPr="00F44833" w:rsidR="00BD2909" w:rsidP="5FF0A1E2" w:rsidRDefault="00BD2909" w14:paraId="32C722ED" w14:textId="77777777">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Global Perspective:</w:t>
      </w:r>
      <w:r w:rsidRPr="5FF0A1E2" w:rsidR="031E6882">
        <w:rPr>
          <w:rStyle w:val="eop"/>
          <w:rFonts w:ascii="Arial" w:hAnsi="Arial" w:eastAsia="Arial" w:cs="Arial"/>
          <w:sz w:val="22"/>
          <w:szCs w:val="22"/>
        </w:rPr>
        <w:t> </w:t>
      </w:r>
    </w:p>
    <w:p w:rsidR="3EB9B2EE" w:rsidP="5FF0A1E2" w:rsidRDefault="3EB9B2EE" w14:paraId="459E58F2" w14:textId="4FDE32D5">
      <w:pPr>
        <w:pStyle w:val="paragraph"/>
        <w:tabs>
          <w:tab w:val="clear" w:leader="none" w:pos="720"/>
          <w:tab w:val="num" w:leader="none" w:pos="0"/>
        </w:tabs>
        <w:spacing w:before="0" w:beforeAutospacing="off" w:after="0" w:afterAutospacing="off" w:line="360" w:lineRule="auto"/>
        <w:ind w:left="0" w:firstLine="0"/>
        <w:rPr>
          <w:rFonts w:ascii="Arial" w:hAnsi="Arial" w:eastAsia="Arial" w:cs="Arial"/>
          <w:noProof w:val="0"/>
          <w:sz w:val="22"/>
          <w:szCs w:val="22"/>
          <w:lang w:val="en-GB"/>
        </w:rPr>
      </w:pPr>
      <w:r w:rsidRPr="5FF0A1E2" w:rsidR="3EB9B2EE">
        <w:rPr>
          <w:rFonts w:ascii="Arial" w:hAnsi="Arial" w:eastAsia="Arial" w:cs="Arial"/>
          <w:noProof w:val="0"/>
          <w:sz w:val="22"/>
          <w:szCs w:val="22"/>
          <w:lang w:val="en-GB"/>
        </w:rPr>
        <w:t xml:space="preserve">The educational support provided to children with chronic illnesses varies significantly across global contexts, reflecting differences in policy priorities, health–education collaboration, and cultural attitudes towards disability and illness. Internationally, there is growing recognition that chronic illness </w:t>
      </w:r>
      <w:r w:rsidRPr="5FF0A1E2" w:rsidR="3EB9B2EE">
        <w:rPr>
          <w:rFonts w:ascii="Arial" w:hAnsi="Arial" w:eastAsia="Arial" w:cs="Arial"/>
          <w:noProof w:val="0"/>
          <w:sz w:val="22"/>
          <w:szCs w:val="22"/>
          <w:lang w:val="en-GB"/>
        </w:rPr>
        <w:t>constitutes</w:t>
      </w:r>
      <w:r w:rsidRPr="5FF0A1E2" w:rsidR="3EB9B2EE">
        <w:rPr>
          <w:rFonts w:ascii="Arial" w:hAnsi="Arial" w:eastAsia="Arial" w:cs="Arial"/>
          <w:noProof w:val="0"/>
          <w:sz w:val="22"/>
          <w:szCs w:val="22"/>
          <w:lang w:val="en-GB"/>
        </w:rPr>
        <w:t xml:space="preserve"> a major barrier to educational participation, prompting countries to adopt policies aimed at reducing inequities and promoting inclusive schooling (UNESCO, 2020). Many nations now frame support for chronically ill children within broader inclusive education agendas, emphasising access, participation, and cross-sector coordination.</w:t>
      </w:r>
    </w:p>
    <w:p w:rsidR="5FF0A1E2" w:rsidP="5FF0A1E2" w:rsidRDefault="5FF0A1E2" w14:paraId="4163054C" w14:textId="4B2552C5">
      <w:pPr>
        <w:pStyle w:val="paragraph"/>
        <w:tabs>
          <w:tab w:val="clear" w:leader="none" w:pos="720"/>
          <w:tab w:val="num" w:leader="none" w:pos="0"/>
        </w:tabs>
        <w:spacing w:before="0" w:beforeAutospacing="off" w:after="0" w:afterAutospacing="off" w:line="360" w:lineRule="auto"/>
        <w:ind w:left="0" w:firstLine="0"/>
        <w:rPr>
          <w:rStyle w:val="normaltextrun"/>
          <w:rFonts w:ascii="Arial" w:hAnsi="Arial" w:eastAsia="Arial" w:cs="Arial"/>
          <w:b w:val="1"/>
          <w:bCs w:val="1"/>
          <w:sz w:val="22"/>
          <w:szCs w:val="22"/>
        </w:rPr>
      </w:pPr>
    </w:p>
    <w:p w:rsidRPr="00F44833" w:rsidR="00BD2909" w:rsidP="5FF0A1E2" w:rsidRDefault="00BD2909" w14:paraId="03867E69" w14:textId="77777777">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Comparative Analysis:</w:t>
      </w:r>
      <w:r w:rsidRPr="5FF0A1E2" w:rsidR="031E6882">
        <w:rPr>
          <w:rStyle w:val="eop"/>
          <w:rFonts w:ascii="Arial" w:hAnsi="Arial" w:eastAsia="Arial" w:cs="Arial"/>
          <w:sz w:val="22"/>
          <w:szCs w:val="22"/>
        </w:rPr>
        <w:t> </w:t>
      </w:r>
    </w:p>
    <w:p w:rsidRPr="00F44833" w:rsidR="00BD2909" w:rsidP="5FF0A1E2" w:rsidRDefault="00BD2909" w14:paraId="71A9E8BD" w14:textId="397B9530">
      <w:pPr>
        <w:spacing w:before="240" w:beforeAutospacing="off" w:after="240" w:afterAutospacing="off" w:line="360" w:lineRule="auto"/>
        <w:ind/>
        <w:textAlignment w:val="baseline"/>
        <w:rPr>
          <w:rFonts w:ascii="Arial" w:hAnsi="Arial" w:eastAsia="Arial" w:cs="Arial"/>
          <w:noProof w:val="0"/>
          <w:sz w:val="22"/>
          <w:szCs w:val="22"/>
          <w:lang w:val="en-GB"/>
        </w:rPr>
      </w:pPr>
      <w:r w:rsidRPr="5FF0A1E2" w:rsidR="494CBE92">
        <w:rPr>
          <w:rFonts w:ascii="Arial" w:hAnsi="Arial" w:eastAsia="Arial" w:cs="Arial"/>
          <w:noProof w:val="0"/>
          <w:sz w:val="22"/>
          <w:szCs w:val="22"/>
          <w:lang w:val="en-GB"/>
        </w:rPr>
        <w:t>Key global trends include the development of national health-in-education frameworks, the integration of medical support within schools, and the expansion of remote or hospital-based education services. For example, in Australia, national guidelines require schools to implement individualised health plans and ensure continuity of learning during hospitalisation (Australian Government Department of Education, 2019). Nordic countries, particularly Sweden and Norway, take a rights-based approach, ensuring strong collaboration between health and education authorities to minimise disruptions to schooling caused by long-term conditions (Haug, 2017).</w:t>
      </w:r>
    </w:p>
    <w:p w:rsidRPr="00F44833" w:rsidR="00BD2909" w:rsidP="5FF0A1E2" w:rsidRDefault="00BD2909" w14:paraId="0786934D" w14:textId="04B63F14">
      <w:pPr>
        <w:spacing w:before="240" w:beforeAutospacing="off" w:after="240" w:afterAutospacing="off" w:line="360" w:lineRule="auto"/>
        <w:ind/>
        <w:textAlignment w:val="baseline"/>
        <w:rPr>
          <w:rFonts w:ascii="Arial" w:hAnsi="Arial" w:eastAsia="Arial" w:cs="Arial"/>
          <w:noProof w:val="0"/>
          <w:sz w:val="22"/>
          <w:szCs w:val="22"/>
          <w:lang w:val="en-GB"/>
        </w:rPr>
      </w:pPr>
      <w:r w:rsidRPr="5FF0A1E2" w:rsidR="494CBE92">
        <w:rPr>
          <w:rFonts w:ascii="Arial" w:hAnsi="Arial" w:eastAsia="Arial" w:cs="Arial"/>
          <w:noProof w:val="0"/>
          <w:sz w:val="22"/>
          <w:szCs w:val="22"/>
          <w:lang w:val="en-GB"/>
        </w:rPr>
        <w:t>Comparatively, countries differ in how systematically these policies are implemented. The United States, for instance, mandates school-based support through laws such as Section 504 of the Rehabilitation Act and the Individuals with Disabilities Education Improvement Act, which require reasonable adjustments and individualised educational support for children with chronic health needs (Gilmour, 2021). In contrast, low- and middle-income countries often face challenges related to limited resources, fragmented services, and a lack of trained staff, resulting in inconsistent provision for chronically ill students (Krause et al., 2020). These disparities highlight persistent inequalities in access to support across the globe.</w:t>
      </w:r>
    </w:p>
    <w:p w:rsidRPr="00F44833" w:rsidR="00BD2909" w:rsidP="5FF0A1E2" w:rsidRDefault="00BD2909" w14:paraId="63BB102D" w14:textId="323B92B1">
      <w:pPr>
        <w:pStyle w:val="paragraph"/>
        <w:tabs>
          <w:tab w:val="clear" w:leader="none" w:pos="720"/>
          <w:tab w:val="num" w:leader="none"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Case Studies:</w:t>
      </w:r>
      <w:r w:rsidRPr="5FF0A1E2" w:rsidR="031E6882">
        <w:rPr>
          <w:rStyle w:val="eop"/>
          <w:rFonts w:ascii="Arial" w:hAnsi="Arial" w:eastAsia="Arial" w:cs="Arial"/>
          <w:sz w:val="22"/>
          <w:szCs w:val="22"/>
        </w:rPr>
        <w:t> </w:t>
      </w:r>
    </w:p>
    <w:p w:rsidRPr="00F44833" w:rsidR="00BD2909" w:rsidP="5FF0A1E2" w:rsidRDefault="00BD2909" w14:paraId="0B984578" w14:textId="0DA2E1B0">
      <w:pPr>
        <w:pStyle w:val="paragraph"/>
        <w:spacing w:before="240" w:beforeAutospacing="off" w:after="240" w:afterAutospacing="off" w:line="360" w:lineRule="auto"/>
        <w:ind/>
        <w:textAlignment w:val="baseline"/>
        <w:rPr>
          <w:rFonts w:ascii="Arial" w:hAnsi="Arial" w:eastAsia="Arial" w:cs="Arial"/>
          <w:sz w:val="22"/>
          <w:szCs w:val="22"/>
        </w:rPr>
      </w:pPr>
      <w:r w:rsidRPr="5FF0A1E2" w:rsidR="3A560748">
        <w:rPr>
          <w:rFonts w:ascii="Arial" w:hAnsi="Arial" w:eastAsia="Arial" w:cs="Arial"/>
          <w:noProof w:val="0"/>
          <w:sz w:val="22"/>
          <w:szCs w:val="22"/>
          <w:lang w:val="en-GB"/>
        </w:rPr>
        <w:t xml:space="preserve">Several international initiatives aim to reduce these inequities. UNESCO’s </w:t>
      </w:r>
      <w:r w:rsidRPr="5FF0A1E2" w:rsidR="3A560748">
        <w:rPr>
          <w:rFonts w:ascii="Arial" w:hAnsi="Arial" w:eastAsia="Arial" w:cs="Arial"/>
          <w:i w:val="0"/>
          <w:iCs w:val="0"/>
          <w:noProof w:val="0"/>
          <w:sz w:val="22"/>
          <w:szCs w:val="22"/>
          <w:lang w:val="en-GB"/>
        </w:rPr>
        <w:t>Global Education Monitoring Report</w:t>
      </w:r>
      <w:r w:rsidRPr="5FF0A1E2" w:rsidR="3A560748">
        <w:rPr>
          <w:rFonts w:ascii="Arial" w:hAnsi="Arial" w:eastAsia="Arial" w:cs="Arial"/>
          <w:i w:val="0"/>
          <w:iCs w:val="0"/>
          <w:noProof w:val="0"/>
          <w:sz w:val="22"/>
          <w:szCs w:val="22"/>
          <w:lang w:val="en-GB"/>
        </w:rPr>
        <w:t xml:space="preserve"> has called for improved integration of health services in schools and emphasised the importance of reducing absenteeism and dropout rates among medically vulnerable children (UNESCO, 2020). Similarly, the WHO’s </w:t>
      </w:r>
      <w:r w:rsidRPr="5FF0A1E2" w:rsidR="3A560748">
        <w:rPr>
          <w:rFonts w:ascii="Arial" w:hAnsi="Arial" w:eastAsia="Arial" w:cs="Arial"/>
          <w:i w:val="0"/>
          <w:iCs w:val="0"/>
          <w:noProof w:val="0"/>
          <w:sz w:val="22"/>
          <w:szCs w:val="22"/>
          <w:lang w:val="en-GB"/>
        </w:rPr>
        <w:t>School Health Programme</w:t>
      </w:r>
      <w:r w:rsidRPr="5FF0A1E2" w:rsidR="3A560748">
        <w:rPr>
          <w:rFonts w:ascii="Arial" w:hAnsi="Arial" w:eastAsia="Arial" w:cs="Arial"/>
          <w:i w:val="0"/>
          <w:iCs w:val="0"/>
          <w:noProof w:val="0"/>
          <w:sz w:val="22"/>
          <w:szCs w:val="22"/>
          <w:lang w:val="en-GB"/>
        </w:rPr>
        <w:t xml:space="preserve"> advocates for stronger health</w:t>
      </w:r>
      <w:r w:rsidRPr="5FF0A1E2" w:rsidR="5DA7D47F">
        <w:rPr>
          <w:rFonts w:ascii="Arial" w:hAnsi="Arial" w:eastAsia="Arial" w:cs="Arial"/>
          <w:i w:val="0"/>
          <w:iCs w:val="0"/>
          <w:noProof w:val="0"/>
          <w:sz w:val="22"/>
          <w:szCs w:val="22"/>
          <w:lang w:val="en-GB"/>
        </w:rPr>
        <w:t xml:space="preserve"> </w:t>
      </w:r>
      <w:r w:rsidRPr="5FF0A1E2" w:rsidR="3A560748">
        <w:rPr>
          <w:rFonts w:ascii="Arial" w:hAnsi="Arial" w:eastAsia="Arial" w:cs="Arial"/>
          <w:i w:val="0"/>
          <w:iCs w:val="0"/>
          <w:noProof w:val="0"/>
          <w:sz w:val="22"/>
          <w:szCs w:val="22"/>
          <w:lang w:val="en-GB"/>
        </w:rPr>
        <w:t xml:space="preserve">education partnerships worldwide, supporting countries to develop </w:t>
      </w:r>
      <w:r w:rsidRPr="5FF0A1E2" w:rsidR="14977AF1">
        <w:rPr>
          <w:rFonts w:ascii="Arial" w:hAnsi="Arial" w:eastAsia="Arial" w:cs="Arial"/>
          <w:i w:val="0"/>
          <w:iCs w:val="0"/>
          <w:noProof w:val="0"/>
          <w:sz w:val="22"/>
          <w:szCs w:val="22"/>
          <w:lang w:val="en-GB"/>
        </w:rPr>
        <w:t>school-based</w:t>
      </w:r>
      <w:r w:rsidRPr="5FF0A1E2" w:rsidR="3A560748">
        <w:rPr>
          <w:rFonts w:ascii="Arial" w:hAnsi="Arial" w:eastAsia="Arial" w:cs="Arial"/>
          <w:i w:val="0"/>
          <w:iCs w:val="0"/>
          <w:noProof w:val="0"/>
          <w:sz w:val="22"/>
          <w:szCs w:val="22"/>
          <w:lang w:val="en-GB"/>
        </w:rPr>
        <w:t xml:space="preserve"> health interventions that include chronic illness management (World Health Organization, 2018).</w:t>
      </w:r>
    </w:p>
    <w:p w:rsidRPr="00F44833" w:rsidR="00BD2909" w:rsidP="5FF0A1E2" w:rsidRDefault="00BD2909" w14:paraId="11B34065" w14:textId="3662F523">
      <w:pPr>
        <w:spacing w:before="240" w:beforeAutospacing="off" w:after="240" w:afterAutospacing="off" w:line="360" w:lineRule="auto"/>
        <w:ind/>
        <w:textAlignment w:val="baseline"/>
        <w:rPr>
          <w:rFonts w:ascii="Arial" w:hAnsi="Arial" w:eastAsia="Arial" w:cs="Arial"/>
          <w:noProof w:val="0"/>
          <w:sz w:val="22"/>
          <w:szCs w:val="22"/>
          <w:lang w:val="en-GB"/>
        </w:rPr>
      </w:pPr>
      <w:r w:rsidRPr="5FF0A1E2" w:rsidR="3A560748">
        <w:rPr>
          <w:rFonts w:ascii="Arial" w:hAnsi="Arial" w:eastAsia="Arial" w:cs="Arial"/>
          <w:noProof w:val="0"/>
          <w:sz w:val="22"/>
          <w:szCs w:val="22"/>
          <w:lang w:val="en-GB"/>
        </w:rPr>
        <w:t xml:space="preserve">Case studies further illustrate international diversity in practice. In Japan, “school return support teams” help children transition back to school after prolonged hospital stays, </w:t>
      </w:r>
      <w:r w:rsidRPr="5FF0A1E2" w:rsidR="3A560748">
        <w:rPr>
          <w:rFonts w:ascii="Arial" w:hAnsi="Arial" w:eastAsia="Arial" w:cs="Arial"/>
          <w:noProof w:val="0"/>
          <w:sz w:val="22"/>
          <w:szCs w:val="22"/>
          <w:lang w:val="en-GB"/>
        </w:rPr>
        <w:t>demonstrating</w:t>
      </w:r>
      <w:r w:rsidRPr="5FF0A1E2" w:rsidR="3A560748">
        <w:rPr>
          <w:rFonts w:ascii="Arial" w:hAnsi="Arial" w:eastAsia="Arial" w:cs="Arial"/>
          <w:noProof w:val="0"/>
          <w:sz w:val="22"/>
          <w:szCs w:val="22"/>
          <w:lang w:val="en-GB"/>
        </w:rPr>
        <w:t xml:space="preserve"> a coordinated and culturally sensitive approach to reintegration (Okubo &amp; Izumi, 2019). Meanwhile, South Africa’s hospital schools provide essential educational continuity, but they struggle with underfunding and teacher shortages, limiting their effectiveness (Nkosi, 2021). These examples show that while many countries recognise the importance of supporting chronically ill learners, the ability to implement comprehensive support structures varies widely.</w:t>
      </w:r>
    </w:p>
    <w:p w:rsidRPr="00F44833" w:rsidR="00BD2909" w:rsidP="5FF0A1E2" w:rsidRDefault="00BD2909" w14:paraId="302C6B72" w14:textId="099C9825">
      <w:pPr>
        <w:pStyle w:val="paragraph"/>
        <w:tabs>
          <w:tab w:val="clear" w:leader="none" w:pos="720"/>
          <w:tab w:val="num" w:leader="none" w:pos="0"/>
        </w:tabs>
        <w:spacing w:before="0" w:beforeAutospacing="off" w:after="0" w:afterAutospacing="off" w:line="360" w:lineRule="auto"/>
        <w:ind w:left="0" w:firstLine="0"/>
        <w:textAlignment w:val="baseline"/>
        <w:rPr>
          <w:rStyle w:val="eop"/>
          <w:rFonts w:ascii="Arial" w:hAnsi="Arial" w:eastAsia="Arial" w:cs="Arial"/>
          <w:sz w:val="22"/>
          <w:szCs w:val="22"/>
        </w:rPr>
      </w:pPr>
    </w:p>
    <w:p w:rsidRPr="00F44833" w:rsidR="00BD2909" w:rsidP="5FF0A1E2" w:rsidRDefault="00BD2909" w14:paraId="3322C689" w14:textId="48DD5F63">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2.5 National/Local UK Context</w:t>
      </w:r>
    </w:p>
    <w:p w:rsidRPr="00F44833" w:rsidR="00BD2909" w:rsidP="5FF0A1E2" w:rsidRDefault="00BD2909" w14:paraId="5827529B" w14:textId="77777777"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031E6882">
        <w:rPr>
          <w:rStyle w:val="eop"/>
          <w:rFonts w:ascii="Arial" w:hAnsi="Arial" w:eastAsia="Arial" w:cs="Arial"/>
          <w:sz w:val="22"/>
          <w:szCs w:val="22"/>
        </w:rPr>
        <w:t> </w:t>
      </w:r>
    </w:p>
    <w:p w:rsidRPr="00F44833" w:rsidR="00BD2909" w:rsidP="5FF0A1E2" w:rsidRDefault="00BD2909" w14:paraId="7798E02B" w14:textId="77777777">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UK Perspective:</w:t>
      </w:r>
      <w:r w:rsidRPr="5FF0A1E2" w:rsidR="031E6882">
        <w:rPr>
          <w:rStyle w:val="eop"/>
          <w:rFonts w:ascii="Arial" w:hAnsi="Arial" w:eastAsia="Arial" w:cs="Arial"/>
          <w:sz w:val="22"/>
          <w:szCs w:val="22"/>
        </w:rPr>
        <w:t> </w:t>
      </w:r>
    </w:p>
    <w:p w:rsidR="5FF0A1E2" w:rsidP="5FF0A1E2" w:rsidRDefault="5FF0A1E2" w14:paraId="6D716788" w14:textId="66299148">
      <w:pPr>
        <w:pStyle w:val="paragraph"/>
        <w:tabs>
          <w:tab w:val="clear" w:leader="none" w:pos="720"/>
          <w:tab w:val="num" w:leader="none" w:pos="0"/>
        </w:tabs>
        <w:spacing w:before="0" w:beforeAutospacing="off" w:after="0" w:afterAutospacing="off" w:line="360" w:lineRule="auto"/>
        <w:ind w:left="0" w:firstLine="0"/>
        <w:rPr>
          <w:rFonts w:ascii="Arial" w:hAnsi="Arial" w:eastAsia="Arial" w:cs="Arial"/>
          <w:noProof w:val="0"/>
          <w:sz w:val="22"/>
          <w:szCs w:val="22"/>
          <w:lang w:val="en-GB"/>
        </w:rPr>
      </w:pPr>
    </w:p>
    <w:p w:rsidR="0E09E39D" w:rsidP="5FF0A1E2" w:rsidRDefault="0E09E39D" w14:paraId="50704A09" w14:textId="6EFBC92E">
      <w:pPr>
        <w:pStyle w:val="paragraph"/>
        <w:tabs>
          <w:tab w:val="clear" w:leader="none" w:pos="720"/>
          <w:tab w:val="num" w:leader="none" w:pos="0"/>
        </w:tabs>
        <w:spacing w:before="0" w:beforeAutospacing="off" w:after="0" w:afterAutospacing="off" w:line="360" w:lineRule="auto"/>
        <w:ind w:left="0" w:firstLine="0"/>
        <w:rPr>
          <w:rFonts w:ascii="Arial" w:hAnsi="Arial" w:eastAsia="Arial" w:cs="Arial"/>
          <w:noProof w:val="0"/>
          <w:sz w:val="22"/>
          <w:szCs w:val="22"/>
          <w:lang w:val="en-GB"/>
        </w:rPr>
      </w:pPr>
      <w:r w:rsidRPr="5FF0A1E2" w:rsidR="0E09E39D">
        <w:rPr>
          <w:rFonts w:ascii="Arial" w:hAnsi="Arial" w:eastAsia="Arial" w:cs="Arial"/>
          <w:noProof w:val="0"/>
          <w:sz w:val="22"/>
          <w:szCs w:val="22"/>
          <w:lang w:val="en-GB"/>
        </w:rPr>
        <w:t xml:space="preserve">In the United Kingdom, supporting children with chronic illnesses in education is recognised as a vital </w:t>
      </w:r>
      <w:r w:rsidRPr="5FF0A1E2" w:rsidR="0E09E39D">
        <w:rPr>
          <w:rFonts w:ascii="Arial" w:hAnsi="Arial" w:eastAsia="Arial" w:cs="Arial"/>
          <w:noProof w:val="0"/>
          <w:sz w:val="22"/>
          <w:szCs w:val="22"/>
          <w:lang w:val="en-GB"/>
        </w:rPr>
        <w:t>component</w:t>
      </w:r>
      <w:r w:rsidRPr="5FF0A1E2" w:rsidR="0E09E39D">
        <w:rPr>
          <w:rFonts w:ascii="Arial" w:hAnsi="Arial" w:eastAsia="Arial" w:cs="Arial"/>
          <w:noProof w:val="0"/>
          <w:sz w:val="22"/>
          <w:szCs w:val="22"/>
          <w:lang w:val="en-GB"/>
        </w:rPr>
        <w:t xml:space="preserve"> of promoting equality, safeguarding wellbeing, and ensuring access to learning. Nationally, the topic is framed within the broader commitment to inclusive education, with chronic illness increasingly acknowledged as a factor that can significantly </w:t>
      </w:r>
      <w:r w:rsidRPr="5FF0A1E2" w:rsidR="0E09E39D">
        <w:rPr>
          <w:rFonts w:ascii="Arial" w:hAnsi="Arial" w:eastAsia="Arial" w:cs="Arial"/>
          <w:noProof w:val="0"/>
          <w:sz w:val="22"/>
          <w:szCs w:val="22"/>
          <w:lang w:val="en-GB"/>
        </w:rPr>
        <w:t>impact</w:t>
      </w:r>
      <w:r w:rsidRPr="5FF0A1E2" w:rsidR="0E09E39D">
        <w:rPr>
          <w:rFonts w:ascii="Arial" w:hAnsi="Arial" w:eastAsia="Arial" w:cs="Arial"/>
          <w:noProof w:val="0"/>
          <w:sz w:val="22"/>
          <w:szCs w:val="22"/>
          <w:lang w:val="en-GB"/>
        </w:rPr>
        <w:t xml:space="preserve"> attendance, attainment, and emotional wellbeing (Long and Gulliford, 2023). The UK has adopted </w:t>
      </w:r>
      <w:r w:rsidRPr="5FF0A1E2" w:rsidR="0E09E39D">
        <w:rPr>
          <w:rFonts w:ascii="Arial" w:hAnsi="Arial" w:eastAsia="Arial" w:cs="Arial"/>
          <w:noProof w:val="0"/>
          <w:sz w:val="22"/>
          <w:szCs w:val="22"/>
          <w:lang w:val="en-GB"/>
        </w:rPr>
        <w:t>a holistic approach</w:t>
      </w:r>
      <w:r w:rsidRPr="5FF0A1E2" w:rsidR="0E09E39D">
        <w:rPr>
          <w:rFonts w:ascii="Arial" w:hAnsi="Arial" w:eastAsia="Arial" w:cs="Arial"/>
          <w:noProof w:val="0"/>
          <w:sz w:val="22"/>
          <w:szCs w:val="22"/>
          <w:lang w:val="en-GB"/>
        </w:rPr>
        <w:t xml:space="preserve"> that emphasises collaboration between schools, health services, and families, ensuring that support is tailored to individual medical and educational needs.</w:t>
      </w:r>
    </w:p>
    <w:p w:rsidR="5FF0A1E2" w:rsidP="5FF0A1E2" w:rsidRDefault="5FF0A1E2" w14:paraId="4E9D1A1A" w14:textId="1D91D191">
      <w:pPr>
        <w:pStyle w:val="paragraph"/>
        <w:tabs>
          <w:tab w:val="clear" w:leader="none" w:pos="720"/>
          <w:tab w:val="num" w:leader="none" w:pos="0"/>
        </w:tabs>
        <w:spacing w:before="0" w:beforeAutospacing="off" w:after="0" w:afterAutospacing="off" w:line="360" w:lineRule="auto"/>
        <w:ind w:left="0" w:firstLine="0"/>
        <w:rPr>
          <w:rStyle w:val="normaltextrun"/>
          <w:rFonts w:ascii="Arial" w:hAnsi="Arial" w:eastAsia="Arial" w:cs="Arial"/>
          <w:b w:val="1"/>
          <w:bCs w:val="1"/>
          <w:sz w:val="22"/>
          <w:szCs w:val="22"/>
        </w:rPr>
      </w:pPr>
    </w:p>
    <w:p w:rsidR="5FF0A1E2" w:rsidP="5FF0A1E2" w:rsidRDefault="5FF0A1E2" w14:paraId="7F2CED42" w14:textId="7FDE998F">
      <w:pPr>
        <w:pStyle w:val="paragraph"/>
        <w:tabs>
          <w:tab w:val="clear" w:leader="none" w:pos="720"/>
          <w:tab w:val="num" w:leader="none" w:pos="0"/>
        </w:tabs>
        <w:spacing w:before="0" w:beforeAutospacing="off" w:after="0" w:afterAutospacing="off" w:line="360" w:lineRule="auto"/>
        <w:ind w:left="0" w:firstLine="0"/>
        <w:rPr>
          <w:rStyle w:val="normaltextrun"/>
          <w:rFonts w:ascii="Arial" w:hAnsi="Arial" w:eastAsia="Arial" w:cs="Arial"/>
          <w:b w:val="1"/>
          <w:bCs w:val="1"/>
          <w:sz w:val="22"/>
          <w:szCs w:val="22"/>
        </w:rPr>
      </w:pPr>
    </w:p>
    <w:p w:rsidR="5FF0A1E2" w:rsidP="5FF0A1E2" w:rsidRDefault="5FF0A1E2" w14:paraId="160B5EE0" w14:textId="02A4CF11">
      <w:pPr>
        <w:pStyle w:val="paragraph"/>
        <w:tabs>
          <w:tab w:val="clear" w:leader="none" w:pos="720"/>
          <w:tab w:val="num" w:leader="none" w:pos="0"/>
        </w:tabs>
        <w:spacing w:before="0" w:beforeAutospacing="off" w:after="0" w:afterAutospacing="off" w:line="360" w:lineRule="auto"/>
        <w:ind w:left="0" w:firstLine="0"/>
        <w:rPr>
          <w:rStyle w:val="normaltextrun"/>
          <w:rFonts w:ascii="Arial" w:hAnsi="Arial" w:eastAsia="Arial" w:cs="Arial"/>
          <w:b w:val="1"/>
          <w:bCs w:val="1"/>
          <w:sz w:val="22"/>
          <w:szCs w:val="22"/>
        </w:rPr>
      </w:pPr>
    </w:p>
    <w:p w:rsidR="5FF0A1E2" w:rsidP="5FF0A1E2" w:rsidRDefault="5FF0A1E2" w14:paraId="0E1FAF38" w14:textId="1F67699F">
      <w:pPr>
        <w:pStyle w:val="paragraph"/>
        <w:tabs>
          <w:tab w:val="clear" w:leader="none" w:pos="720"/>
          <w:tab w:val="num" w:leader="none" w:pos="0"/>
        </w:tabs>
        <w:spacing w:before="0" w:beforeAutospacing="off" w:after="0" w:afterAutospacing="off" w:line="360" w:lineRule="auto"/>
        <w:ind w:left="0" w:firstLine="0"/>
        <w:rPr>
          <w:rStyle w:val="normaltextrun"/>
          <w:rFonts w:ascii="Arial" w:hAnsi="Arial" w:eastAsia="Arial" w:cs="Arial"/>
          <w:b w:val="1"/>
          <w:bCs w:val="1"/>
          <w:sz w:val="22"/>
          <w:szCs w:val="22"/>
        </w:rPr>
      </w:pPr>
    </w:p>
    <w:p w:rsidRPr="00F44833" w:rsidR="00BD2909" w:rsidP="5FF0A1E2" w:rsidRDefault="00BD2909" w14:paraId="541897B0" w14:textId="45E57CF7">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Policy and Regulation:</w:t>
      </w:r>
      <w:r w:rsidRPr="5FF0A1E2" w:rsidR="031E6882">
        <w:rPr>
          <w:rStyle w:val="eop"/>
          <w:rFonts w:ascii="Arial" w:hAnsi="Arial" w:eastAsia="Arial" w:cs="Arial"/>
          <w:sz w:val="22"/>
          <w:szCs w:val="22"/>
        </w:rPr>
        <w:t> </w:t>
      </w:r>
    </w:p>
    <w:p w:rsidRPr="00F44833" w:rsidR="00BD2909" w:rsidP="5FF0A1E2" w:rsidRDefault="00BD2909" w14:paraId="369D2243" w14:textId="19C792FA">
      <w:pPr>
        <w:spacing w:before="240" w:beforeAutospacing="off" w:after="240" w:afterAutospacing="off" w:line="360" w:lineRule="auto"/>
        <w:ind/>
        <w:textAlignment w:val="baseline"/>
        <w:rPr>
          <w:rFonts w:ascii="Arial" w:hAnsi="Arial" w:eastAsia="Arial" w:cs="Arial"/>
          <w:noProof w:val="0"/>
          <w:sz w:val="22"/>
          <w:szCs w:val="22"/>
          <w:lang w:val="en-GB"/>
        </w:rPr>
      </w:pPr>
      <w:r w:rsidRPr="5FF0A1E2" w:rsidR="2503FC73">
        <w:rPr>
          <w:rFonts w:ascii="Arial" w:hAnsi="Arial" w:eastAsia="Arial" w:cs="Arial"/>
          <w:noProof w:val="0"/>
          <w:sz w:val="22"/>
          <w:szCs w:val="22"/>
          <w:lang w:val="en-GB"/>
        </w:rPr>
        <w:t xml:space="preserve">A key national policy shaping practice is the </w:t>
      </w:r>
      <w:r w:rsidRPr="5FF0A1E2" w:rsidR="2503FC73">
        <w:rPr>
          <w:rFonts w:ascii="Arial" w:hAnsi="Arial" w:eastAsia="Arial" w:cs="Arial"/>
          <w:b w:val="0"/>
          <w:bCs w:val="0"/>
          <w:noProof w:val="0"/>
          <w:sz w:val="22"/>
          <w:szCs w:val="22"/>
          <w:lang w:val="en-GB"/>
        </w:rPr>
        <w:t>Children and Families Act 2014</w:t>
      </w:r>
      <w:r w:rsidRPr="5FF0A1E2" w:rsidR="2503FC73">
        <w:rPr>
          <w:rFonts w:ascii="Arial" w:hAnsi="Arial" w:eastAsia="Arial" w:cs="Arial"/>
          <w:b w:val="0"/>
          <w:bCs w:val="0"/>
          <w:noProof w:val="0"/>
          <w:sz w:val="22"/>
          <w:szCs w:val="22"/>
          <w:lang w:val="en-GB"/>
        </w:rPr>
        <w:t>,</w:t>
      </w:r>
      <w:r w:rsidRPr="5FF0A1E2" w:rsidR="2503FC73">
        <w:rPr>
          <w:rFonts w:ascii="Arial" w:hAnsi="Arial" w:eastAsia="Arial" w:cs="Arial"/>
          <w:noProof w:val="0"/>
          <w:sz w:val="22"/>
          <w:szCs w:val="22"/>
          <w:lang w:val="en-GB"/>
        </w:rPr>
        <w:t xml:space="preserve"> which </w:t>
      </w:r>
      <w:r w:rsidRPr="5FF0A1E2" w:rsidR="2503FC73">
        <w:rPr>
          <w:rFonts w:ascii="Arial" w:hAnsi="Arial" w:eastAsia="Arial" w:cs="Arial"/>
          <w:noProof w:val="0"/>
          <w:sz w:val="22"/>
          <w:szCs w:val="22"/>
          <w:lang w:val="en-GB"/>
        </w:rPr>
        <w:t>established</w:t>
      </w:r>
      <w:r w:rsidRPr="5FF0A1E2" w:rsidR="2503FC73">
        <w:rPr>
          <w:rFonts w:ascii="Arial" w:hAnsi="Arial" w:eastAsia="Arial" w:cs="Arial"/>
          <w:noProof w:val="0"/>
          <w:sz w:val="22"/>
          <w:szCs w:val="22"/>
          <w:lang w:val="en-GB"/>
        </w:rPr>
        <w:t xml:space="preserve"> the requirement for schools to support pupils with medical conditions and to implement Individual Healthcare Plans (IHPs). Its accompanying statutory guidance, </w:t>
      </w:r>
      <w:r w:rsidRPr="5FF0A1E2" w:rsidR="2503FC73">
        <w:rPr>
          <w:rFonts w:ascii="Arial" w:hAnsi="Arial" w:eastAsia="Arial" w:cs="Arial"/>
          <w:i w:val="0"/>
          <w:iCs w:val="0"/>
          <w:noProof w:val="0"/>
          <w:sz w:val="22"/>
          <w:szCs w:val="22"/>
          <w:lang w:val="en-GB"/>
        </w:rPr>
        <w:t>Supporting Pupils at School with Medical Conditions</w:t>
      </w:r>
      <w:r w:rsidRPr="5FF0A1E2" w:rsidR="2503FC73">
        <w:rPr>
          <w:rFonts w:ascii="Arial" w:hAnsi="Arial" w:eastAsia="Arial" w:cs="Arial"/>
          <w:noProof w:val="0"/>
          <w:sz w:val="22"/>
          <w:szCs w:val="22"/>
          <w:lang w:val="en-GB"/>
        </w:rPr>
        <w:t xml:space="preserve"> (Department for Education, 2015), sets out expectations for training, communication with health professionals, risk assessments, and </w:t>
      </w:r>
      <w:r w:rsidRPr="5FF0A1E2" w:rsidR="2503FC73">
        <w:rPr>
          <w:rFonts w:ascii="Arial" w:hAnsi="Arial" w:eastAsia="Arial" w:cs="Arial"/>
          <w:noProof w:val="0"/>
          <w:sz w:val="22"/>
          <w:szCs w:val="22"/>
          <w:lang w:val="en-GB"/>
        </w:rPr>
        <w:t>appropriate adjustments</w:t>
      </w:r>
      <w:r w:rsidRPr="5FF0A1E2" w:rsidR="2503FC73">
        <w:rPr>
          <w:rFonts w:ascii="Arial" w:hAnsi="Arial" w:eastAsia="Arial" w:cs="Arial"/>
          <w:noProof w:val="0"/>
          <w:sz w:val="22"/>
          <w:szCs w:val="22"/>
          <w:lang w:val="en-GB"/>
        </w:rPr>
        <w:t xml:space="preserve">. The Equality Act 2010 also plays </w:t>
      </w:r>
      <w:r w:rsidRPr="5FF0A1E2" w:rsidR="2503FC73">
        <w:rPr>
          <w:rFonts w:ascii="Arial" w:hAnsi="Arial" w:eastAsia="Arial" w:cs="Arial"/>
          <w:noProof w:val="0"/>
          <w:sz w:val="22"/>
          <w:szCs w:val="22"/>
          <w:lang w:val="en-GB"/>
        </w:rPr>
        <w:t>a central role</w:t>
      </w:r>
      <w:r w:rsidRPr="5FF0A1E2" w:rsidR="2503FC73">
        <w:rPr>
          <w:rFonts w:ascii="Arial" w:hAnsi="Arial" w:eastAsia="Arial" w:cs="Arial"/>
          <w:noProof w:val="0"/>
          <w:sz w:val="22"/>
          <w:szCs w:val="22"/>
          <w:lang w:val="en-GB"/>
        </w:rPr>
        <w:t xml:space="preserve"> by obliging schools to avoid discrimination and make reasonable adjustments for pupils with long-term health needs (Harris, 2021). These policies collectively ensure that chronic illness is recognised not only as a health issue but as an educational requirement that demands clear planning and provision.</w:t>
      </w:r>
    </w:p>
    <w:p w:rsidRPr="00F44833" w:rsidR="00BD2909" w:rsidP="5FF0A1E2" w:rsidRDefault="00BD2909" w14:paraId="44F98A4E" w14:textId="5549DF7A">
      <w:pPr>
        <w:spacing w:before="240" w:beforeAutospacing="off" w:after="240" w:afterAutospacing="off" w:line="360" w:lineRule="auto"/>
        <w:ind/>
        <w:textAlignment w:val="baseline"/>
        <w:rPr>
          <w:rFonts w:ascii="Arial" w:hAnsi="Arial" w:eastAsia="Arial" w:cs="Arial"/>
          <w:noProof w:val="0"/>
          <w:sz w:val="22"/>
          <w:szCs w:val="22"/>
          <w:lang w:val="en-GB"/>
        </w:rPr>
      </w:pPr>
      <w:r w:rsidRPr="5FF0A1E2" w:rsidR="2503FC73">
        <w:rPr>
          <w:rFonts w:ascii="Arial" w:hAnsi="Arial" w:eastAsia="Arial" w:cs="Arial"/>
          <w:noProof w:val="0"/>
          <w:sz w:val="22"/>
          <w:szCs w:val="22"/>
          <w:lang w:val="en-GB"/>
        </w:rPr>
        <w:t>National trends show increasing emphasis on mental health and attendance, both of which intersect with chronic illness. The UK government’s focus on reducing persistent absenteeism has led to concerns about how attendance policies account for legitimate illness-related absences (Menzies and Wood, 2022). At the same time, the NHS’s expansion of children and young people’s community health services has supported better integration between medical and educational care, especially for long-term conditions such as asthma, epilepsy, and diabetes (NHS England, 2020).</w:t>
      </w:r>
    </w:p>
    <w:p w:rsidRPr="00F44833" w:rsidR="00BD2909" w:rsidP="5FF0A1E2" w:rsidRDefault="00BD2909" w14:paraId="41CEB57F" w14:textId="74F463DC">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Local Context:</w:t>
      </w:r>
      <w:r w:rsidRPr="5FF0A1E2" w:rsidR="031E6882">
        <w:rPr>
          <w:rStyle w:val="eop"/>
          <w:rFonts w:ascii="Arial" w:hAnsi="Arial" w:eastAsia="Arial" w:cs="Arial"/>
          <w:sz w:val="22"/>
          <w:szCs w:val="22"/>
        </w:rPr>
        <w:t> </w:t>
      </w:r>
    </w:p>
    <w:p w:rsidRPr="00F44833" w:rsidR="00BD2909" w:rsidP="5FF0A1E2" w:rsidRDefault="00BD2909" w14:paraId="444BAA63" w14:textId="62A295A8">
      <w:pPr>
        <w:spacing w:before="240" w:beforeAutospacing="off" w:after="240" w:afterAutospacing="off" w:line="360" w:lineRule="auto"/>
        <w:ind/>
        <w:textAlignment w:val="baseline"/>
        <w:rPr>
          <w:rFonts w:ascii="Arial" w:hAnsi="Arial" w:eastAsia="Arial" w:cs="Arial"/>
          <w:noProof w:val="0"/>
          <w:sz w:val="22"/>
          <w:szCs w:val="22"/>
          <w:lang w:val="en-GB"/>
        </w:rPr>
      </w:pPr>
      <w:r w:rsidRPr="5FF0A1E2" w:rsidR="6D5B39E9">
        <w:rPr>
          <w:rFonts w:ascii="Arial" w:hAnsi="Arial" w:eastAsia="Arial" w:cs="Arial"/>
          <w:noProof w:val="0"/>
          <w:sz w:val="22"/>
          <w:szCs w:val="22"/>
          <w:lang w:val="en-GB"/>
        </w:rPr>
        <w:t>At the local level, implementation varies between regions and local authorities. Some areas, such as Greater Manchester and West Yorkshire, have developed integrated care systems that place education within wider child health strategies, improving coordination between schools and health teams (Sheard et al., 2022). Local authorities often support home and hospital tuition services for children unable to attend school, though provision differs based on funding, capacity, and regional priorities (Lambert, 2021). These regional variations can lead to discrepancies in the consistency and quality of support available.</w:t>
      </w:r>
    </w:p>
    <w:p w:rsidRPr="00F44833" w:rsidR="00BD2909" w:rsidP="5FF0A1E2" w:rsidRDefault="00BD2909" w14:paraId="09099AFE" w14:textId="5087E70B">
      <w:pPr>
        <w:spacing w:before="240" w:beforeAutospacing="off" w:after="240" w:afterAutospacing="off" w:line="360" w:lineRule="auto"/>
        <w:ind/>
        <w:textAlignment w:val="baseline"/>
        <w:rPr>
          <w:rFonts w:ascii="Arial" w:hAnsi="Arial" w:eastAsia="Arial" w:cs="Arial"/>
          <w:sz w:val="22"/>
          <w:szCs w:val="22"/>
        </w:rPr>
      </w:pPr>
      <w:r w:rsidRPr="5FF0A1E2" w:rsidR="6D5B39E9">
        <w:rPr>
          <w:rFonts w:ascii="Arial" w:hAnsi="Arial" w:eastAsia="Arial" w:cs="Arial"/>
          <w:noProof w:val="0"/>
          <w:sz w:val="22"/>
          <w:szCs w:val="22"/>
          <w:lang w:val="en-GB"/>
        </w:rPr>
        <w:t xml:space="preserve">Local initiatives also </w:t>
      </w:r>
      <w:r w:rsidRPr="5FF0A1E2" w:rsidR="6D5B39E9">
        <w:rPr>
          <w:rFonts w:ascii="Arial" w:hAnsi="Arial" w:eastAsia="Arial" w:cs="Arial"/>
          <w:noProof w:val="0"/>
          <w:sz w:val="22"/>
          <w:szCs w:val="22"/>
          <w:lang w:val="en-GB"/>
        </w:rPr>
        <w:t>demonstrate</w:t>
      </w:r>
      <w:r w:rsidRPr="5FF0A1E2" w:rsidR="6D5B39E9">
        <w:rPr>
          <w:rFonts w:ascii="Arial" w:hAnsi="Arial" w:eastAsia="Arial" w:cs="Arial"/>
          <w:noProof w:val="0"/>
          <w:sz w:val="22"/>
          <w:szCs w:val="22"/>
          <w:lang w:val="en-GB"/>
        </w:rPr>
        <w:t xml:space="preserve"> innovation. For example, certain London boroughs have piloted digital learning support for chronically ill pupils to </w:t>
      </w:r>
      <w:r w:rsidRPr="5FF0A1E2" w:rsidR="6D5B39E9">
        <w:rPr>
          <w:rFonts w:ascii="Arial" w:hAnsi="Arial" w:eastAsia="Arial" w:cs="Arial"/>
          <w:noProof w:val="0"/>
          <w:sz w:val="22"/>
          <w:szCs w:val="22"/>
          <w:lang w:val="en-GB"/>
        </w:rPr>
        <w:t>maintain</w:t>
      </w:r>
      <w:r w:rsidRPr="5FF0A1E2" w:rsidR="6D5B39E9">
        <w:rPr>
          <w:rFonts w:ascii="Arial" w:hAnsi="Arial" w:eastAsia="Arial" w:cs="Arial"/>
          <w:noProof w:val="0"/>
          <w:sz w:val="22"/>
          <w:szCs w:val="22"/>
          <w:lang w:val="en-GB"/>
        </w:rPr>
        <w:t xml:space="preserve"> academic continuity during treatment phases, while councils in Scotland have integrated school nurses more deeply into educational settings, enhancing monitoring and early intervention (Scottish Government, 2021). Such initiatives highlight the potential of locally driven programmes, while also underscoring the need for national consistency to reduce disparities in provision.</w:t>
      </w:r>
      <w:r w:rsidRPr="5FF0A1E2" w:rsidR="6D5B39E9">
        <w:rPr>
          <w:rStyle w:val="eop"/>
          <w:rFonts w:ascii="Arial" w:hAnsi="Arial" w:eastAsia="Arial" w:cs="Arial"/>
          <w:sz w:val="22"/>
          <w:szCs w:val="22"/>
        </w:rPr>
        <w:t xml:space="preserve"> </w:t>
      </w:r>
      <w:r w:rsidRPr="5FF0A1E2" w:rsidR="031E6882">
        <w:rPr>
          <w:rStyle w:val="eop"/>
          <w:rFonts w:ascii="Arial" w:hAnsi="Arial" w:eastAsia="Arial" w:cs="Arial"/>
          <w:sz w:val="22"/>
          <w:szCs w:val="22"/>
        </w:rPr>
        <w:t> </w:t>
      </w:r>
    </w:p>
    <w:p w:rsidRPr="00F44833" w:rsidR="00BD2909" w:rsidP="5FF0A1E2" w:rsidRDefault="00BD2909" w14:paraId="508BC363" w14:textId="47508FA3">
      <w:pPr>
        <w:pStyle w:val="paragraph"/>
        <w:spacing w:before="0" w:beforeAutospacing="off" w:after="0" w:afterAutospacing="off" w:line="360" w:lineRule="auto"/>
        <w:textAlignment w:val="baseline"/>
        <w:rPr>
          <w:rStyle w:val="eop"/>
          <w:rFonts w:ascii="Arial" w:hAnsi="Arial" w:eastAsia="Arial" w:cs="Arial"/>
          <w:color w:val="0F4761"/>
          <w:sz w:val="28"/>
          <w:szCs w:val="28"/>
        </w:rPr>
      </w:pPr>
      <w:r w:rsidRPr="5FF0A1E2" w:rsidR="031E6882">
        <w:rPr>
          <w:rStyle w:val="normaltextrun"/>
          <w:rFonts w:ascii="Arial" w:hAnsi="Arial" w:eastAsia="Arial" w:cs="Arial"/>
          <w:color w:val="0F4761"/>
          <w:sz w:val="28"/>
          <w:szCs w:val="28"/>
        </w:rPr>
        <w:t>2.6 Conclusion</w:t>
      </w:r>
    </w:p>
    <w:p w:rsidRPr="00F44833" w:rsidR="00BD2909" w:rsidP="5FF0A1E2" w:rsidRDefault="00BD2909" w14:paraId="1CD397E1" w14:textId="77777777" w14:noSpellErr="1">
      <w:pPr>
        <w:pStyle w:val="paragraph"/>
        <w:spacing w:before="0" w:beforeAutospacing="off" w:after="0" w:afterAutospacing="off" w:line="360" w:lineRule="auto"/>
        <w:textAlignment w:val="baseline"/>
        <w:rPr>
          <w:rFonts w:ascii="Arial" w:hAnsi="Arial" w:eastAsia="Arial" w:cs="Arial"/>
          <w:sz w:val="22"/>
          <w:szCs w:val="22"/>
        </w:rPr>
      </w:pPr>
      <w:r w:rsidRPr="5FF0A1E2" w:rsidR="031E6882">
        <w:rPr>
          <w:rStyle w:val="eop"/>
          <w:rFonts w:ascii="Arial" w:hAnsi="Arial" w:eastAsia="Arial" w:cs="Arial"/>
          <w:sz w:val="22"/>
          <w:szCs w:val="22"/>
        </w:rPr>
        <w:t> </w:t>
      </w:r>
    </w:p>
    <w:p w:rsidRPr="00F44833" w:rsidR="00BD2909" w:rsidP="5FF0A1E2" w:rsidRDefault="00BD2909" w14:paraId="7C766502" w14:textId="77777777" w14:noSpellErr="1">
      <w:pPr>
        <w:pStyle w:val="paragraph"/>
        <w:tabs>
          <w:tab w:val="clear" w:pos="720"/>
          <w:tab w:val="num" w:pos="0"/>
        </w:tabs>
        <w:spacing w:before="0" w:beforeAutospacing="off" w:after="0" w:afterAutospacing="off" w:line="360" w:lineRule="auto"/>
        <w:ind w:left="0" w:firstLine="0"/>
        <w:textAlignment w:val="baseline"/>
        <w:rPr>
          <w:rFonts w:ascii="Arial" w:hAnsi="Arial" w:eastAsia="Arial" w:cs="Arial"/>
          <w:sz w:val="22"/>
          <w:szCs w:val="22"/>
        </w:rPr>
      </w:pPr>
      <w:r w:rsidRPr="5FF0A1E2" w:rsidR="031E6882">
        <w:rPr>
          <w:rStyle w:val="normaltextrun"/>
          <w:rFonts w:ascii="Arial" w:hAnsi="Arial" w:eastAsia="Arial" w:cs="Arial"/>
          <w:b w:val="1"/>
          <w:bCs w:val="1"/>
          <w:sz w:val="22"/>
          <w:szCs w:val="22"/>
        </w:rPr>
        <w:t>Summary of Key Points:</w:t>
      </w:r>
      <w:r w:rsidRPr="5FF0A1E2" w:rsidR="031E6882">
        <w:rPr>
          <w:rStyle w:val="eop"/>
          <w:rFonts w:ascii="Arial" w:hAnsi="Arial" w:eastAsia="Arial" w:cs="Arial"/>
          <w:sz w:val="22"/>
          <w:szCs w:val="22"/>
        </w:rPr>
        <w:t> </w:t>
      </w:r>
    </w:p>
    <w:p w:rsidR="00880B2D" w:rsidP="5FF0A1E2" w:rsidRDefault="00880B2D" w14:paraId="76281DBC" w14:textId="0FCBA9EF">
      <w:pPr>
        <w:spacing w:before="240" w:beforeAutospacing="off" w:after="240" w:afterAutospacing="off" w:line="360" w:lineRule="auto"/>
        <w:rPr>
          <w:rFonts w:ascii="Arial" w:hAnsi="Arial" w:eastAsia="Arial" w:cs="Arial"/>
          <w:noProof w:val="0"/>
          <w:sz w:val="22"/>
          <w:szCs w:val="22"/>
          <w:lang w:val="en-GB"/>
        </w:rPr>
      </w:pPr>
      <w:r w:rsidRPr="5FF0A1E2" w:rsidR="03F5AB4D">
        <w:rPr>
          <w:rFonts w:ascii="Arial" w:hAnsi="Arial" w:eastAsia="Arial" w:cs="Arial"/>
          <w:noProof w:val="0"/>
          <w:sz w:val="22"/>
          <w:szCs w:val="22"/>
          <w:lang w:val="en-GB"/>
        </w:rPr>
        <w:t xml:space="preserve">This chapter has provided a comprehensive background to understanding how children with chronic illnesses are supported within educational settings. It has outlined the historical developments that shaped current approaches, the theoretical frameworks that guide interpretations of children's experiences, and the international perspectives that illuminate global trends and practices. The chapter has also examined the national and local UK context, highlighting the policies, legislation, and regional initiatives that influence the provision of support for chronically ill learners (Davies, 2022; Patel, 2021). Together, these perspectives </w:t>
      </w:r>
      <w:r w:rsidRPr="5FF0A1E2" w:rsidR="03F5AB4D">
        <w:rPr>
          <w:rFonts w:ascii="Arial" w:hAnsi="Arial" w:eastAsia="Arial" w:cs="Arial"/>
          <w:noProof w:val="0"/>
          <w:sz w:val="22"/>
          <w:szCs w:val="22"/>
          <w:lang w:val="en-GB"/>
        </w:rPr>
        <w:t>establish</w:t>
      </w:r>
      <w:r w:rsidRPr="5FF0A1E2" w:rsidR="03F5AB4D">
        <w:rPr>
          <w:rFonts w:ascii="Arial" w:hAnsi="Arial" w:eastAsia="Arial" w:cs="Arial"/>
          <w:noProof w:val="0"/>
          <w:sz w:val="22"/>
          <w:szCs w:val="22"/>
          <w:lang w:val="en-GB"/>
        </w:rPr>
        <w:t xml:space="preserve"> </w:t>
      </w:r>
      <w:r w:rsidRPr="5FF0A1E2" w:rsidR="03F5AB4D">
        <w:rPr>
          <w:rFonts w:ascii="Arial" w:hAnsi="Arial" w:eastAsia="Arial" w:cs="Arial"/>
          <w:noProof w:val="0"/>
          <w:sz w:val="22"/>
          <w:szCs w:val="22"/>
          <w:lang w:val="en-GB"/>
        </w:rPr>
        <w:t>a strong foundation</w:t>
      </w:r>
      <w:r w:rsidRPr="5FF0A1E2" w:rsidR="03F5AB4D">
        <w:rPr>
          <w:rFonts w:ascii="Arial" w:hAnsi="Arial" w:eastAsia="Arial" w:cs="Arial"/>
          <w:noProof w:val="0"/>
          <w:sz w:val="22"/>
          <w:szCs w:val="22"/>
          <w:lang w:val="en-GB"/>
        </w:rPr>
        <w:t xml:space="preserve"> for understanding the complexity of educational inclusion for this group.</w:t>
      </w:r>
    </w:p>
    <w:p w:rsidR="00880B2D" w:rsidP="5FF0A1E2" w:rsidRDefault="00880B2D" w14:paraId="407ABDAE" w14:textId="5B6E9F77">
      <w:pPr>
        <w:spacing w:before="240" w:beforeAutospacing="off" w:after="240" w:afterAutospacing="off" w:line="360" w:lineRule="auto"/>
        <w:rPr>
          <w:rFonts w:ascii="Arial" w:hAnsi="Arial" w:eastAsia="Arial" w:cs="Arial"/>
          <w:noProof w:val="0"/>
          <w:sz w:val="22"/>
          <w:szCs w:val="22"/>
          <w:lang w:val="en-GB"/>
        </w:rPr>
        <w:sectPr w:rsidR="00880B2D">
          <w:footerReference w:type="default" r:id="rId12"/>
          <w:pgSz w:w="11906" w:h="16838" w:orient="portrait"/>
          <w:pgMar w:top="1440" w:right="1440" w:bottom="1440" w:left="1440" w:header="708" w:footer="708" w:gutter="0"/>
          <w:cols w:space="708"/>
          <w:docGrid w:linePitch="360"/>
          <w:headerReference w:type="default" r:id="Rfca8be969571412c"/>
        </w:sectPr>
      </w:pPr>
      <w:r w:rsidRPr="5FF0A1E2" w:rsidR="03F5AB4D">
        <w:rPr>
          <w:rFonts w:ascii="Arial" w:hAnsi="Arial" w:eastAsia="Arial" w:cs="Arial"/>
          <w:noProof w:val="0"/>
          <w:sz w:val="22"/>
          <w:szCs w:val="22"/>
          <w:lang w:val="en-GB"/>
        </w:rPr>
        <w:t xml:space="preserve">As the dissertation moves into the </w:t>
      </w:r>
      <w:r w:rsidRPr="5FF0A1E2" w:rsidR="03F5AB4D">
        <w:rPr>
          <w:rFonts w:ascii="Arial" w:hAnsi="Arial" w:eastAsia="Arial" w:cs="Arial"/>
          <w:noProof w:val="0"/>
          <w:sz w:val="22"/>
          <w:szCs w:val="22"/>
          <w:lang w:val="en-GB"/>
        </w:rPr>
        <w:t>methodology</w:t>
      </w:r>
      <w:r w:rsidRPr="5FF0A1E2" w:rsidR="03F5AB4D">
        <w:rPr>
          <w:rFonts w:ascii="Arial" w:hAnsi="Arial" w:eastAsia="Arial" w:cs="Arial"/>
          <w:noProof w:val="0"/>
          <w:sz w:val="22"/>
          <w:szCs w:val="22"/>
          <w:lang w:val="en-GB"/>
        </w:rPr>
        <w:t xml:space="preserve"> chapter, the insights gained here will inform key methodological choices. The historical and policy context helps justify the focus of the study, while the theoretical frameworks shape the research design and analytical approach (Morgan, 2019). Chapter 3 will therefore build on this background to explain how the research will be conducted</w:t>
      </w:r>
      <w:r w:rsidRPr="5FF0A1E2" w:rsidR="5E387BB4">
        <w:rPr>
          <w:rFonts w:ascii="Arial" w:hAnsi="Arial" w:eastAsia="Arial" w:cs="Arial"/>
          <w:noProof w:val="0"/>
          <w:sz w:val="22"/>
          <w:szCs w:val="22"/>
          <w:lang w:val="en-GB"/>
        </w:rPr>
        <w:t>.</w:t>
      </w:r>
    </w:p>
    <w:p w:rsidRPr="00292A36" w:rsidR="00292A36" w:rsidP="5FF0A1E2" w:rsidRDefault="00292A36" w14:paraId="398427E3" w14:textId="757AAF8A">
      <w:pPr>
        <w:pStyle w:val="Heading1"/>
        <w:spacing w:line="360" w:lineRule="auto"/>
        <w:ind w:left="0"/>
        <w:rPr>
          <w:rFonts w:ascii="Arial" w:hAnsi="Arial" w:eastAsia="Arial" w:cs="Arial"/>
          <w:sz w:val="32"/>
          <w:szCs w:val="32"/>
        </w:rPr>
      </w:pPr>
      <w:bookmarkStart w:name="_Toc388718948" w:id="820216200"/>
      <w:r w:rsidRPr="5FF0A1E2" w:rsidR="78FBC936">
        <w:rPr>
          <w:rFonts w:ascii="Arial" w:hAnsi="Arial" w:eastAsia="Arial" w:cs="Arial"/>
          <w:sz w:val="32"/>
          <w:szCs w:val="32"/>
        </w:rPr>
        <w:t>C</w:t>
      </w:r>
      <w:r w:rsidRPr="5FF0A1E2" w:rsidR="78FBC936">
        <w:rPr>
          <w:rFonts w:ascii="Arial" w:hAnsi="Arial" w:eastAsia="Arial" w:cs="Arial"/>
          <w:sz w:val="32"/>
          <w:szCs w:val="32"/>
        </w:rPr>
        <w:t>HAPTER</w:t>
      </w:r>
      <w:r w:rsidRPr="5FF0A1E2" w:rsidR="78FBC936">
        <w:rPr>
          <w:rFonts w:ascii="Arial" w:hAnsi="Arial" w:eastAsia="Arial" w:cs="Arial"/>
          <w:sz w:val="32"/>
          <w:szCs w:val="32"/>
        </w:rPr>
        <w:t xml:space="preserve"> 3 – </w:t>
      </w:r>
      <w:r w:rsidRPr="5FF0A1E2" w:rsidR="3F188940">
        <w:rPr>
          <w:rFonts w:ascii="Arial" w:hAnsi="Arial" w:eastAsia="Arial" w:cs="Arial"/>
          <w:sz w:val="32"/>
          <w:szCs w:val="32"/>
        </w:rPr>
        <w:t>Methods and Search Strategy</w:t>
      </w:r>
      <w:bookmarkEnd w:id="820216200"/>
      <w:r w:rsidRPr="5FF0A1E2" w:rsidR="3F188940">
        <w:rPr>
          <w:rFonts w:ascii="Arial" w:hAnsi="Arial" w:eastAsia="Arial" w:cs="Arial"/>
          <w:sz w:val="32"/>
          <w:szCs w:val="32"/>
        </w:rPr>
        <w:t xml:space="preserve"> </w:t>
      </w:r>
    </w:p>
    <w:p w:rsidRPr="00292A36" w:rsidR="00B7073C" w:rsidP="5FF0A1E2" w:rsidRDefault="00B7073C" w14:paraId="5C2EC55E" w14:textId="77777777" w14:noSpellErr="1">
      <w:pPr>
        <w:spacing w:line="360" w:lineRule="auto"/>
        <w:rPr>
          <w:rFonts w:ascii="Arial" w:hAnsi="Arial" w:eastAsia="Arial" w:cs="Arial"/>
          <w:sz w:val="22"/>
          <w:szCs w:val="22"/>
        </w:rPr>
      </w:pPr>
    </w:p>
    <w:p w:rsidR="003A66FD" w:rsidP="5FF0A1E2" w:rsidRDefault="00292A36" w14:paraId="5A7AB555" w14:textId="01451B1C">
      <w:pPr>
        <w:pStyle w:val="Heading2"/>
        <w:spacing w:line="360" w:lineRule="auto"/>
        <w:rPr>
          <w:rFonts w:ascii="Arial" w:hAnsi="Arial" w:eastAsia="Arial" w:cs="Arial"/>
          <w:sz w:val="28"/>
          <w:szCs w:val="28"/>
        </w:rPr>
      </w:pPr>
      <w:bookmarkStart w:name="_Toc1500468221" w:id="285354993"/>
      <w:r w:rsidRPr="5FF0A1E2" w:rsidR="78FBC936">
        <w:rPr>
          <w:rFonts w:ascii="Arial" w:hAnsi="Arial" w:eastAsia="Arial" w:cs="Arial"/>
          <w:sz w:val="28"/>
          <w:szCs w:val="28"/>
        </w:rPr>
        <w:t>3.</w:t>
      </w:r>
      <w:r w:rsidRPr="5FF0A1E2" w:rsidR="75A2F87D">
        <w:rPr>
          <w:rFonts w:ascii="Arial" w:hAnsi="Arial" w:eastAsia="Arial" w:cs="Arial"/>
          <w:sz w:val="28"/>
          <w:szCs w:val="28"/>
        </w:rPr>
        <w:t>1</w:t>
      </w:r>
      <w:r w:rsidRPr="5FF0A1E2" w:rsidR="78FBC936">
        <w:rPr>
          <w:rFonts w:ascii="Arial" w:hAnsi="Arial" w:eastAsia="Arial" w:cs="Arial"/>
          <w:sz w:val="28"/>
          <w:szCs w:val="28"/>
        </w:rPr>
        <w:t xml:space="preserve"> –</w:t>
      </w:r>
      <w:r w:rsidRPr="5FF0A1E2" w:rsidR="5202BED1">
        <w:rPr>
          <w:rFonts w:ascii="Arial" w:hAnsi="Arial" w:eastAsia="Arial" w:cs="Arial"/>
          <w:sz w:val="28"/>
          <w:szCs w:val="28"/>
        </w:rPr>
        <w:t xml:space="preserve"> </w:t>
      </w:r>
      <w:r w:rsidRPr="5FF0A1E2" w:rsidR="78FBC936">
        <w:rPr>
          <w:rFonts w:ascii="Arial" w:hAnsi="Arial" w:eastAsia="Arial" w:cs="Arial"/>
          <w:sz w:val="28"/>
          <w:szCs w:val="28"/>
        </w:rPr>
        <w:t>Introduction</w:t>
      </w:r>
      <w:bookmarkEnd w:id="285354993"/>
    </w:p>
    <w:p w:rsidR="5FF0A1E2" w:rsidP="5FF0A1E2" w:rsidRDefault="5FF0A1E2" w14:paraId="6777B9A8" w14:textId="1B2130DD">
      <w:pPr>
        <w:pStyle w:val="NormalWeb"/>
        <w:spacing w:line="360" w:lineRule="auto"/>
        <w:rPr>
          <w:rStyle w:val="Strong"/>
          <w:rFonts w:ascii="Arial" w:hAnsi="Arial" w:eastAsia="Arial" w:cs="Arial"/>
          <w:sz w:val="22"/>
          <w:szCs w:val="22"/>
        </w:rPr>
      </w:pPr>
    </w:p>
    <w:p w:rsidRPr="005B3EDE" w:rsidR="005B3EDE" w:rsidP="5FF0A1E2" w:rsidRDefault="005B3EDE" w14:paraId="12EDC25C" w14:textId="2602ADC4">
      <w:pPr>
        <w:pStyle w:val="NormalWeb"/>
        <w:spacing w:line="360" w:lineRule="auto"/>
        <w:rPr>
          <w:rFonts w:ascii="Arial" w:hAnsi="Arial" w:eastAsia="Arial" w:cs="Arial"/>
          <w:sz w:val="22"/>
          <w:szCs w:val="22"/>
        </w:rPr>
      </w:pPr>
      <w:r w:rsidRPr="5FF0A1E2" w:rsidR="49566721">
        <w:rPr>
          <w:rStyle w:val="Strong"/>
          <w:rFonts w:ascii="Arial" w:hAnsi="Arial" w:eastAsia="Arial" w:cs="Arial"/>
          <w:sz w:val="22"/>
          <w:szCs w:val="22"/>
        </w:rPr>
        <w:t>Purpose of the Chapter:</w:t>
      </w:r>
    </w:p>
    <w:p w:rsidR="2E35BCA3" w:rsidP="5FF0A1E2" w:rsidRDefault="2E35BCA3" w14:paraId="175BF80F" w14:textId="5D963212">
      <w:pPr>
        <w:pStyle w:val="NormalWeb"/>
        <w:spacing w:line="360" w:lineRule="auto"/>
        <w:rPr>
          <w:rFonts w:ascii="Arial" w:hAnsi="Arial" w:eastAsia="Arial" w:cs="Arial"/>
          <w:noProof w:val="0"/>
          <w:sz w:val="22"/>
          <w:szCs w:val="22"/>
          <w:lang w:val="en-GB"/>
        </w:rPr>
      </w:pPr>
      <w:r w:rsidRPr="5FF0A1E2" w:rsidR="2E35BCA3">
        <w:rPr>
          <w:rFonts w:ascii="Arial" w:hAnsi="Arial" w:eastAsia="Arial" w:cs="Arial"/>
          <w:noProof w:val="0"/>
          <w:sz w:val="22"/>
          <w:szCs w:val="22"/>
          <w:lang w:val="en-GB"/>
        </w:rPr>
        <w:t>This chapter outlines the methodological approach used to conduct the research, which is based on a desk-based, literature</w:t>
      </w:r>
      <w:r w:rsidRPr="5FF0A1E2" w:rsidR="7C1067E8">
        <w:rPr>
          <w:rFonts w:ascii="Arial" w:hAnsi="Arial" w:eastAsia="Arial" w:cs="Arial"/>
          <w:noProof w:val="0"/>
          <w:sz w:val="22"/>
          <w:szCs w:val="22"/>
          <w:lang w:val="en-GB"/>
        </w:rPr>
        <w:t xml:space="preserve"> </w:t>
      </w:r>
      <w:r w:rsidRPr="5FF0A1E2" w:rsidR="2E35BCA3">
        <w:rPr>
          <w:rFonts w:ascii="Arial" w:hAnsi="Arial" w:eastAsia="Arial" w:cs="Arial"/>
          <w:noProof w:val="0"/>
          <w:sz w:val="22"/>
          <w:szCs w:val="22"/>
          <w:lang w:val="en-GB"/>
        </w:rPr>
        <w:t xml:space="preserve">focused design. It expands on the academic </w:t>
      </w:r>
      <w:r w:rsidRPr="5FF0A1E2" w:rsidR="2E35BCA3">
        <w:rPr>
          <w:rFonts w:ascii="Arial" w:hAnsi="Arial" w:eastAsia="Arial" w:cs="Arial"/>
          <w:noProof w:val="0"/>
          <w:sz w:val="22"/>
          <w:szCs w:val="22"/>
          <w:lang w:val="en-GB"/>
        </w:rPr>
        <w:t>methodology</w:t>
      </w:r>
      <w:r w:rsidRPr="5FF0A1E2" w:rsidR="2E35BCA3">
        <w:rPr>
          <w:rFonts w:ascii="Arial" w:hAnsi="Arial" w:eastAsia="Arial" w:cs="Arial"/>
          <w:noProof w:val="0"/>
          <w:sz w:val="22"/>
          <w:szCs w:val="22"/>
          <w:lang w:val="en-GB"/>
        </w:rPr>
        <w:t xml:space="preserve"> poster previously presented, offering a detailed explanation of each </w:t>
      </w:r>
      <w:r w:rsidRPr="5FF0A1E2" w:rsidR="2E35BCA3">
        <w:rPr>
          <w:rFonts w:ascii="Arial" w:hAnsi="Arial" w:eastAsia="Arial" w:cs="Arial"/>
          <w:noProof w:val="0"/>
          <w:sz w:val="22"/>
          <w:szCs w:val="22"/>
          <w:lang w:val="en-GB"/>
        </w:rPr>
        <w:t>component</w:t>
      </w:r>
      <w:r w:rsidRPr="5FF0A1E2" w:rsidR="2E35BCA3">
        <w:rPr>
          <w:rFonts w:ascii="Arial" w:hAnsi="Arial" w:eastAsia="Arial" w:cs="Arial"/>
          <w:noProof w:val="0"/>
          <w:sz w:val="22"/>
          <w:szCs w:val="22"/>
          <w:lang w:val="en-GB"/>
        </w:rPr>
        <w:t xml:space="preserve"> of the research process (Thomas, 2022). By drawing on established guidance for literature-based inquiry, this chapter explains how relevant academic sources were </w:t>
      </w:r>
      <w:r w:rsidRPr="5FF0A1E2" w:rsidR="2E35BCA3">
        <w:rPr>
          <w:rFonts w:ascii="Arial" w:hAnsi="Arial" w:eastAsia="Arial" w:cs="Arial"/>
          <w:noProof w:val="0"/>
          <w:sz w:val="22"/>
          <w:szCs w:val="22"/>
          <w:lang w:val="en-GB"/>
        </w:rPr>
        <w:t>identified</w:t>
      </w:r>
      <w:r w:rsidRPr="5FF0A1E2" w:rsidR="2E35BCA3">
        <w:rPr>
          <w:rFonts w:ascii="Arial" w:hAnsi="Arial" w:eastAsia="Arial" w:cs="Arial"/>
          <w:noProof w:val="0"/>
          <w:sz w:val="22"/>
          <w:szCs w:val="22"/>
          <w:lang w:val="en-GB"/>
        </w:rPr>
        <w:t>, selected, and analysed to address the research aim</w:t>
      </w:r>
    </w:p>
    <w:p w:rsidR="5FF0A1E2" w:rsidP="5FF0A1E2" w:rsidRDefault="5FF0A1E2" w14:paraId="7FB1A028" w14:textId="6746D5B4">
      <w:pPr>
        <w:pStyle w:val="NormalWeb"/>
        <w:spacing w:line="360" w:lineRule="auto"/>
        <w:rPr>
          <w:rStyle w:val="Strong"/>
          <w:rFonts w:ascii="Arial" w:hAnsi="Arial" w:eastAsia="Arial" w:cs="Arial"/>
          <w:sz w:val="22"/>
          <w:szCs w:val="22"/>
        </w:rPr>
      </w:pPr>
    </w:p>
    <w:p w:rsidRPr="005B3EDE" w:rsidR="005B3EDE" w:rsidP="5FF0A1E2" w:rsidRDefault="005B3EDE" w14:paraId="6521A89B" w14:textId="61995508">
      <w:pPr>
        <w:pStyle w:val="NormalWeb"/>
        <w:spacing w:line="360" w:lineRule="auto"/>
        <w:rPr>
          <w:rFonts w:ascii="Arial" w:hAnsi="Arial" w:eastAsia="Arial" w:cs="Arial"/>
          <w:sz w:val="22"/>
          <w:szCs w:val="22"/>
        </w:rPr>
      </w:pPr>
      <w:r w:rsidRPr="5FF0A1E2" w:rsidR="49566721">
        <w:rPr>
          <w:rStyle w:val="Strong"/>
          <w:rFonts w:ascii="Arial" w:hAnsi="Arial" w:eastAsia="Arial" w:cs="Arial"/>
          <w:sz w:val="22"/>
          <w:szCs w:val="22"/>
        </w:rPr>
        <w:t>Connection</w:t>
      </w:r>
      <w:r w:rsidRPr="5FF0A1E2" w:rsidR="49566721">
        <w:rPr>
          <w:rStyle w:val="Strong"/>
          <w:rFonts w:ascii="Arial" w:hAnsi="Arial" w:eastAsia="Arial" w:cs="Arial"/>
          <w:sz w:val="22"/>
          <w:szCs w:val="22"/>
        </w:rPr>
        <w:t xml:space="preserve"> to the Dissertation:</w:t>
      </w:r>
    </w:p>
    <w:p w:rsidR="009E5B14" w:rsidP="5FF0A1E2" w:rsidRDefault="00292A36" w14:paraId="6105D140" w14:textId="2384DD49">
      <w:pPr>
        <w:spacing w:before="240" w:beforeAutospacing="off" w:after="240" w:afterAutospacing="off" w:line="360" w:lineRule="auto"/>
        <w:rPr>
          <w:rFonts w:ascii="Arial" w:hAnsi="Arial" w:eastAsia="Arial" w:cs="Arial"/>
          <w:noProof w:val="0"/>
          <w:sz w:val="22"/>
          <w:szCs w:val="22"/>
          <w:lang w:val="en-GB"/>
        </w:rPr>
      </w:pPr>
      <w:r w:rsidRPr="5FF0A1E2" w:rsidR="4EA64FF5">
        <w:rPr>
          <w:rFonts w:ascii="Arial" w:hAnsi="Arial" w:eastAsia="Arial" w:cs="Arial"/>
          <w:noProof w:val="0"/>
          <w:sz w:val="22"/>
          <w:szCs w:val="22"/>
          <w:lang w:val="en-GB"/>
        </w:rPr>
        <w:t>The methods outlined here are essential for informing the thematic analysis that follows in Chapter 4, ensuring that the findings are grounded in credible, systematically reviewed evidence (Grant and Booth, 2019).</w:t>
      </w:r>
    </w:p>
    <w:p w:rsidR="009E5B14" w:rsidP="5FF0A1E2" w:rsidRDefault="00292A36" w14:paraId="644CE1D2" w14:textId="03A1BF48">
      <w:pPr>
        <w:pStyle w:val="Heading2"/>
        <w:spacing w:line="360" w:lineRule="auto"/>
        <w:rPr>
          <w:rFonts w:ascii="Arial" w:hAnsi="Arial" w:eastAsia="Arial" w:cs="Arial"/>
          <w:sz w:val="28"/>
          <w:szCs w:val="28"/>
        </w:rPr>
      </w:pPr>
      <w:bookmarkStart w:name="_Toc1789877061" w:id="1899926037"/>
      <w:r w:rsidRPr="5FF0A1E2" w:rsidR="78FBC936">
        <w:rPr>
          <w:rFonts w:ascii="Arial" w:hAnsi="Arial" w:eastAsia="Arial" w:cs="Arial"/>
          <w:sz w:val="28"/>
          <w:szCs w:val="28"/>
        </w:rPr>
        <w:t>3.</w:t>
      </w:r>
      <w:r w:rsidRPr="5FF0A1E2" w:rsidR="4530B6F2">
        <w:rPr>
          <w:rFonts w:ascii="Arial" w:hAnsi="Arial" w:eastAsia="Arial" w:cs="Arial"/>
          <w:sz w:val="28"/>
          <w:szCs w:val="28"/>
        </w:rPr>
        <w:t>2</w:t>
      </w:r>
      <w:r w:rsidRPr="5FF0A1E2" w:rsidR="78FBC936">
        <w:rPr>
          <w:rFonts w:ascii="Arial" w:hAnsi="Arial" w:eastAsia="Arial" w:cs="Arial"/>
          <w:sz w:val="28"/>
          <w:szCs w:val="28"/>
        </w:rPr>
        <w:t xml:space="preserve"> – Search Strategy</w:t>
      </w:r>
      <w:bookmarkEnd w:id="1899926037"/>
    </w:p>
    <w:p w:rsidRPr="005B3EDE" w:rsidR="005B3EDE" w:rsidP="5FF0A1E2" w:rsidRDefault="00B7073C" w14:paraId="379B4F9F" w14:textId="683F32C4">
      <w:pPr>
        <w:spacing w:line="360" w:lineRule="auto"/>
        <w:rPr>
          <w:rFonts w:ascii="Arial" w:hAnsi="Arial" w:eastAsia="Arial" w:cs="Arial"/>
          <w:b w:val="1"/>
          <w:bCs w:val="1"/>
          <w:sz w:val="22"/>
          <w:szCs w:val="22"/>
        </w:rPr>
      </w:pPr>
      <w:r>
        <w:br/>
      </w:r>
      <w:r w:rsidRPr="5FF0A1E2" w:rsidR="49566721">
        <w:rPr>
          <w:rFonts w:ascii="Arial" w:hAnsi="Arial" w:eastAsia="Arial" w:cs="Arial"/>
          <w:b w:val="1"/>
          <w:bCs w:val="1"/>
          <w:sz w:val="22"/>
          <w:szCs w:val="22"/>
        </w:rPr>
        <w:t>Developing Keywords:</w:t>
      </w:r>
    </w:p>
    <w:p w:rsidR="4DA516BB" w:rsidP="5FF0A1E2" w:rsidRDefault="4DA516BB" w14:paraId="4FD8A663" w14:textId="73490CDD">
      <w:pPr>
        <w:pStyle w:val="Normal"/>
        <w:spacing w:line="360" w:lineRule="auto"/>
        <w:rPr>
          <w:rFonts w:ascii="Arial" w:hAnsi="Arial" w:eastAsia="Arial" w:cs="Arial"/>
          <w:noProof w:val="0"/>
          <w:sz w:val="22"/>
          <w:szCs w:val="22"/>
          <w:lang w:val="en-GB"/>
        </w:rPr>
      </w:pPr>
      <w:r w:rsidRPr="5FF0A1E2" w:rsidR="4DA516BB">
        <w:rPr>
          <w:rFonts w:ascii="Arial" w:hAnsi="Arial" w:eastAsia="Arial" w:cs="Arial"/>
          <w:noProof w:val="0"/>
          <w:sz w:val="22"/>
          <w:szCs w:val="22"/>
          <w:lang w:val="en-GB"/>
        </w:rPr>
        <w:t xml:space="preserve">The search strategy was developed by </w:t>
      </w:r>
      <w:r w:rsidRPr="5FF0A1E2" w:rsidR="4DA516BB">
        <w:rPr>
          <w:rFonts w:ascii="Arial" w:hAnsi="Arial" w:eastAsia="Arial" w:cs="Arial"/>
          <w:noProof w:val="0"/>
          <w:sz w:val="22"/>
          <w:szCs w:val="22"/>
          <w:lang w:val="en-GB"/>
        </w:rPr>
        <w:t>identifying</w:t>
      </w:r>
      <w:r w:rsidRPr="5FF0A1E2" w:rsidR="4DA516BB">
        <w:rPr>
          <w:rFonts w:ascii="Arial" w:hAnsi="Arial" w:eastAsia="Arial" w:cs="Arial"/>
          <w:noProof w:val="0"/>
          <w:sz w:val="22"/>
          <w:szCs w:val="22"/>
          <w:lang w:val="en-GB"/>
        </w:rPr>
        <w:t xml:space="preserve"> key terms from the research title, including “chronic illness,” “children,” “schools,” and “educational support,” alongside professional synonyms such as “long-term conditions,” “pupil wellbeing,” and “inclusive education” (Ridley, 2012).</w:t>
      </w:r>
    </w:p>
    <w:p w:rsidRPr="005B3EDE" w:rsidR="005B3EDE" w:rsidP="5FF0A1E2" w:rsidRDefault="00B575E2" w14:paraId="5BED73AF" w14:textId="1693DCBC">
      <w:pPr>
        <w:spacing w:line="360" w:lineRule="auto"/>
        <w:rPr>
          <w:rFonts w:ascii="Arial" w:hAnsi="Arial" w:eastAsia="Arial" w:cs="Arial"/>
          <w:b w:val="1"/>
          <w:bCs w:val="1"/>
          <w:sz w:val="22"/>
          <w:szCs w:val="22"/>
        </w:rPr>
      </w:pPr>
      <w:r w:rsidRPr="5FF0A1E2" w:rsidR="49566721">
        <w:rPr>
          <w:rFonts w:ascii="Arial" w:hAnsi="Arial" w:eastAsia="Arial" w:cs="Arial"/>
          <w:b w:val="1"/>
          <w:bCs w:val="1"/>
          <w:sz w:val="22"/>
          <w:szCs w:val="22"/>
        </w:rPr>
        <w:t>Boolean Operators:</w:t>
      </w:r>
    </w:p>
    <w:p w:rsidRPr="00B575E2" w:rsidR="00B575E2" w:rsidP="5FF0A1E2" w:rsidRDefault="00B575E2" w14:paraId="65D3DA34" w14:textId="096D2114">
      <w:pPr>
        <w:pStyle w:val="Normal"/>
        <w:spacing w:line="360" w:lineRule="auto"/>
        <w:ind w:left="0" w:firstLine="0"/>
        <w:rPr>
          <w:rFonts w:ascii="Arial" w:hAnsi="Arial" w:eastAsia="Arial" w:cs="Arial"/>
          <w:noProof w:val="0"/>
          <w:sz w:val="22"/>
          <w:szCs w:val="22"/>
          <w:lang w:val="en-GB"/>
        </w:rPr>
      </w:pPr>
      <w:r w:rsidRPr="5FF0A1E2" w:rsidR="50BB3255">
        <w:rPr>
          <w:rFonts w:ascii="Arial" w:hAnsi="Arial" w:eastAsia="Arial" w:cs="Arial"/>
          <w:noProof w:val="0"/>
          <w:sz w:val="22"/>
          <w:szCs w:val="22"/>
          <w:lang w:val="en-GB"/>
        </w:rPr>
        <w:t>B</w:t>
      </w:r>
      <w:r w:rsidRPr="5FF0A1E2" w:rsidR="50BB3255">
        <w:rPr>
          <w:rFonts w:ascii="Arial" w:hAnsi="Arial" w:eastAsia="Arial" w:cs="Arial"/>
          <w:i w:val="0"/>
          <w:iCs w:val="0"/>
          <w:noProof w:val="0"/>
          <w:sz w:val="22"/>
          <w:szCs w:val="22"/>
          <w:lang w:val="en-GB"/>
        </w:rPr>
        <w:t xml:space="preserve">oolean operators were used to refine searches, combining terms such as </w:t>
      </w:r>
      <w:r w:rsidRPr="5FF0A1E2" w:rsidR="50BB3255">
        <w:rPr>
          <w:rFonts w:ascii="Arial" w:hAnsi="Arial" w:eastAsia="Arial" w:cs="Arial"/>
          <w:i w:val="0"/>
          <w:iCs w:val="0"/>
          <w:noProof w:val="0"/>
          <w:sz w:val="22"/>
          <w:szCs w:val="22"/>
          <w:lang w:val="en-GB"/>
        </w:rPr>
        <w:t>children AND chronic illness</w:t>
      </w:r>
      <w:r w:rsidRPr="5FF0A1E2" w:rsidR="50BB3255">
        <w:rPr>
          <w:rFonts w:ascii="Arial" w:hAnsi="Arial" w:eastAsia="Arial" w:cs="Arial"/>
          <w:i w:val="0"/>
          <w:iCs w:val="0"/>
          <w:noProof w:val="0"/>
          <w:sz w:val="22"/>
          <w:szCs w:val="22"/>
          <w:lang w:val="en-GB"/>
        </w:rPr>
        <w:t xml:space="preserve"> or widening results with </w:t>
      </w:r>
      <w:r w:rsidRPr="5FF0A1E2" w:rsidR="50BB3255">
        <w:rPr>
          <w:rFonts w:ascii="Arial" w:hAnsi="Arial" w:eastAsia="Arial" w:cs="Arial"/>
          <w:i w:val="0"/>
          <w:iCs w:val="0"/>
          <w:noProof w:val="0"/>
          <w:sz w:val="22"/>
          <w:szCs w:val="22"/>
          <w:lang w:val="en-GB"/>
        </w:rPr>
        <w:t>school OR education</w:t>
      </w:r>
      <w:r w:rsidRPr="5FF0A1E2" w:rsidR="50BB3255">
        <w:rPr>
          <w:rFonts w:ascii="Arial" w:hAnsi="Arial" w:eastAsia="Arial" w:cs="Arial"/>
          <w:i w:val="0"/>
          <w:iCs w:val="0"/>
          <w:noProof w:val="0"/>
          <w:sz w:val="22"/>
          <w:szCs w:val="22"/>
          <w:lang w:val="en-GB"/>
        </w:rPr>
        <w:t>.</w:t>
      </w:r>
      <w:r w:rsidRPr="5FF0A1E2" w:rsidR="50BB3255">
        <w:rPr>
          <w:rFonts w:ascii="Arial" w:hAnsi="Arial" w:eastAsia="Arial" w:cs="Arial"/>
          <w:noProof w:val="0"/>
          <w:sz w:val="22"/>
          <w:szCs w:val="22"/>
          <w:lang w:val="en-GB"/>
        </w:rPr>
        <w:t xml:space="preserve"> Exclusion terms, such as </w:t>
      </w:r>
      <w:r w:rsidRPr="5FF0A1E2" w:rsidR="50BB3255">
        <w:rPr>
          <w:rFonts w:ascii="Arial" w:hAnsi="Arial" w:eastAsia="Arial" w:cs="Arial"/>
          <w:i w:val="1"/>
          <w:iCs w:val="1"/>
          <w:noProof w:val="0"/>
          <w:sz w:val="22"/>
          <w:szCs w:val="22"/>
          <w:lang w:val="en-GB"/>
        </w:rPr>
        <w:t>NOT acute</w:t>
      </w:r>
      <w:r w:rsidRPr="5FF0A1E2" w:rsidR="50BB3255">
        <w:rPr>
          <w:rFonts w:ascii="Arial" w:hAnsi="Arial" w:eastAsia="Arial" w:cs="Arial"/>
          <w:noProof w:val="0"/>
          <w:sz w:val="22"/>
          <w:szCs w:val="22"/>
          <w:lang w:val="en-GB"/>
        </w:rPr>
        <w:t>, helped narrow the focus.</w:t>
      </w:r>
    </w:p>
    <w:p w:rsidRPr="005B3EDE" w:rsidR="005B3EDE" w:rsidP="5FF0A1E2" w:rsidRDefault="00B575E2" w14:paraId="0D37A907" w14:textId="21EFEE40">
      <w:pPr>
        <w:spacing w:line="360" w:lineRule="auto"/>
        <w:rPr>
          <w:rFonts w:ascii="Arial" w:hAnsi="Arial" w:eastAsia="Arial" w:cs="Arial"/>
          <w:b w:val="1"/>
          <w:bCs w:val="1"/>
          <w:sz w:val="22"/>
          <w:szCs w:val="22"/>
        </w:rPr>
      </w:pPr>
      <w:r w:rsidRPr="5FF0A1E2" w:rsidR="49566721">
        <w:rPr>
          <w:rFonts w:ascii="Arial" w:hAnsi="Arial" w:eastAsia="Arial" w:cs="Arial"/>
          <w:b w:val="1"/>
          <w:bCs w:val="1"/>
          <w:sz w:val="22"/>
          <w:szCs w:val="22"/>
        </w:rPr>
        <w:t>Structured Search Plan:</w:t>
      </w:r>
    </w:p>
    <w:p w:rsidR="2B27ABDE" w:rsidP="5FF0A1E2" w:rsidRDefault="2B27ABDE" w14:paraId="63C0CF7F" w14:textId="611B07D9">
      <w:pPr>
        <w:pStyle w:val="Normal"/>
        <w:spacing w:line="360" w:lineRule="auto"/>
        <w:rPr>
          <w:rFonts w:ascii="Arial" w:hAnsi="Arial" w:eastAsia="Arial" w:cs="Arial"/>
          <w:noProof w:val="0"/>
          <w:sz w:val="22"/>
          <w:szCs w:val="22"/>
          <w:lang w:val="en-GB"/>
        </w:rPr>
      </w:pPr>
      <w:r w:rsidRPr="5FF0A1E2" w:rsidR="2B27ABDE">
        <w:rPr>
          <w:rFonts w:ascii="Arial" w:hAnsi="Arial" w:eastAsia="Arial" w:cs="Arial"/>
          <w:noProof w:val="0"/>
          <w:sz w:val="22"/>
          <w:szCs w:val="22"/>
          <w:lang w:val="en-GB"/>
        </w:rPr>
        <w:t xml:space="preserve">A structured search plan guided the process, with search strings and outcomes recorded systematically to </w:t>
      </w:r>
      <w:r w:rsidRPr="5FF0A1E2" w:rsidR="2B27ABDE">
        <w:rPr>
          <w:rFonts w:ascii="Arial" w:hAnsi="Arial" w:eastAsia="Arial" w:cs="Arial"/>
          <w:noProof w:val="0"/>
          <w:sz w:val="22"/>
          <w:szCs w:val="22"/>
          <w:lang w:val="en-GB"/>
        </w:rPr>
        <w:t>maintain</w:t>
      </w:r>
      <w:r w:rsidRPr="5FF0A1E2" w:rsidR="2B27ABDE">
        <w:rPr>
          <w:rFonts w:ascii="Arial" w:hAnsi="Arial" w:eastAsia="Arial" w:cs="Arial"/>
          <w:noProof w:val="0"/>
          <w:sz w:val="22"/>
          <w:szCs w:val="22"/>
          <w:lang w:val="en-GB"/>
        </w:rPr>
        <w:t xml:space="preserve"> consistency and ensure transparency when </w:t>
      </w:r>
      <w:r w:rsidRPr="5FF0A1E2" w:rsidR="2B27ABDE">
        <w:rPr>
          <w:rFonts w:ascii="Arial" w:hAnsi="Arial" w:eastAsia="Arial" w:cs="Arial"/>
          <w:noProof w:val="0"/>
          <w:sz w:val="22"/>
          <w:szCs w:val="22"/>
          <w:lang w:val="en-GB"/>
        </w:rPr>
        <w:t>identifying</w:t>
      </w:r>
      <w:r w:rsidRPr="5FF0A1E2" w:rsidR="2B27ABDE">
        <w:rPr>
          <w:rFonts w:ascii="Arial" w:hAnsi="Arial" w:eastAsia="Arial" w:cs="Arial"/>
          <w:noProof w:val="0"/>
          <w:sz w:val="22"/>
          <w:szCs w:val="22"/>
          <w:lang w:val="en-GB"/>
        </w:rPr>
        <w:t xml:space="preserve"> relevant literature (Booth et al., 2021).</w:t>
      </w:r>
    </w:p>
    <w:p w:rsidRPr="00D13A82" w:rsidR="00D13A82" w:rsidP="5FF0A1E2" w:rsidRDefault="00D13A82" w14:paraId="0293381E" w14:textId="77777777" w14:noSpellErr="1">
      <w:pPr>
        <w:spacing w:line="360" w:lineRule="auto"/>
        <w:rPr>
          <w:rFonts w:ascii="Arial" w:hAnsi="Arial" w:eastAsia="Arial" w:cs="Arial"/>
          <w:sz w:val="22"/>
          <w:szCs w:val="22"/>
        </w:rPr>
      </w:pPr>
    </w:p>
    <w:p w:rsidR="00B575E2" w:rsidP="5FF0A1E2" w:rsidRDefault="00292A36" w14:paraId="57AFDE7A" w14:textId="4AC1AD71">
      <w:pPr>
        <w:pStyle w:val="Heading2"/>
        <w:numPr>
          <w:ilvl w:val="1"/>
          <w:numId w:val="78"/>
        </w:numPr>
        <w:spacing w:line="360" w:lineRule="auto"/>
        <w:jc w:val="left"/>
        <w:rPr>
          <w:rFonts w:ascii="Arial" w:hAnsi="Arial" w:eastAsia="Arial" w:cs="Arial"/>
          <w:sz w:val="28"/>
          <w:szCs w:val="28"/>
        </w:rPr>
      </w:pPr>
      <w:bookmarkStart w:name="_Toc1917571027" w:id="1190152587"/>
      <w:r w:rsidRPr="5FF0A1E2" w:rsidR="78FBC936">
        <w:rPr>
          <w:rFonts w:ascii="Arial" w:hAnsi="Arial" w:eastAsia="Arial" w:cs="Arial"/>
          <w:sz w:val="28"/>
          <w:szCs w:val="28"/>
        </w:rPr>
        <w:t>– Searching for Information</w:t>
      </w:r>
      <w:bookmarkEnd w:id="1190152587"/>
    </w:p>
    <w:p w:rsidR="5FF0A1E2" w:rsidP="5FF0A1E2" w:rsidRDefault="5FF0A1E2" w14:paraId="17137980" w14:textId="1531B7DF">
      <w:pPr>
        <w:spacing w:line="360" w:lineRule="auto"/>
        <w:rPr>
          <w:rFonts w:ascii="Arial" w:hAnsi="Arial" w:eastAsia="Arial" w:cs="Arial"/>
          <w:b w:val="1"/>
          <w:bCs w:val="1"/>
          <w:sz w:val="22"/>
          <w:szCs w:val="22"/>
        </w:rPr>
      </w:pPr>
    </w:p>
    <w:p w:rsidRPr="00B575E2" w:rsidR="00B575E2" w:rsidP="5FF0A1E2" w:rsidRDefault="00B575E2" w14:paraId="7C97A730" w14:textId="0F852FF3">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Databases</w:t>
      </w:r>
      <w:r w:rsidRPr="5FF0A1E2" w:rsidR="2F9B609E">
        <w:rPr>
          <w:rFonts w:ascii="Arial" w:hAnsi="Arial" w:eastAsia="Arial" w:cs="Arial"/>
          <w:b w:val="1"/>
          <w:bCs w:val="1"/>
          <w:sz w:val="22"/>
          <w:szCs w:val="22"/>
        </w:rPr>
        <w:t xml:space="preserve"> and Platforms:</w:t>
      </w:r>
    </w:p>
    <w:p w:rsidR="28F6277B" w:rsidP="5FF0A1E2" w:rsidRDefault="28F6277B" w14:paraId="6F618C90" w14:textId="739C44FA">
      <w:pPr>
        <w:pStyle w:val="Normal"/>
        <w:spacing w:line="360" w:lineRule="auto"/>
        <w:rPr>
          <w:rFonts w:ascii="Arial" w:hAnsi="Arial" w:eastAsia="Arial" w:cs="Arial"/>
          <w:noProof w:val="0"/>
          <w:sz w:val="22"/>
          <w:szCs w:val="22"/>
          <w:lang w:val="en-GB"/>
        </w:rPr>
      </w:pPr>
      <w:r w:rsidRPr="5FF0A1E2" w:rsidR="28F6277B">
        <w:rPr>
          <w:rFonts w:ascii="Arial" w:hAnsi="Arial" w:eastAsia="Arial" w:cs="Arial"/>
          <w:noProof w:val="0"/>
          <w:sz w:val="22"/>
          <w:szCs w:val="22"/>
          <w:lang w:val="en-GB"/>
        </w:rPr>
        <w:t xml:space="preserve">A range of academic databases and platforms were used to ensure high-quality, credible evidence. Google Scholar, </w:t>
      </w:r>
      <w:r w:rsidRPr="5FF0A1E2" w:rsidR="28F6277B">
        <w:rPr>
          <w:rFonts w:ascii="Arial" w:hAnsi="Arial" w:eastAsia="Arial" w:cs="Arial"/>
          <w:noProof w:val="0"/>
          <w:sz w:val="22"/>
          <w:szCs w:val="22"/>
          <w:lang w:val="en-GB"/>
        </w:rPr>
        <w:t>PubMed</w:t>
      </w:r>
      <w:r w:rsidRPr="5FF0A1E2" w:rsidR="28F6277B">
        <w:rPr>
          <w:rFonts w:ascii="Arial" w:hAnsi="Arial" w:eastAsia="Arial" w:cs="Arial"/>
          <w:noProof w:val="0"/>
          <w:sz w:val="22"/>
          <w:szCs w:val="22"/>
          <w:lang w:val="en-GB"/>
        </w:rPr>
        <w:t xml:space="preserve"> and ERIC were selected for their broad coverage of peer-reviewed educational and health research, while the UWTSD Library database provided access to full-text journals and </w:t>
      </w:r>
      <w:r w:rsidRPr="5FF0A1E2" w:rsidR="42C26DE1">
        <w:rPr>
          <w:rFonts w:ascii="Arial" w:hAnsi="Arial" w:eastAsia="Arial" w:cs="Arial"/>
          <w:noProof w:val="0"/>
          <w:sz w:val="22"/>
          <w:szCs w:val="22"/>
          <w:lang w:val="en-GB"/>
        </w:rPr>
        <w:t>eBooks</w:t>
      </w:r>
      <w:r w:rsidRPr="5FF0A1E2" w:rsidR="28F6277B">
        <w:rPr>
          <w:rFonts w:ascii="Arial" w:hAnsi="Arial" w:eastAsia="Arial" w:cs="Arial"/>
          <w:noProof w:val="0"/>
          <w:sz w:val="22"/>
          <w:szCs w:val="22"/>
          <w:lang w:val="en-GB"/>
        </w:rPr>
        <w:t xml:space="preserve"> not freely available online (Hart, 2018). These platforms were suitable for this study as they include interdisciplinary research, aligning with the educational and health-related focus of chronic illness in school settings.</w:t>
      </w:r>
    </w:p>
    <w:p w:rsidRPr="00B575E2" w:rsidR="00B575E2" w:rsidP="5FF0A1E2" w:rsidRDefault="00B575E2" w14:paraId="237E70AD" w14:textId="1A39DAC1">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Using</w:t>
      </w:r>
      <w:r w:rsidRPr="5FF0A1E2" w:rsidR="2F9B609E">
        <w:rPr>
          <w:rFonts w:ascii="Arial" w:hAnsi="Arial" w:eastAsia="Arial" w:cs="Arial"/>
          <w:b w:val="1"/>
          <w:bCs w:val="1"/>
          <w:sz w:val="22"/>
          <w:szCs w:val="22"/>
        </w:rPr>
        <w:t xml:space="preserve"> Filters:</w:t>
      </w:r>
    </w:p>
    <w:p w:rsidR="6FB1174F" w:rsidP="5FF0A1E2" w:rsidRDefault="6FB1174F" w14:paraId="18937D0C" w14:textId="1D5AAF81">
      <w:pPr>
        <w:pStyle w:val="Normal"/>
        <w:spacing w:line="360" w:lineRule="auto"/>
        <w:rPr>
          <w:rFonts w:ascii="Arial" w:hAnsi="Arial" w:eastAsia="Arial" w:cs="Arial"/>
          <w:noProof w:val="0"/>
          <w:sz w:val="22"/>
          <w:szCs w:val="22"/>
          <w:lang w:val="en-GB"/>
        </w:rPr>
      </w:pPr>
      <w:r w:rsidRPr="5FF0A1E2" w:rsidR="6FB1174F">
        <w:rPr>
          <w:rFonts w:ascii="Arial" w:hAnsi="Arial" w:eastAsia="Arial" w:cs="Arial"/>
          <w:noProof w:val="0"/>
          <w:sz w:val="22"/>
          <w:szCs w:val="22"/>
          <w:lang w:val="en-GB"/>
        </w:rPr>
        <w:t>To refine results, filters were applied, including publication date (2010–2024), peer-reviewed status, and geographical focus on the UK and comparable international contexts. These filters helped ensure that the selected literature was both current and relevant (Jesson &amp; Lacey, 2020). During the search process, several adjustments were made, such as expanding keywords when results were too narrow or removing restrictive Boolean operators when potentially useful studies were being excluded.</w:t>
      </w:r>
    </w:p>
    <w:p w:rsidRPr="00B575E2" w:rsidR="00B575E2" w:rsidP="5FF0A1E2" w:rsidRDefault="00B575E2" w14:paraId="7B614B9D" w14:textId="1BAE84C9">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Search Process:</w:t>
      </w:r>
    </w:p>
    <w:p w:rsidRPr="00F84C23" w:rsidR="00B575E2" w:rsidP="5FF0A1E2" w:rsidRDefault="00B575E2" w14:paraId="6F09D47B" w14:textId="6A3A3556">
      <w:pPr>
        <w:pStyle w:val="Normal"/>
        <w:spacing w:line="360" w:lineRule="auto"/>
        <w:ind w:left="0"/>
        <w:rPr>
          <w:rFonts w:ascii="Arial" w:hAnsi="Arial" w:eastAsia="Arial" w:cs="Arial"/>
          <w:noProof w:val="0"/>
          <w:sz w:val="22"/>
          <w:szCs w:val="22"/>
          <w:lang w:val="en-GB"/>
        </w:rPr>
      </w:pPr>
      <w:r w:rsidRPr="5FF0A1E2" w:rsidR="040C2836">
        <w:rPr>
          <w:rFonts w:ascii="Arial" w:hAnsi="Arial" w:eastAsia="Arial" w:cs="Arial"/>
          <w:noProof w:val="0"/>
          <w:sz w:val="22"/>
          <w:szCs w:val="22"/>
          <w:lang w:val="en-GB"/>
        </w:rPr>
        <w:t xml:space="preserve">A source-tracking table was created to record search terms, database </w:t>
      </w:r>
      <w:r w:rsidRPr="5FF0A1E2" w:rsidR="040C2836">
        <w:rPr>
          <w:rFonts w:ascii="Arial" w:hAnsi="Arial" w:eastAsia="Arial" w:cs="Arial"/>
          <w:noProof w:val="0"/>
          <w:sz w:val="22"/>
          <w:szCs w:val="22"/>
          <w:lang w:val="en-GB"/>
        </w:rPr>
        <w:t>results</w:t>
      </w:r>
      <w:r w:rsidRPr="5FF0A1E2" w:rsidR="040C2836">
        <w:rPr>
          <w:rFonts w:ascii="Arial" w:hAnsi="Arial" w:eastAsia="Arial" w:cs="Arial"/>
          <w:noProof w:val="0"/>
          <w:sz w:val="22"/>
          <w:szCs w:val="22"/>
          <w:lang w:val="en-GB"/>
        </w:rPr>
        <w:t xml:space="preserve"> and the relevance of each source. This helped </w:t>
      </w:r>
      <w:r w:rsidRPr="5FF0A1E2" w:rsidR="040C2836">
        <w:rPr>
          <w:rFonts w:ascii="Arial" w:hAnsi="Arial" w:eastAsia="Arial" w:cs="Arial"/>
          <w:noProof w:val="0"/>
          <w:sz w:val="22"/>
          <w:szCs w:val="22"/>
          <w:lang w:val="en-GB"/>
        </w:rPr>
        <w:t>maintain</w:t>
      </w:r>
      <w:r w:rsidRPr="5FF0A1E2" w:rsidR="040C2836">
        <w:rPr>
          <w:rFonts w:ascii="Arial" w:hAnsi="Arial" w:eastAsia="Arial" w:cs="Arial"/>
          <w:noProof w:val="0"/>
          <w:sz w:val="22"/>
          <w:szCs w:val="22"/>
          <w:lang w:val="en-GB"/>
        </w:rPr>
        <w:t xml:space="preserve"> transparency and avoid duplication. If included, this table is presented in the appendix for reference and </w:t>
      </w:r>
      <w:r w:rsidRPr="5FF0A1E2" w:rsidR="040C2836">
        <w:rPr>
          <w:rFonts w:ascii="Arial" w:hAnsi="Arial" w:eastAsia="Arial" w:cs="Arial"/>
          <w:noProof w:val="0"/>
          <w:sz w:val="22"/>
          <w:szCs w:val="22"/>
          <w:lang w:val="en-GB"/>
        </w:rPr>
        <w:t>demonstrates</w:t>
      </w:r>
      <w:r w:rsidRPr="5FF0A1E2" w:rsidR="040C2836">
        <w:rPr>
          <w:rFonts w:ascii="Arial" w:hAnsi="Arial" w:eastAsia="Arial" w:cs="Arial"/>
          <w:noProof w:val="0"/>
          <w:sz w:val="22"/>
          <w:szCs w:val="22"/>
          <w:lang w:val="en-GB"/>
        </w:rPr>
        <w:t xml:space="preserve"> how sources were systematically reviewed and organised throughout the research process.</w:t>
      </w:r>
    </w:p>
    <w:p w:rsidR="00E325CF" w:rsidP="5FF0A1E2" w:rsidRDefault="00292A36" w14:paraId="0BEB0164" w14:textId="38DE2323">
      <w:pPr>
        <w:pStyle w:val="Heading2"/>
        <w:numPr>
          <w:ilvl w:val="1"/>
          <w:numId w:val="78"/>
        </w:numPr>
        <w:spacing w:line="360" w:lineRule="auto"/>
        <w:jc w:val="left"/>
        <w:rPr>
          <w:rFonts w:ascii="Arial" w:hAnsi="Arial" w:eastAsia="Arial" w:cs="Arial"/>
          <w:sz w:val="22"/>
          <w:szCs w:val="22"/>
        </w:rPr>
      </w:pPr>
      <w:bookmarkStart w:name="_Toc1642466986" w:id="1652506251"/>
      <w:r w:rsidRPr="5FF0A1E2" w:rsidR="78FBC936">
        <w:rPr>
          <w:rFonts w:ascii="Arial" w:hAnsi="Arial" w:eastAsia="Arial" w:cs="Arial"/>
          <w:sz w:val="28"/>
          <w:szCs w:val="28"/>
        </w:rPr>
        <w:t>– Research Validation</w:t>
      </w:r>
      <w:r>
        <w:br/>
      </w:r>
      <w:bookmarkEnd w:id="1652506251"/>
    </w:p>
    <w:p w:rsidRPr="00B575E2" w:rsidR="00B575E2" w:rsidP="5FF0A1E2" w:rsidRDefault="00B575E2" w14:paraId="42F4700C" w14:textId="0BC8FFC4">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Skimming</w:t>
      </w:r>
      <w:r w:rsidRPr="5FF0A1E2" w:rsidR="2F9B609E">
        <w:rPr>
          <w:rFonts w:ascii="Arial" w:hAnsi="Arial" w:eastAsia="Arial" w:cs="Arial"/>
          <w:b w:val="1"/>
          <w:bCs w:val="1"/>
          <w:sz w:val="22"/>
          <w:szCs w:val="22"/>
        </w:rPr>
        <w:t xml:space="preserve"> Techniques:</w:t>
      </w:r>
    </w:p>
    <w:p w:rsidR="6812E61D" w:rsidP="5FF0A1E2" w:rsidRDefault="6812E61D" w14:paraId="2F3828F2" w14:textId="54D9347E">
      <w:pPr>
        <w:pStyle w:val="Normal"/>
        <w:spacing w:line="360" w:lineRule="auto"/>
        <w:rPr>
          <w:rFonts w:ascii="Arial" w:hAnsi="Arial" w:eastAsia="Arial" w:cs="Arial"/>
          <w:noProof w:val="0"/>
          <w:sz w:val="22"/>
          <w:szCs w:val="22"/>
          <w:lang w:val="en-GB"/>
        </w:rPr>
      </w:pPr>
      <w:r w:rsidRPr="5FF0A1E2" w:rsidR="6812E61D">
        <w:rPr>
          <w:rFonts w:ascii="Arial" w:hAnsi="Arial" w:eastAsia="Arial" w:cs="Arial"/>
          <w:noProof w:val="0"/>
          <w:sz w:val="22"/>
          <w:szCs w:val="22"/>
          <w:lang w:val="en-GB"/>
        </w:rPr>
        <w:t xml:space="preserve">Skimming techniques were used at the early stage of reviewing literature to quickly </w:t>
      </w:r>
      <w:r w:rsidRPr="5FF0A1E2" w:rsidR="6812E61D">
        <w:rPr>
          <w:rFonts w:ascii="Arial" w:hAnsi="Arial" w:eastAsia="Arial" w:cs="Arial"/>
          <w:noProof w:val="0"/>
          <w:sz w:val="22"/>
          <w:szCs w:val="22"/>
          <w:lang w:val="en-GB"/>
        </w:rPr>
        <w:t>identify</w:t>
      </w:r>
      <w:r w:rsidRPr="5FF0A1E2" w:rsidR="6812E61D">
        <w:rPr>
          <w:rFonts w:ascii="Arial" w:hAnsi="Arial" w:eastAsia="Arial" w:cs="Arial"/>
          <w:noProof w:val="0"/>
          <w:sz w:val="22"/>
          <w:szCs w:val="22"/>
          <w:lang w:val="en-GB"/>
        </w:rPr>
        <w:t xml:space="preserve"> relevance. Each article was first screened using its title and abstract, followed by a brief review of the introduction and conclusion to </w:t>
      </w:r>
      <w:r w:rsidRPr="5FF0A1E2" w:rsidR="6812E61D">
        <w:rPr>
          <w:rFonts w:ascii="Arial" w:hAnsi="Arial" w:eastAsia="Arial" w:cs="Arial"/>
          <w:noProof w:val="0"/>
          <w:sz w:val="22"/>
          <w:szCs w:val="22"/>
          <w:lang w:val="en-GB"/>
        </w:rPr>
        <w:t>determine</w:t>
      </w:r>
      <w:r w:rsidRPr="5FF0A1E2" w:rsidR="6812E61D">
        <w:rPr>
          <w:rFonts w:ascii="Arial" w:hAnsi="Arial" w:eastAsia="Arial" w:cs="Arial"/>
          <w:noProof w:val="0"/>
          <w:sz w:val="22"/>
          <w:szCs w:val="22"/>
          <w:lang w:val="en-GB"/>
        </w:rPr>
        <w:t xml:space="preserve"> whether it aligned with the research focus on supporting pupils with chronic illnesses in mainstream school settings. This helped filter out sources that were too general, </w:t>
      </w:r>
      <w:r w:rsidRPr="5FF0A1E2" w:rsidR="6812E61D">
        <w:rPr>
          <w:rFonts w:ascii="Arial" w:hAnsi="Arial" w:eastAsia="Arial" w:cs="Arial"/>
          <w:noProof w:val="0"/>
          <w:sz w:val="22"/>
          <w:szCs w:val="22"/>
          <w:lang w:val="en-GB"/>
        </w:rPr>
        <w:t>outdated</w:t>
      </w:r>
      <w:r w:rsidRPr="5FF0A1E2" w:rsidR="6812E61D">
        <w:rPr>
          <w:rFonts w:ascii="Arial" w:hAnsi="Arial" w:eastAsia="Arial" w:cs="Arial"/>
          <w:noProof w:val="0"/>
          <w:sz w:val="22"/>
          <w:szCs w:val="22"/>
          <w:lang w:val="en-GB"/>
        </w:rPr>
        <w:t xml:space="preserve"> or unrelated.</w:t>
      </w:r>
    </w:p>
    <w:p w:rsidR="5FF0A1E2" w:rsidP="5FF0A1E2" w:rsidRDefault="5FF0A1E2" w14:paraId="68C88329" w14:textId="11EDDD39">
      <w:pPr>
        <w:spacing w:line="360" w:lineRule="auto"/>
        <w:rPr>
          <w:rFonts w:ascii="Arial" w:hAnsi="Arial" w:eastAsia="Arial" w:cs="Arial"/>
          <w:b w:val="1"/>
          <w:bCs w:val="1"/>
          <w:sz w:val="22"/>
          <w:szCs w:val="22"/>
        </w:rPr>
      </w:pPr>
    </w:p>
    <w:p w:rsidRPr="00B575E2" w:rsidR="00B575E2" w:rsidP="5FF0A1E2" w:rsidRDefault="00B575E2" w14:paraId="34089B50" w14:textId="399FD9F1">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CRAAP</w:t>
      </w:r>
      <w:r w:rsidRPr="5FF0A1E2" w:rsidR="2F9B609E">
        <w:rPr>
          <w:rFonts w:ascii="Arial" w:hAnsi="Arial" w:eastAsia="Arial" w:cs="Arial"/>
          <w:b w:val="1"/>
          <w:bCs w:val="1"/>
          <w:sz w:val="22"/>
          <w:szCs w:val="22"/>
        </w:rPr>
        <w:t xml:space="preserve"> Test Application:</w:t>
      </w:r>
    </w:p>
    <w:p w:rsidR="349D0398" w:rsidP="5FF0A1E2" w:rsidRDefault="349D0398" w14:paraId="013E0C9A" w14:textId="3C199652">
      <w:pPr>
        <w:pStyle w:val="Normal"/>
        <w:spacing w:line="360" w:lineRule="auto"/>
        <w:rPr>
          <w:rFonts w:ascii="Arial" w:hAnsi="Arial" w:eastAsia="Arial" w:cs="Arial"/>
          <w:noProof w:val="0"/>
          <w:sz w:val="22"/>
          <w:szCs w:val="22"/>
          <w:lang w:val="en-GB"/>
        </w:rPr>
      </w:pPr>
      <w:r w:rsidRPr="5FF0A1E2" w:rsidR="349D0398">
        <w:rPr>
          <w:rFonts w:ascii="Arial" w:hAnsi="Arial" w:eastAsia="Arial" w:cs="Arial"/>
          <w:noProof w:val="0"/>
          <w:sz w:val="22"/>
          <w:szCs w:val="22"/>
          <w:lang w:val="en-GB"/>
        </w:rPr>
        <w:t>The CRAAP test</w:t>
      </w:r>
      <w:r w:rsidRPr="5FF0A1E2" w:rsidR="6CD9BBB6">
        <w:rPr>
          <w:rFonts w:ascii="Arial" w:hAnsi="Arial" w:eastAsia="Arial" w:cs="Arial"/>
          <w:noProof w:val="0"/>
          <w:sz w:val="22"/>
          <w:szCs w:val="22"/>
          <w:lang w:val="en-GB"/>
        </w:rPr>
        <w:t xml:space="preserve"> </w:t>
      </w:r>
      <w:r w:rsidRPr="5FF0A1E2" w:rsidR="349D0398">
        <w:rPr>
          <w:rFonts w:ascii="Arial" w:hAnsi="Arial" w:eastAsia="Arial" w:cs="Arial"/>
          <w:noProof w:val="0"/>
          <w:sz w:val="22"/>
          <w:szCs w:val="22"/>
          <w:lang w:val="en-GB"/>
        </w:rPr>
        <w:t>evaluating Currency, Relevance, Authority, Accuracy and Purpose</w:t>
      </w:r>
      <w:r w:rsidRPr="5FF0A1E2" w:rsidR="0D61D70A">
        <w:rPr>
          <w:rFonts w:ascii="Arial" w:hAnsi="Arial" w:eastAsia="Arial" w:cs="Arial"/>
          <w:noProof w:val="0"/>
          <w:sz w:val="22"/>
          <w:szCs w:val="22"/>
          <w:lang w:val="en-GB"/>
        </w:rPr>
        <w:t xml:space="preserve"> </w:t>
      </w:r>
      <w:r w:rsidRPr="5FF0A1E2" w:rsidR="4ACECB1D">
        <w:rPr>
          <w:rFonts w:ascii="Arial" w:hAnsi="Arial" w:eastAsia="Arial" w:cs="Arial"/>
          <w:noProof w:val="0"/>
          <w:sz w:val="22"/>
          <w:szCs w:val="22"/>
          <w:lang w:val="en-GB"/>
        </w:rPr>
        <w:t>were</w:t>
      </w:r>
      <w:r w:rsidRPr="5FF0A1E2" w:rsidR="349D0398">
        <w:rPr>
          <w:rFonts w:ascii="Arial" w:hAnsi="Arial" w:eastAsia="Arial" w:cs="Arial"/>
          <w:noProof w:val="0"/>
          <w:sz w:val="22"/>
          <w:szCs w:val="22"/>
          <w:lang w:val="en-GB"/>
        </w:rPr>
        <w:t xml:space="preserve"> then applied to assess the quality of each remaining source. Priority was given to studies that </w:t>
      </w:r>
      <w:r w:rsidRPr="5FF0A1E2" w:rsidR="349D0398">
        <w:rPr>
          <w:rFonts w:ascii="Arial" w:hAnsi="Arial" w:eastAsia="Arial" w:cs="Arial"/>
          <w:noProof w:val="0"/>
          <w:sz w:val="22"/>
          <w:szCs w:val="22"/>
          <w:lang w:val="en-GB"/>
        </w:rPr>
        <w:t>demonstrated</w:t>
      </w:r>
      <w:r w:rsidRPr="5FF0A1E2" w:rsidR="349D0398">
        <w:rPr>
          <w:rFonts w:ascii="Arial" w:hAnsi="Arial" w:eastAsia="Arial" w:cs="Arial"/>
          <w:noProof w:val="0"/>
          <w:sz w:val="22"/>
          <w:szCs w:val="22"/>
          <w:lang w:val="en-GB"/>
        </w:rPr>
        <w:t xml:space="preserve"> strong Currency (published within the last decade), clear Relevance to educational support, and recognised Authority, such as peer-reviewed journals or </w:t>
      </w:r>
      <w:r w:rsidRPr="5FF0A1E2" w:rsidR="349D0398">
        <w:rPr>
          <w:rFonts w:ascii="Arial" w:hAnsi="Arial" w:eastAsia="Arial" w:cs="Arial"/>
          <w:noProof w:val="0"/>
          <w:sz w:val="22"/>
          <w:szCs w:val="22"/>
          <w:lang w:val="en-GB"/>
        </w:rPr>
        <w:t>established</w:t>
      </w:r>
      <w:r w:rsidRPr="5FF0A1E2" w:rsidR="349D0398">
        <w:rPr>
          <w:rFonts w:ascii="Arial" w:hAnsi="Arial" w:eastAsia="Arial" w:cs="Arial"/>
          <w:noProof w:val="0"/>
          <w:sz w:val="22"/>
          <w:szCs w:val="22"/>
          <w:lang w:val="en-GB"/>
        </w:rPr>
        <w:t xml:space="preserve"> organisations. Not all sources met every criterion fully, but those scoring highly in core areas were </w:t>
      </w:r>
      <w:r w:rsidRPr="5FF0A1E2" w:rsidR="349D0398">
        <w:rPr>
          <w:rFonts w:ascii="Arial" w:hAnsi="Arial" w:eastAsia="Arial" w:cs="Arial"/>
          <w:noProof w:val="0"/>
          <w:sz w:val="22"/>
          <w:szCs w:val="22"/>
          <w:lang w:val="en-GB"/>
        </w:rPr>
        <w:t>retained</w:t>
      </w:r>
      <w:r w:rsidRPr="5FF0A1E2" w:rsidR="349D0398">
        <w:rPr>
          <w:rFonts w:ascii="Arial" w:hAnsi="Arial" w:eastAsia="Arial" w:cs="Arial"/>
          <w:noProof w:val="0"/>
          <w:sz w:val="22"/>
          <w:szCs w:val="22"/>
          <w:lang w:val="en-GB"/>
        </w:rPr>
        <w:t>.</w:t>
      </w:r>
      <w:r w:rsidRPr="5FF0A1E2" w:rsidR="3AFB5D75">
        <w:rPr>
          <w:rFonts w:ascii="Arial" w:hAnsi="Arial" w:eastAsia="Arial" w:cs="Arial"/>
          <w:noProof w:val="0"/>
          <w:sz w:val="22"/>
          <w:szCs w:val="22"/>
          <w:lang w:val="en-GB"/>
        </w:rPr>
        <w:t xml:space="preserve"> This is shown further in </w:t>
      </w:r>
      <w:r w:rsidRPr="5FF0A1E2" w:rsidR="3AFB5D75">
        <w:rPr>
          <w:rFonts w:ascii="Arial" w:hAnsi="Arial" w:eastAsia="Arial" w:cs="Arial"/>
          <w:noProof w:val="0"/>
          <w:sz w:val="22"/>
          <w:szCs w:val="22"/>
          <w:lang w:val="en-GB"/>
        </w:rPr>
        <w:t>appendice</w:t>
      </w:r>
      <w:r w:rsidRPr="5FF0A1E2" w:rsidR="3AFB5D75">
        <w:rPr>
          <w:rFonts w:ascii="Arial" w:hAnsi="Arial" w:eastAsia="Arial" w:cs="Arial"/>
          <w:noProof w:val="0"/>
          <w:sz w:val="22"/>
          <w:szCs w:val="22"/>
          <w:lang w:val="en-GB"/>
        </w:rPr>
        <w:t xml:space="preserve"> B.</w:t>
      </w:r>
    </w:p>
    <w:p w:rsidRPr="00B575E2" w:rsidR="00B575E2" w:rsidP="5FF0A1E2" w:rsidRDefault="00B575E2" w14:paraId="7605EE09" w14:textId="487393D8">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Decision</w:t>
      </w:r>
      <w:r w:rsidRPr="5FF0A1E2" w:rsidR="2F9B609E">
        <w:rPr>
          <w:rFonts w:ascii="Arial" w:hAnsi="Arial" w:eastAsia="Arial" w:cs="Arial"/>
          <w:b w:val="1"/>
          <w:bCs w:val="1"/>
          <w:sz w:val="22"/>
          <w:szCs w:val="22"/>
        </w:rPr>
        <w:t>-Making:</w:t>
      </w:r>
    </w:p>
    <w:p w:rsidRPr="00B575E2" w:rsidR="00B575E2" w:rsidP="5FF0A1E2" w:rsidRDefault="00B575E2" w14:paraId="1C1CD00C" w14:textId="6F02D071">
      <w:pPr>
        <w:pStyle w:val="Normal"/>
        <w:spacing w:line="360" w:lineRule="auto"/>
        <w:rPr>
          <w:rFonts w:ascii="Arial" w:hAnsi="Arial" w:eastAsia="Arial" w:cs="Arial"/>
          <w:noProof w:val="0"/>
          <w:sz w:val="22"/>
          <w:szCs w:val="22"/>
          <w:lang w:val="en-GB"/>
        </w:rPr>
      </w:pPr>
      <w:r w:rsidRPr="5FF0A1E2" w:rsidR="08FFCB75">
        <w:rPr>
          <w:rFonts w:ascii="Arial" w:hAnsi="Arial" w:eastAsia="Arial" w:cs="Arial"/>
          <w:noProof w:val="0"/>
          <w:sz w:val="22"/>
          <w:szCs w:val="22"/>
          <w:lang w:val="en-GB"/>
        </w:rPr>
        <w:t>For example, a government report published by the Department for Education was considered reliable due to its authoritative authorship and up-to-date policy focus, making it suitable for inclusion.</w:t>
      </w:r>
    </w:p>
    <w:p w:rsidR="0021364B" w:rsidP="5FF0A1E2" w:rsidRDefault="00292A36" w14:paraId="0E7E3997" w14:textId="77153B0F">
      <w:pPr>
        <w:pStyle w:val="Heading2"/>
        <w:numPr>
          <w:ilvl w:val="1"/>
          <w:numId w:val="78"/>
        </w:numPr>
        <w:spacing w:line="360" w:lineRule="auto"/>
        <w:jc w:val="left"/>
        <w:rPr>
          <w:rFonts w:ascii="Arial" w:hAnsi="Arial" w:eastAsia="Arial" w:cs="Arial"/>
          <w:sz w:val="22"/>
          <w:szCs w:val="22"/>
        </w:rPr>
      </w:pPr>
      <w:bookmarkStart w:name="_Toc1610118073" w:id="126970997"/>
      <w:r w:rsidRPr="5FF0A1E2" w:rsidR="78FBC936">
        <w:rPr>
          <w:rStyle w:val="Heading2Char"/>
          <w:rFonts w:ascii="Arial" w:hAnsi="Arial" w:eastAsia="Arial" w:cs="Arial"/>
          <w:sz w:val="28"/>
          <w:szCs w:val="28"/>
        </w:rPr>
        <w:t>- Inclusion and Exclusion Criteria</w:t>
      </w:r>
      <w:r>
        <w:br/>
      </w:r>
      <w:bookmarkEnd w:id="126970997"/>
    </w:p>
    <w:p w:rsidRPr="00B575E2" w:rsidR="00B575E2" w:rsidP="5FF0A1E2" w:rsidRDefault="00C17A49" w14:paraId="5CC1A2A4" w14:textId="79FA26F7">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Inclusion</w:t>
      </w:r>
      <w:r w:rsidRPr="5FF0A1E2" w:rsidR="2F9B609E">
        <w:rPr>
          <w:rFonts w:ascii="Arial" w:hAnsi="Arial" w:eastAsia="Arial" w:cs="Arial"/>
          <w:b w:val="1"/>
          <w:bCs w:val="1"/>
          <w:sz w:val="22"/>
          <w:szCs w:val="22"/>
        </w:rPr>
        <w:t xml:space="preserve"> Criteria:</w:t>
      </w:r>
    </w:p>
    <w:p w:rsidR="503538DC" w:rsidP="5FF0A1E2" w:rsidRDefault="503538DC" w14:paraId="3C931094" w14:textId="0035511A">
      <w:pPr>
        <w:pStyle w:val="Normal"/>
        <w:spacing w:line="360" w:lineRule="auto"/>
        <w:rPr>
          <w:rFonts w:ascii="Arial" w:hAnsi="Arial" w:eastAsia="Arial" w:cs="Arial"/>
          <w:noProof w:val="0"/>
          <w:sz w:val="22"/>
          <w:szCs w:val="22"/>
          <w:lang w:val="en-GB"/>
        </w:rPr>
      </w:pPr>
      <w:r w:rsidRPr="5FF0A1E2" w:rsidR="503538DC">
        <w:rPr>
          <w:rFonts w:ascii="Arial" w:hAnsi="Arial" w:eastAsia="Arial" w:cs="Arial"/>
          <w:noProof w:val="0"/>
          <w:sz w:val="22"/>
          <w:szCs w:val="22"/>
          <w:lang w:val="en-GB"/>
        </w:rPr>
        <w:t>The research included peer-reviewed journal articles published within the last ten years, UK-based or comparable international studies, and literature specifically focused on children with chronic illnesses in educational contexts. Reputable grey literature, such as government reports and policy documents, was also included.</w:t>
      </w:r>
    </w:p>
    <w:p w:rsidRPr="00B575E2" w:rsidR="00B575E2" w:rsidP="5FF0A1E2" w:rsidRDefault="00C17A49" w14:paraId="2D999921" w14:textId="4A1EAA8B">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Exclusion</w:t>
      </w:r>
      <w:r w:rsidRPr="5FF0A1E2" w:rsidR="2F9B609E">
        <w:rPr>
          <w:rFonts w:ascii="Arial" w:hAnsi="Arial" w:eastAsia="Arial" w:cs="Arial"/>
          <w:b w:val="1"/>
          <w:bCs w:val="1"/>
          <w:sz w:val="22"/>
          <w:szCs w:val="22"/>
        </w:rPr>
        <w:t xml:space="preserve"> Criteria:</w:t>
      </w:r>
    </w:p>
    <w:p w:rsidR="132289D0" w:rsidP="5FF0A1E2" w:rsidRDefault="132289D0" w14:paraId="2DCB6C88" w14:textId="22A824F1">
      <w:pPr>
        <w:pStyle w:val="Normal"/>
        <w:spacing w:line="360" w:lineRule="auto"/>
        <w:rPr>
          <w:rFonts w:ascii="Arial" w:hAnsi="Arial" w:eastAsia="Arial" w:cs="Arial"/>
          <w:noProof w:val="0"/>
          <w:sz w:val="22"/>
          <w:szCs w:val="22"/>
          <w:lang w:val="en-GB"/>
        </w:rPr>
      </w:pPr>
      <w:r w:rsidRPr="5FF0A1E2" w:rsidR="132289D0">
        <w:rPr>
          <w:rFonts w:ascii="Arial" w:hAnsi="Arial" w:eastAsia="Arial" w:cs="Arial"/>
          <w:noProof w:val="0"/>
          <w:sz w:val="22"/>
          <w:szCs w:val="22"/>
          <w:lang w:val="en-GB"/>
        </w:rPr>
        <w:t>Sources excluded were non-academic websites, opinion blogs, outdated publications, non-English texts, and studies unrelated to educational support for chronically ill children.</w:t>
      </w:r>
    </w:p>
    <w:p w:rsidRPr="00B575E2" w:rsidR="00B575E2" w:rsidP="5FF0A1E2" w:rsidRDefault="00C17A49" w14:paraId="6D764C27" w14:textId="59BB67A8">
      <w:pPr>
        <w:spacing w:line="360" w:lineRule="auto"/>
        <w:rPr>
          <w:rFonts w:ascii="Arial" w:hAnsi="Arial" w:eastAsia="Arial" w:cs="Arial"/>
          <w:b w:val="1"/>
          <w:bCs w:val="1"/>
          <w:sz w:val="22"/>
          <w:szCs w:val="22"/>
        </w:rPr>
      </w:pPr>
      <w:r w:rsidRPr="5FF0A1E2" w:rsidR="2F9B609E">
        <w:rPr>
          <w:rFonts w:ascii="Arial" w:hAnsi="Arial" w:eastAsia="Arial" w:cs="Arial"/>
          <w:b w:val="1"/>
          <w:bCs w:val="1"/>
          <w:sz w:val="22"/>
          <w:szCs w:val="22"/>
        </w:rPr>
        <w:t>Justification</w:t>
      </w:r>
      <w:r w:rsidRPr="5FF0A1E2" w:rsidR="2F9B609E">
        <w:rPr>
          <w:rFonts w:ascii="Arial" w:hAnsi="Arial" w:eastAsia="Arial" w:cs="Arial"/>
          <w:b w:val="1"/>
          <w:bCs w:val="1"/>
          <w:sz w:val="22"/>
          <w:szCs w:val="22"/>
        </w:rPr>
        <w:t>:</w:t>
      </w:r>
    </w:p>
    <w:p w:rsidRPr="00292A36" w:rsidR="00B575E2" w:rsidP="5FF0A1E2" w:rsidRDefault="00B575E2" w14:paraId="79EFA533" w14:textId="613F9CA9">
      <w:pPr>
        <w:pStyle w:val="Normal"/>
        <w:spacing w:line="360" w:lineRule="auto"/>
        <w:rPr>
          <w:rFonts w:ascii="Arial" w:hAnsi="Arial" w:eastAsia="Arial" w:cs="Arial"/>
          <w:noProof w:val="0"/>
          <w:sz w:val="22"/>
          <w:szCs w:val="22"/>
          <w:lang w:val="en-GB"/>
        </w:rPr>
      </w:pPr>
      <w:r w:rsidRPr="5FF0A1E2" w:rsidR="65447168">
        <w:rPr>
          <w:rFonts w:ascii="Arial" w:hAnsi="Arial" w:eastAsia="Arial" w:cs="Arial"/>
          <w:noProof w:val="0"/>
          <w:sz w:val="22"/>
          <w:szCs w:val="22"/>
          <w:lang w:val="en-GB"/>
        </w:rPr>
        <w:t>These criteria ensured the research remained focused, academically credible, and based on current evidence. Narrowing the scope in this way strengthened the reliability, relevance, and quality of the final findings.</w:t>
      </w:r>
    </w:p>
    <w:p w:rsidR="0021364B" w:rsidP="5FF0A1E2" w:rsidRDefault="00292A36" w14:paraId="01A5598C" w14:textId="6FD0E7A9">
      <w:pPr>
        <w:pStyle w:val="Heading2"/>
        <w:numPr>
          <w:ilvl w:val="1"/>
          <w:numId w:val="78"/>
        </w:numPr>
        <w:spacing w:line="360" w:lineRule="auto"/>
        <w:jc w:val="left"/>
        <w:rPr>
          <w:rFonts w:ascii="Arial" w:hAnsi="Arial" w:eastAsia="Arial" w:cs="Arial"/>
          <w:sz w:val="28"/>
          <w:szCs w:val="28"/>
        </w:rPr>
      </w:pPr>
      <w:bookmarkStart w:name="_Toc1055530445" w:id="1468227038"/>
      <w:r w:rsidRPr="5FF0A1E2" w:rsidR="78FBC936">
        <w:rPr>
          <w:rFonts w:ascii="Arial" w:hAnsi="Arial" w:eastAsia="Arial" w:cs="Arial"/>
          <w:sz w:val="28"/>
          <w:szCs w:val="28"/>
        </w:rPr>
        <w:t>– Analysing Research</w:t>
      </w:r>
      <w:bookmarkEnd w:id="1468227038"/>
    </w:p>
    <w:p w:rsidR="5FF0A1E2" w:rsidP="5FF0A1E2" w:rsidRDefault="5FF0A1E2" w14:paraId="1EF2F5E3" w14:textId="61E74C03">
      <w:pPr>
        <w:pStyle w:val="Normal"/>
        <w:spacing w:line="360" w:lineRule="auto"/>
        <w:rPr>
          <w:rFonts w:ascii="Arial" w:hAnsi="Arial" w:eastAsia="Arial" w:cs="Arial"/>
          <w:b w:val="1"/>
          <w:bCs w:val="1"/>
          <w:sz w:val="22"/>
          <w:szCs w:val="22"/>
        </w:rPr>
      </w:pPr>
    </w:p>
    <w:p w:rsidRPr="00C17A49" w:rsidR="00C17A49" w:rsidP="5FF0A1E2" w:rsidRDefault="00C17A49" w14:paraId="210D014B" w14:textId="220A97A3">
      <w:pPr>
        <w:pStyle w:val="Normal"/>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Thematic Coding Approach:</w:t>
      </w:r>
    </w:p>
    <w:p w:rsidR="2C56AC2E" w:rsidP="5FF0A1E2" w:rsidRDefault="2C56AC2E" w14:paraId="28737C0C" w14:textId="768F26C8">
      <w:pPr>
        <w:pStyle w:val="Normal"/>
        <w:spacing w:line="360" w:lineRule="auto"/>
        <w:rPr>
          <w:rFonts w:ascii="Arial" w:hAnsi="Arial" w:eastAsia="Arial" w:cs="Arial"/>
          <w:noProof w:val="0"/>
          <w:sz w:val="22"/>
          <w:szCs w:val="22"/>
          <w:lang w:val="en-GB"/>
        </w:rPr>
      </w:pPr>
      <w:r w:rsidRPr="5FF0A1E2" w:rsidR="2C56AC2E">
        <w:rPr>
          <w:rFonts w:ascii="Arial" w:hAnsi="Arial" w:eastAsia="Arial" w:cs="Arial"/>
          <w:noProof w:val="0"/>
          <w:sz w:val="22"/>
          <w:szCs w:val="22"/>
          <w:lang w:val="en-GB"/>
        </w:rPr>
        <w:t xml:space="preserve">A thematic coding approach was used to analyse the selected literature, following the principles outlined by Braun and Clarke (2006), who emphasise </w:t>
      </w:r>
      <w:r w:rsidRPr="5FF0A1E2" w:rsidR="2C56AC2E">
        <w:rPr>
          <w:rFonts w:ascii="Arial" w:hAnsi="Arial" w:eastAsia="Arial" w:cs="Arial"/>
          <w:noProof w:val="0"/>
          <w:sz w:val="22"/>
          <w:szCs w:val="22"/>
          <w:lang w:val="en-GB"/>
        </w:rPr>
        <w:t>identifying</w:t>
      </w:r>
      <w:r w:rsidRPr="5FF0A1E2" w:rsidR="2C56AC2E">
        <w:rPr>
          <w:rFonts w:ascii="Arial" w:hAnsi="Arial" w:eastAsia="Arial" w:cs="Arial"/>
          <w:noProof w:val="0"/>
          <w:sz w:val="22"/>
          <w:szCs w:val="22"/>
          <w:lang w:val="en-GB"/>
        </w:rPr>
        <w:t xml:space="preserve"> patterns and meaningful categories within qualitative data</w:t>
      </w:r>
      <w:r w:rsidRPr="5FF0A1E2" w:rsidR="606583EC">
        <w:rPr>
          <w:rFonts w:ascii="Arial" w:hAnsi="Arial" w:eastAsia="Arial" w:cs="Arial"/>
          <w:noProof w:val="0"/>
          <w:sz w:val="22"/>
          <w:szCs w:val="22"/>
          <w:lang w:val="en-GB"/>
        </w:rPr>
        <w:t xml:space="preserve"> </w:t>
      </w:r>
      <w:r w:rsidRPr="5FF0A1E2" w:rsidR="2C37A106">
        <w:rPr>
          <w:rFonts w:ascii="Arial" w:hAnsi="Arial" w:eastAsia="Arial" w:cs="Arial"/>
          <w:noProof w:val="0"/>
          <w:sz w:val="22"/>
          <w:szCs w:val="22"/>
          <w:lang w:val="en-GB"/>
        </w:rPr>
        <w:t>as mentioned</w:t>
      </w:r>
      <w:r w:rsidRPr="5FF0A1E2" w:rsidR="606583EC">
        <w:rPr>
          <w:rFonts w:ascii="Arial" w:hAnsi="Arial" w:eastAsia="Arial" w:cs="Arial"/>
          <w:noProof w:val="0"/>
          <w:sz w:val="22"/>
          <w:szCs w:val="22"/>
          <w:lang w:val="en-GB"/>
        </w:rPr>
        <w:t xml:space="preserve"> in </w:t>
      </w:r>
      <w:r w:rsidRPr="5FF0A1E2" w:rsidR="606583EC">
        <w:rPr>
          <w:rFonts w:ascii="Arial" w:hAnsi="Arial" w:eastAsia="Arial" w:cs="Arial"/>
          <w:noProof w:val="0"/>
          <w:sz w:val="22"/>
          <w:szCs w:val="22"/>
          <w:lang w:val="en-GB"/>
        </w:rPr>
        <w:t>appentice</w:t>
      </w:r>
      <w:r w:rsidRPr="5FF0A1E2" w:rsidR="606583EC">
        <w:rPr>
          <w:rFonts w:ascii="Arial" w:hAnsi="Arial" w:eastAsia="Arial" w:cs="Arial"/>
          <w:noProof w:val="0"/>
          <w:sz w:val="22"/>
          <w:szCs w:val="22"/>
          <w:lang w:val="en-GB"/>
        </w:rPr>
        <w:t xml:space="preserve"> A.</w:t>
      </w:r>
      <w:r w:rsidRPr="5FF0A1E2" w:rsidR="2C56AC2E">
        <w:rPr>
          <w:rFonts w:ascii="Arial" w:hAnsi="Arial" w:eastAsia="Arial" w:cs="Arial"/>
          <w:noProof w:val="0"/>
          <w:sz w:val="22"/>
          <w:szCs w:val="22"/>
          <w:lang w:val="en-GB"/>
        </w:rPr>
        <w:t xml:space="preserve"> </w:t>
      </w:r>
      <w:r w:rsidRPr="5FF0A1E2" w:rsidR="2C56AC2E">
        <w:rPr>
          <w:rFonts w:ascii="Arial" w:hAnsi="Arial" w:eastAsia="Arial" w:cs="Arial"/>
          <w:noProof w:val="0"/>
          <w:sz w:val="22"/>
          <w:szCs w:val="22"/>
          <w:lang w:val="en-GB"/>
        </w:rPr>
        <w:t>Each source was read closely, and recurring ideas, issues, and keywords were highlighted. From these observations, initial descriptive codes were generated to capture key points related to educational support, barriers faced by chronically ill children, and school policy implications.</w:t>
      </w:r>
    </w:p>
    <w:p w:rsidRPr="00C17A49" w:rsidR="00C17A49" w:rsidP="5FF0A1E2" w:rsidRDefault="00C17A49" w14:paraId="5055D6DF" w14:textId="2E294F42">
      <w:pPr>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Developing</w:t>
      </w:r>
      <w:r w:rsidRPr="5FF0A1E2" w:rsidR="5FC7B2F8">
        <w:rPr>
          <w:rFonts w:ascii="Arial" w:hAnsi="Arial" w:eastAsia="Arial" w:cs="Arial"/>
          <w:b w:val="1"/>
          <w:bCs w:val="1"/>
          <w:sz w:val="22"/>
          <w:szCs w:val="22"/>
        </w:rPr>
        <w:t xml:space="preserve"> Themes:</w:t>
      </w:r>
    </w:p>
    <w:p w:rsidR="3A8F112D" w:rsidP="5FF0A1E2" w:rsidRDefault="3A8F112D" w14:paraId="1CFE087D" w14:textId="3294738F">
      <w:pPr>
        <w:pStyle w:val="Normal"/>
        <w:spacing w:line="360" w:lineRule="auto"/>
        <w:rPr>
          <w:rFonts w:ascii="Arial" w:hAnsi="Arial" w:eastAsia="Arial" w:cs="Arial"/>
          <w:noProof w:val="0"/>
          <w:sz w:val="22"/>
          <w:szCs w:val="22"/>
          <w:lang w:val="en-GB"/>
        </w:rPr>
      </w:pPr>
      <w:r w:rsidRPr="5FF0A1E2" w:rsidR="3A8F112D">
        <w:rPr>
          <w:rFonts w:ascii="Arial" w:hAnsi="Arial" w:eastAsia="Arial" w:cs="Arial"/>
          <w:noProof w:val="0"/>
          <w:sz w:val="22"/>
          <w:szCs w:val="22"/>
          <w:lang w:val="en-GB"/>
        </w:rPr>
        <w:t>These codes were then grouped into broader themes that aligned with the research aim, a process supported by the iterative thematic development approach recommended by Nowell et al. (2017). Themes such as inclusivity, school</w:t>
      </w:r>
      <w:r w:rsidRPr="5FF0A1E2" w:rsidR="4B1A3E5B">
        <w:rPr>
          <w:rFonts w:ascii="Arial" w:hAnsi="Arial" w:eastAsia="Arial" w:cs="Arial"/>
          <w:noProof w:val="0"/>
          <w:sz w:val="22"/>
          <w:szCs w:val="22"/>
          <w:lang w:val="en-GB"/>
        </w:rPr>
        <w:t xml:space="preserve"> </w:t>
      </w:r>
      <w:r w:rsidRPr="5FF0A1E2" w:rsidR="3A8F112D">
        <w:rPr>
          <w:rFonts w:ascii="Arial" w:hAnsi="Arial" w:eastAsia="Arial" w:cs="Arial"/>
          <w:noProof w:val="0"/>
          <w:sz w:val="22"/>
          <w:szCs w:val="22"/>
          <w:lang w:val="en-GB"/>
        </w:rPr>
        <w:t xml:space="preserve">healthcare collaboration, and teacher preparedness began to </w:t>
      </w:r>
      <w:r w:rsidRPr="5FF0A1E2" w:rsidR="3A8F112D">
        <w:rPr>
          <w:rFonts w:ascii="Arial" w:hAnsi="Arial" w:eastAsia="Arial" w:cs="Arial"/>
          <w:noProof w:val="0"/>
          <w:sz w:val="22"/>
          <w:szCs w:val="22"/>
          <w:lang w:val="en-GB"/>
        </w:rPr>
        <w:t>emerge</w:t>
      </w:r>
      <w:r w:rsidRPr="5FF0A1E2" w:rsidR="3A8F112D">
        <w:rPr>
          <w:rFonts w:ascii="Arial" w:hAnsi="Arial" w:eastAsia="Arial" w:cs="Arial"/>
          <w:noProof w:val="0"/>
          <w:sz w:val="22"/>
          <w:szCs w:val="22"/>
          <w:lang w:val="en-GB"/>
        </w:rPr>
        <w:t>.</w:t>
      </w:r>
    </w:p>
    <w:p w:rsidRPr="00C17A49" w:rsidR="00C17A49" w:rsidP="5FF0A1E2" w:rsidRDefault="00C17A49" w14:paraId="78F24EC6" w14:textId="45354327">
      <w:pPr>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Organisation:</w:t>
      </w:r>
    </w:p>
    <w:p w:rsidR="18DDF961" w:rsidP="5FF0A1E2" w:rsidRDefault="18DDF961" w14:paraId="643571F5" w14:textId="4A3E44B1">
      <w:pPr>
        <w:pStyle w:val="Normal"/>
        <w:spacing w:line="360" w:lineRule="auto"/>
        <w:ind w:left="0"/>
        <w:rPr>
          <w:rFonts w:ascii="Arial" w:hAnsi="Arial" w:eastAsia="Arial" w:cs="Arial"/>
          <w:noProof w:val="0"/>
          <w:sz w:val="22"/>
          <w:szCs w:val="22"/>
          <w:lang w:val="en-GB"/>
        </w:rPr>
      </w:pPr>
      <w:r w:rsidRPr="5FF0A1E2" w:rsidR="18DDF961">
        <w:rPr>
          <w:rFonts w:ascii="Arial" w:hAnsi="Arial" w:eastAsia="Arial" w:cs="Arial"/>
          <w:noProof w:val="0"/>
          <w:sz w:val="22"/>
          <w:szCs w:val="22"/>
          <w:lang w:val="en-GB"/>
        </w:rPr>
        <w:t xml:space="preserve">To </w:t>
      </w:r>
      <w:r w:rsidRPr="5FF0A1E2" w:rsidR="18DDF961">
        <w:rPr>
          <w:rFonts w:ascii="Arial" w:hAnsi="Arial" w:eastAsia="Arial" w:cs="Arial"/>
          <w:noProof w:val="0"/>
          <w:sz w:val="22"/>
          <w:szCs w:val="22"/>
          <w:lang w:val="en-GB"/>
        </w:rPr>
        <w:t>maintain</w:t>
      </w:r>
      <w:r w:rsidRPr="5FF0A1E2" w:rsidR="18DDF961">
        <w:rPr>
          <w:rFonts w:ascii="Arial" w:hAnsi="Arial" w:eastAsia="Arial" w:cs="Arial"/>
          <w:noProof w:val="0"/>
          <w:sz w:val="22"/>
          <w:szCs w:val="22"/>
          <w:lang w:val="en-GB"/>
        </w:rPr>
        <w:t xml:space="preserve"> organisation and transparency, tables and spreadsheets were used to record sources, codes, and theme clusters. Colour</w:t>
      </w:r>
      <w:r w:rsidRPr="5FF0A1E2" w:rsidR="429F3279">
        <w:rPr>
          <w:rFonts w:ascii="Arial" w:hAnsi="Arial" w:eastAsia="Arial" w:cs="Arial"/>
          <w:noProof w:val="0"/>
          <w:sz w:val="22"/>
          <w:szCs w:val="22"/>
          <w:lang w:val="en-GB"/>
        </w:rPr>
        <w:t xml:space="preserve"> </w:t>
      </w:r>
      <w:r w:rsidRPr="5FF0A1E2" w:rsidR="18DDF961">
        <w:rPr>
          <w:rFonts w:ascii="Arial" w:hAnsi="Arial" w:eastAsia="Arial" w:cs="Arial"/>
          <w:noProof w:val="0"/>
          <w:sz w:val="22"/>
          <w:szCs w:val="22"/>
          <w:lang w:val="en-GB"/>
        </w:rPr>
        <w:t>coding techniques were also applied to visually link related ideas, supporting clearer interpretation and ensuring a systematic route from codes to final themes, as suggested by Castleberry and Nolen (2018).</w:t>
      </w:r>
    </w:p>
    <w:p w:rsidRPr="00C17A49" w:rsidR="00C17A49" w:rsidP="5FF0A1E2" w:rsidRDefault="00C17A49" w14:paraId="073EA88D" w14:textId="32216A53">
      <w:pPr>
        <w:pStyle w:val="Heading2"/>
        <w:numPr>
          <w:ilvl w:val="1"/>
          <w:numId w:val="78"/>
        </w:numPr>
        <w:spacing w:line="360" w:lineRule="auto"/>
        <w:rPr>
          <w:rFonts w:ascii="Arial" w:hAnsi="Arial" w:eastAsia="Arial" w:cs="Arial"/>
          <w:sz w:val="28"/>
          <w:szCs w:val="28"/>
        </w:rPr>
      </w:pPr>
      <w:bookmarkStart w:name="_Toc685231492" w:id="2012528657"/>
      <w:r w:rsidRPr="5FF0A1E2" w:rsidR="78FBC936">
        <w:rPr>
          <w:rFonts w:ascii="Arial" w:hAnsi="Arial" w:eastAsia="Arial" w:cs="Arial"/>
          <w:sz w:val="28"/>
          <w:szCs w:val="28"/>
        </w:rPr>
        <w:t>– Ethical Considerations</w:t>
      </w:r>
      <w:bookmarkEnd w:id="2012528657"/>
    </w:p>
    <w:p w:rsidR="5FF0A1E2" w:rsidP="5FF0A1E2" w:rsidRDefault="5FF0A1E2" w14:paraId="14BF0D42" w14:textId="1C16DB56">
      <w:pPr>
        <w:spacing w:line="360" w:lineRule="auto"/>
        <w:rPr>
          <w:rFonts w:ascii="Arial" w:hAnsi="Arial" w:eastAsia="Arial" w:cs="Arial"/>
          <w:b w:val="1"/>
          <w:bCs w:val="1"/>
          <w:sz w:val="22"/>
          <w:szCs w:val="22"/>
        </w:rPr>
      </w:pPr>
    </w:p>
    <w:p w:rsidRPr="00C17A49" w:rsidR="00C17A49" w:rsidP="5FF0A1E2" w:rsidRDefault="00C17A49" w14:paraId="79326193" w14:textId="5E114127">
      <w:pPr>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Secondary</w:t>
      </w:r>
      <w:r w:rsidRPr="5FF0A1E2" w:rsidR="5FC7B2F8">
        <w:rPr>
          <w:rFonts w:ascii="Arial" w:hAnsi="Arial" w:eastAsia="Arial" w:cs="Arial"/>
          <w:b w:val="1"/>
          <w:bCs w:val="1"/>
          <w:sz w:val="22"/>
          <w:szCs w:val="22"/>
        </w:rPr>
        <w:t xml:space="preserve"> Research Ethics:</w:t>
      </w:r>
    </w:p>
    <w:p w:rsidR="07872802" w:rsidP="5FF0A1E2" w:rsidRDefault="07872802" w14:paraId="4C379CD2" w14:textId="7562A136">
      <w:pPr>
        <w:pStyle w:val="Normal"/>
        <w:spacing w:line="360" w:lineRule="auto"/>
        <w:rPr>
          <w:rFonts w:ascii="Arial" w:hAnsi="Arial" w:eastAsia="Arial" w:cs="Arial"/>
          <w:noProof w:val="0"/>
          <w:sz w:val="22"/>
          <w:szCs w:val="22"/>
          <w:lang w:val="en-GB"/>
        </w:rPr>
      </w:pPr>
      <w:r w:rsidRPr="5FF0A1E2" w:rsidR="07872802">
        <w:rPr>
          <w:rFonts w:ascii="Arial" w:hAnsi="Arial" w:eastAsia="Arial" w:cs="Arial"/>
          <w:noProof w:val="0"/>
          <w:sz w:val="22"/>
          <w:szCs w:val="22"/>
          <w:lang w:val="en-GB"/>
        </w:rPr>
        <w:t>As this dissertation used a secondary research design, no new data were collected, reducing ethical risks associated with direct participant involvement (</w:t>
      </w:r>
      <w:r w:rsidRPr="5FF0A1E2" w:rsidR="07872802">
        <w:rPr>
          <w:rFonts w:ascii="Arial" w:hAnsi="Arial" w:eastAsia="Arial" w:cs="Arial"/>
          <w:noProof w:val="0"/>
          <w:sz w:val="22"/>
          <w:szCs w:val="22"/>
          <w:lang w:val="en-GB"/>
        </w:rPr>
        <w:t>Walliman</w:t>
      </w:r>
      <w:r w:rsidRPr="5FF0A1E2" w:rsidR="07872802">
        <w:rPr>
          <w:rFonts w:ascii="Arial" w:hAnsi="Arial" w:eastAsia="Arial" w:cs="Arial"/>
          <w:noProof w:val="0"/>
          <w:sz w:val="22"/>
          <w:szCs w:val="22"/>
          <w:lang w:val="en-GB"/>
        </w:rPr>
        <w:t>, 2017).</w:t>
      </w:r>
    </w:p>
    <w:p w:rsidRPr="00C17A49" w:rsidR="00C17A49" w:rsidP="5FF0A1E2" w:rsidRDefault="00C17A49" w14:paraId="62B3E465" w14:textId="46BE8D01">
      <w:pPr>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Academic</w:t>
      </w:r>
      <w:r w:rsidRPr="5FF0A1E2" w:rsidR="5FC7B2F8">
        <w:rPr>
          <w:rFonts w:ascii="Arial" w:hAnsi="Arial" w:eastAsia="Arial" w:cs="Arial"/>
          <w:b w:val="1"/>
          <w:bCs w:val="1"/>
          <w:sz w:val="22"/>
          <w:szCs w:val="22"/>
        </w:rPr>
        <w:t xml:space="preserve"> Integrity:</w:t>
      </w:r>
    </w:p>
    <w:p w:rsidR="754DFB7D" w:rsidP="5FF0A1E2" w:rsidRDefault="754DFB7D" w14:paraId="3318B22B" w14:textId="60A9FA8D">
      <w:pPr>
        <w:pStyle w:val="Normal"/>
        <w:spacing w:line="360" w:lineRule="auto"/>
        <w:rPr>
          <w:rFonts w:ascii="Arial" w:hAnsi="Arial" w:eastAsia="Arial" w:cs="Arial"/>
          <w:noProof w:val="0"/>
          <w:sz w:val="22"/>
          <w:szCs w:val="22"/>
          <w:lang w:val="en-GB"/>
        </w:rPr>
      </w:pPr>
      <w:r w:rsidRPr="5FF0A1E2" w:rsidR="754DFB7D">
        <w:rPr>
          <w:rFonts w:ascii="Arial" w:hAnsi="Arial" w:eastAsia="Arial" w:cs="Arial"/>
          <w:noProof w:val="0"/>
          <w:sz w:val="22"/>
          <w:szCs w:val="22"/>
          <w:lang w:val="en-GB"/>
        </w:rPr>
        <w:t xml:space="preserve">Ethical practice was </w:t>
      </w:r>
      <w:r w:rsidRPr="5FF0A1E2" w:rsidR="754DFB7D">
        <w:rPr>
          <w:rFonts w:ascii="Arial" w:hAnsi="Arial" w:eastAsia="Arial" w:cs="Arial"/>
          <w:noProof w:val="0"/>
          <w:sz w:val="22"/>
          <w:szCs w:val="22"/>
          <w:lang w:val="en-GB"/>
        </w:rPr>
        <w:t>maintained</w:t>
      </w:r>
      <w:r w:rsidRPr="5FF0A1E2" w:rsidR="754DFB7D">
        <w:rPr>
          <w:rFonts w:ascii="Arial" w:hAnsi="Arial" w:eastAsia="Arial" w:cs="Arial"/>
          <w:noProof w:val="0"/>
          <w:sz w:val="22"/>
          <w:szCs w:val="22"/>
          <w:lang w:val="en-GB"/>
        </w:rPr>
        <w:t xml:space="preserve"> through strict adherence to academic integrity principles, including </w:t>
      </w:r>
      <w:r w:rsidRPr="5FF0A1E2" w:rsidR="754DFB7D">
        <w:rPr>
          <w:rFonts w:ascii="Arial" w:hAnsi="Arial" w:eastAsia="Arial" w:cs="Arial"/>
          <w:noProof w:val="0"/>
          <w:sz w:val="22"/>
          <w:szCs w:val="22"/>
          <w:lang w:val="en-GB"/>
        </w:rPr>
        <w:t>accurate</w:t>
      </w:r>
      <w:r w:rsidRPr="5FF0A1E2" w:rsidR="754DFB7D">
        <w:rPr>
          <w:rFonts w:ascii="Arial" w:hAnsi="Arial" w:eastAsia="Arial" w:cs="Arial"/>
          <w:noProof w:val="0"/>
          <w:sz w:val="22"/>
          <w:szCs w:val="22"/>
          <w:lang w:val="en-GB"/>
        </w:rPr>
        <w:t xml:space="preserve"> citation of all sources, consistent use of the Harvard referencing style, and careful avoidance of plagiarism or misinterpretation (Creswell and Creswell, 2018).</w:t>
      </w:r>
    </w:p>
    <w:p w:rsidRPr="00C17A49" w:rsidR="00C17A49" w:rsidP="5FF0A1E2" w:rsidRDefault="00C17A49" w14:paraId="0B6D27B9" w14:textId="0AD15B09">
      <w:pPr>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Transparency</w:t>
      </w:r>
      <w:r w:rsidRPr="5FF0A1E2" w:rsidR="5FC7B2F8">
        <w:rPr>
          <w:rFonts w:ascii="Arial" w:hAnsi="Arial" w:eastAsia="Arial" w:cs="Arial"/>
          <w:b w:val="1"/>
          <w:bCs w:val="1"/>
          <w:sz w:val="22"/>
          <w:szCs w:val="22"/>
        </w:rPr>
        <w:t xml:space="preserve"> and Credibility:</w:t>
      </w:r>
    </w:p>
    <w:p w:rsidRPr="001C3AF6" w:rsidR="001C3AF6" w:rsidP="5FF0A1E2" w:rsidRDefault="001C3AF6" w14:paraId="5569F915" w14:textId="373776EB">
      <w:pPr>
        <w:pStyle w:val="Normal"/>
        <w:spacing w:line="360" w:lineRule="auto"/>
        <w:rPr>
          <w:rFonts w:ascii="Arial" w:hAnsi="Arial" w:eastAsia="Arial" w:cs="Arial"/>
          <w:noProof w:val="0"/>
          <w:sz w:val="22"/>
          <w:szCs w:val="22"/>
          <w:lang w:val="en-GB"/>
        </w:rPr>
      </w:pPr>
      <w:r w:rsidRPr="5FF0A1E2" w:rsidR="57C00B82">
        <w:rPr>
          <w:rFonts w:ascii="Arial" w:hAnsi="Arial" w:eastAsia="Arial" w:cs="Arial"/>
          <w:noProof w:val="0"/>
          <w:sz w:val="22"/>
          <w:szCs w:val="22"/>
          <w:lang w:val="en-GB"/>
        </w:rPr>
        <w:t>Transparency and credibility were upheld by selecting literature based on relevance and quality rather than personal bias, ensuring a balanced and fair representation of existing research (Bryman, 2016). This ethical approach supports the trustworthiness and reliability of the study's findings.</w:t>
      </w:r>
    </w:p>
    <w:p w:rsidR="5FF0A1E2" w:rsidP="5FF0A1E2" w:rsidRDefault="5FF0A1E2" w14:paraId="30504F15" w14:textId="50475751">
      <w:pPr>
        <w:pStyle w:val="Heading2"/>
        <w:spacing w:line="360" w:lineRule="auto"/>
        <w:rPr>
          <w:rFonts w:ascii="Arial" w:hAnsi="Arial" w:eastAsia="Arial" w:cs="Arial"/>
          <w:sz w:val="22"/>
          <w:szCs w:val="22"/>
        </w:rPr>
      </w:pPr>
    </w:p>
    <w:p w:rsidR="00292A36" w:rsidP="5FF0A1E2" w:rsidRDefault="00E325CF" w14:paraId="7F51675F" w14:textId="04100309">
      <w:pPr>
        <w:pStyle w:val="Heading2"/>
        <w:spacing w:line="360" w:lineRule="auto"/>
        <w:rPr>
          <w:rFonts w:ascii="Arial" w:hAnsi="Arial" w:eastAsia="Arial" w:cs="Arial"/>
          <w:sz w:val="28"/>
          <w:szCs w:val="28"/>
        </w:rPr>
      </w:pPr>
      <w:bookmarkStart w:name="_Toc1972546389" w:id="504202041"/>
      <w:r w:rsidRPr="5FF0A1E2" w:rsidR="3F188940">
        <w:rPr>
          <w:rFonts w:ascii="Arial" w:hAnsi="Arial" w:eastAsia="Arial" w:cs="Arial"/>
          <w:sz w:val="28"/>
          <w:szCs w:val="28"/>
        </w:rPr>
        <w:t xml:space="preserve">3.8 </w:t>
      </w:r>
      <w:r w:rsidRPr="5FF0A1E2" w:rsidR="78FBC936">
        <w:rPr>
          <w:rFonts w:ascii="Arial" w:hAnsi="Arial" w:eastAsia="Arial" w:cs="Arial"/>
          <w:sz w:val="28"/>
          <w:szCs w:val="28"/>
        </w:rPr>
        <w:t>– Chapter Conclusion</w:t>
      </w:r>
      <w:bookmarkEnd w:id="504202041"/>
    </w:p>
    <w:p w:rsidR="005446BF" w:rsidP="5FF0A1E2" w:rsidRDefault="005446BF" w14:paraId="7F8BD393" w14:textId="77777777" w14:noSpellErr="1">
      <w:pPr>
        <w:pStyle w:val="Normal"/>
        <w:spacing w:line="360" w:lineRule="auto"/>
        <w:ind w:left="0" w:hanging="0"/>
        <w:rPr>
          <w:rFonts w:ascii="Arial" w:hAnsi="Arial" w:eastAsia="Arial" w:cs="Arial"/>
          <w:sz w:val="22"/>
          <w:szCs w:val="22"/>
        </w:rPr>
      </w:pPr>
    </w:p>
    <w:p w:rsidRPr="00C17A49" w:rsidR="00C17A49" w:rsidP="5FF0A1E2" w:rsidRDefault="00C17A49" w14:paraId="4823FCA9" w14:textId="00A35367">
      <w:pPr>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Summary:</w:t>
      </w:r>
    </w:p>
    <w:p w:rsidR="53719E67" w:rsidP="5FF0A1E2" w:rsidRDefault="53719E67" w14:paraId="30E6EB1C" w14:textId="6A749216">
      <w:pPr>
        <w:pStyle w:val="Normal"/>
        <w:spacing w:line="360" w:lineRule="auto"/>
        <w:rPr>
          <w:rFonts w:ascii="Arial" w:hAnsi="Arial" w:eastAsia="Arial" w:cs="Arial"/>
          <w:noProof w:val="0"/>
          <w:sz w:val="22"/>
          <w:szCs w:val="22"/>
          <w:lang w:val="en-GB"/>
        </w:rPr>
      </w:pPr>
      <w:r w:rsidRPr="5FF0A1E2" w:rsidR="53719E67">
        <w:rPr>
          <w:rFonts w:ascii="Arial" w:hAnsi="Arial" w:eastAsia="Arial" w:cs="Arial"/>
          <w:noProof w:val="0"/>
          <w:sz w:val="22"/>
          <w:szCs w:val="22"/>
          <w:lang w:val="en-GB"/>
        </w:rPr>
        <w:t xml:space="preserve">This chapter outlined the systematic steps taken to </w:t>
      </w:r>
      <w:r w:rsidRPr="5FF0A1E2" w:rsidR="53719E67">
        <w:rPr>
          <w:rFonts w:ascii="Arial" w:hAnsi="Arial" w:eastAsia="Arial" w:cs="Arial"/>
          <w:noProof w:val="0"/>
          <w:sz w:val="22"/>
          <w:szCs w:val="22"/>
          <w:lang w:val="en-GB"/>
        </w:rPr>
        <w:t>locate</w:t>
      </w:r>
      <w:r w:rsidRPr="5FF0A1E2" w:rsidR="53719E67">
        <w:rPr>
          <w:rFonts w:ascii="Arial" w:hAnsi="Arial" w:eastAsia="Arial" w:cs="Arial"/>
          <w:noProof w:val="0"/>
          <w:sz w:val="22"/>
          <w:szCs w:val="22"/>
          <w:lang w:val="en-GB"/>
        </w:rPr>
        <w:t xml:space="preserve">, evaluate, and analyse the literature for this dissertation. A structured search strategy, supported by carefully developed keywords and Boolean operators, ensured that relevant and high-quality sources were </w:t>
      </w:r>
      <w:r w:rsidRPr="5FF0A1E2" w:rsidR="53719E67">
        <w:rPr>
          <w:rFonts w:ascii="Arial" w:hAnsi="Arial" w:eastAsia="Arial" w:cs="Arial"/>
          <w:noProof w:val="0"/>
          <w:sz w:val="22"/>
          <w:szCs w:val="22"/>
          <w:lang w:val="en-GB"/>
        </w:rPr>
        <w:t>identified</w:t>
      </w:r>
      <w:r w:rsidRPr="5FF0A1E2" w:rsidR="53719E67">
        <w:rPr>
          <w:rFonts w:ascii="Arial" w:hAnsi="Arial" w:eastAsia="Arial" w:cs="Arial"/>
          <w:noProof w:val="0"/>
          <w:sz w:val="22"/>
          <w:szCs w:val="22"/>
          <w:lang w:val="en-GB"/>
        </w:rPr>
        <w:t>. The use of evaluation tools and clear inclusion and exclusion criteria strengthened the credibility of the research. A thematic coding approach was then applied to organise the literature into meaningful patterns and themes.</w:t>
      </w:r>
    </w:p>
    <w:p w:rsidRPr="00C17A49" w:rsidR="00C17A49" w:rsidP="5FF0A1E2" w:rsidRDefault="00C17A49" w14:paraId="5E78A73D" w14:textId="7D2A61EF">
      <w:pPr>
        <w:spacing w:line="360" w:lineRule="auto"/>
        <w:rPr>
          <w:rFonts w:ascii="Arial" w:hAnsi="Arial" w:eastAsia="Arial" w:cs="Arial"/>
          <w:b w:val="1"/>
          <w:bCs w:val="1"/>
          <w:sz w:val="22"/>
          <w:szCs w:val="22"/>
        </w:rPr>
      </w:pPr>
      <w:r w:rsidRPr="5FF0A1E2" w:rsidR="5FC7B2F8">
        <w:rPr>
          <w:rFonts w:ascii="Arial" w:hAnsi="Arial" w:eastAsia="Arial" w:cs="Arial"/>
          <w:b w:val="1"/>
          <w:bCs w:val="1"/>
          <w:sz w:val="22"/>
          <w:szCs w:val="22"/>
        </w:rPr>
        <w:t>Link to Next Chapter:</w:t>
      </w:r>
    </w:p>
    <w:p w:rsidRPr="005446BF" w:rsidR="001F19A6" w:rsidP="5FF0A1E2" w:rsidRDefault="001F19A6" w14:paraId="73898CB8" w14:textId="6B81D20C">
      <w:pPr>
        <w:pStyle w:val="Normal"/>
        <w:spacing w:line="360" w:lineRule="auto"/>
        <w:rPr>
          <w:rFonts w:ascii="Arial" w:hAnsi="Arial" w:eastAsia="Arial" w:cs="Arial"/>
          <w:noProof w:val="0"/>
          <w:sz w:val="22"/>
          <w:szCs w:val="22"/>
          <w:lang w:val="en-GB"/>
        </w:rPr>
      </w:pPr>
      <w:r w:rsidRPr="5FF0A1E2" w:rsidR="6D73EB9D">
        <w:rPr>
          <w:rFonts w:ascii="Arial" w:hAnsi="Arial" w:eastAsia="Arial" w:cs="Arial"/>
          <w:noProof w:val="0"/>
          <w:sz w:val="22"/>
          <w:szCs w:val="22"/>
          <w:lang w:val="en-GB"/>
        </w:rPr>
        <w:t>Chapter 4 will build on this foundation by presenting the findings of the thematic analysis, with each theme explored in direct relation to the research aim and question.</w:t>
      </w:r>
    </w:p>
    <w:p w:rsidR="00636D9A" w:rsidP="5FF0A1E2" w:rsidRDefault="00636D9A" w14:paraId="3232B47D" w14:textId="07DD09DD">
      <w:pPr>
        <w:pStyle w:val="Heading1"/>
        <w:spacing w:line="360" w:lineRule="auto"/>
        <w:ind w:left="0"/>
        <w:rPr>
          <w:rFonts w:ascii="Arial" w:hAnsi="Arial" w:eastAsia="Arial" w:cs="Arial"/>
          <w:sz w:val="22"/>
          <w:szCs w:val="22"/>
        </w:rPr>
      </w:pPr>
    </w:p>
    <w:p w:rsidR="00636D9A" w:rsidP="5FF0A1E2" w:rsidRDefault="00636D9A" w14:paraId="49019C7B" w14:textId="49FF7C4A">
      <w:pPr>
        <w:pStyle w:val="Heading1"/>
        <w:spacing w:line="360" w:lineRule="auto"/>
        <w:ind w:left="0"/>
        <w:rPr>
          <w:rFonts w:ascii="Arial" w:hAnsi="Arial" w:eastAsia="Arial" w:cs="Arial"/>
          <w:sz w:val="22"/>
          <w:szCs w:val="22"/>
        </w:rPr>
      </w:pPr>
    </w:p>
    <w:p w:rsidR="00636D9A" w:rsidP="5FF0A1E2" w:rsidRDefault="00636D9A" w14:paraId="5668D881" w14:textId="7703854E">
      <w:pPr>
        <w:pStyle w:val="Heading1"/>
        <w:spacing w:line="360" w:lineRule="auto"/>
        <w:ind w:left="0"/>
        <w:rPr>
          <w:rFonts w:ascii="Arial" w:hAnsi="Arial" w:eastAsia="Arial" w:cs="Arial"/>
          <w:sz w:val="22"/>
          <w:szCs w:val="22"/>
        </w:rPr>
      </w:pPr>
    </w:p>
    <w:p w:rsidR="00636D9A" w:rsidP="5FF0A1E2" w:rsidRDefault="00636D9A" w14:paraId="3ADD0087" w14:textId="3737331A">
      <w:pPr>
        <w:pStyle w:val="Heading1"/>
        <w:spacing w:line="360" w:lineRule="auto"/>
        <w:ind w:left="0"/>
        <w:rPr>
          <w:rFonts w:ascii="Arial" w:hAnsi="Arial" w:eastAsia="Arial" w:cs="Arial"/>
          <w:sz w:val="22"/>
          <w:szCs w:val="22"/>
        </w:rPr>
      </w:pPr>
    </w:p>
    <w:p w:rsidR="00636D9A" w:rsidP="5FF0A1E2" w:rsidRDefault="00636D9A" w14:paraId="6363C48D" w14:textId="7F8B33AB">
      <w:pPr>
        <w:pStyle w:val="Heading1"/>
        <w:spacing w:line="360" w:lineRule="auto"/>
        <w:ind w:left="0"/>
        <w:rPr>
          <w:rFonts w:ascii="Arial" w:hAnsi="Arial" w:eastAsia="Arial" w:cs="Arial"/>
          <w:sz w:val="22"/>
          <w:szCs w:val="22"/>
        </w:rPr>
      </w:pPr>
    </w:p>
    <w:p w:rsidR="00636D9A" w:rsidP="5FF0A1E2" w:rsidRDefault="00636D9A" w14:paraId="5EACFDBE" w14:textId="751F68A3">
      <w:pPr>
        <w:pStyle w:val="Heading1"/>
        <w:spacing w:line="360" w:lineRule="auto"/>
        <w:ind w:left="0"/>
        <w:rPr>
          <w:rFonts w:ascii="Arial" w:hAnsi="Arial" w:eastAsia="Arial" w:cs="Arial"/>
          <w:sz w:val="22"/>
          <w:szCs w:val="22"/>
        </w:rPr>
      </w:pPr>
    </w:p>
    <w:p w:rsidR="00636D9A" w:rsidP="5FF0A1E2" w:rsidRDefault="00636D9A" w14:paraId="747F1A05" w14:textId="4DA6A5D8">
      <w:pPr>
        <w:pStyle w:val="Heading1"/>
        <w:spacing w:line="360" w:lineRule="auto"/>
        <w:ind w:left="0"/>
        <w:rPr>
          <w:rFonts w:ascii="Arial" w:hAnsi="Arial" w:eastAsia="Arial" w:cs="Arial"/>
          <w:sz w:val="22"/>
          <w:szCs w:val="22"/>
        </w:rPr>
      </w:pPr>
    </w:p>
    <w:p w:rsidR="00636D9A" w:rsidP="5FF0A1E2" w:rsidRDefault="00636D9A" w14:paraId="7C41DCAA" w14:textId="3BB43821">
      <w:pPr>
        <w:pStyle w:val="Heading1"/>
        <w:spacing w:line="360" w:lineRule="auto"/>
        <w:ind w:left="0"/>
        <w:rPr>
          <w:rFonts w:ascii="Arial" w:hAnsi="Arial" w:eastAsia="Arial" w:cs="Arial"/>
          <w:sz w:val="22"/>
          <w:szCs w:val="22"/>
        </w:rPr>
      </w:pPr>
    </w:p>
    <w:p w:rsidR="00636D9A" w:rsidP="5FF0A1E2" w:rsidRDefault="00636D9A" w14:paraId="72948290" w14:textId="1408C45F">
      <w:pPr>
        <w:pStyle w:val="Heading1"/>
        <w:spacing w:line="360" w:lineRule="auto"/>
        <w:ind w:left="0"/>
        <w:rPr>
          <w:rFonts w:ascii="Arial" w:hAnsi="Arial" w:eastAsia="Arial" w:cs="Arial"/>
          <w:sz w:val="22"/>
          <w:szCs w:val="22"/>
        </w:rPr>
      </w:pPr>
    </w:p>
    <w:p w:rsidR="00636D9A" w:rsidP="5FF0A1E2" w:rsidRDefault="00636D9A" w14:paraId="3C4727F9" w14:textId="3E03992B">
      <w:pPr>
        <w:pStyle w:val="Heading1"/>
        <w:spacing w:line="360" w:lineRule="auto"/>
        <w:ind w:left="0"/>
        <w:rPr>
          <w:rFonts w:ascii="Arial" w:hAnsi="Arial" w:eastAsia="Arial" w:cs="Arial"/>
          <w:sz w:val="22"/>
          <w:szCs w:val="22"/>
        </w:rPr>
      </w:pPr>
    </w:p>
    <w:p w:rsidR="00636D9A" w:rsidP="5FF0A1E2" w:rsidRDefault="00636D9A" w14:paraId="006222DD" w14:textId="3630BBFB">
      <w:pPr>
        <w:pStyle w:val="Heading1"/>
        <w:spacing w:line="360" w:lineRule="auto"/>
        <w:ind w:left="0"/>
        <w:rPr>
          <w:rFonts w:ascii="Arial" w:hAnsi="Arial" w:eastAsia="Arial" w:cs="Arial"/>
          <w:sz w:val="22"/>
          <w:szCs w:val="22"/>
        </w:rPr>
      </w:pPr>
    </w:p>
    <w:p w:rsidR="00636D9A" w:rsidP="5FF0A1E2" w:rsidRDefault="00636D9A" w14:paraId="40BB7441" w14:textId="0B821C3E">
      <w:pPr>
        <w:pStyle w:val="Heading1"/>
        <w:spacing w:line="360" w:lineRule="auto"/>
        <w:ind w:left="0"/>
        <w:rPr>
          <w:rFonts w:ascii="Arial" w:hAnsi="Arial" w:eastAsia="Arial" w:cs="Arial"/>
          <w:sz w:val="22"/>
          <w:szCs w:val="22"/>
        </w:rPr>
      </w:pPr>
    </w:p>
    <w:p w:rsidR="00636D9A" w:rsidP="5FF0A1E2" w:rsidRDefault="00636D9A" w14:paraId="2ADA9277" w14:textId="55885613">
      <w:pPr>
        <w:pStyle w:val="Heading1"/>
        <w:spacing w:line="360" w:lineRule="auto"/>
        <w:ind w:left="0"/>
        <w:rPr>
          <w:rFonts w:ascii="Arial" w:hAnsi="Arial" w:eastAsia="Arial" w:cs="Arial"/>
          <w:sz w:val="22"/>
          <w:szCs w:val="22"/>
        </w:rPr>
      </w:pPr>
    </w:p>
    <w:p w:rsidR="00636D9A" w:rsidP="5FF0A1E2" w:rsidRDefault="00636D9A" w14:paraId="4DFBC885" w14:textId="122D5FA4">
      <w:pPr>
        <w:pStyle w:val="Heading1"/>
        <w:spacing w:line="360" w:lineRule="auto"/>
        <w:ind w:left="0"/>
        <w:rPr>
          <w:rFonts w:ascii="Arial" w:hAnsi="Arial" w:eastAsia="Arial" w:cs="Arial"/>
          <w:sz w:val="22"/>
          <w:szCs w:val="22"/>
        </w:rPr>
      </w:pPr>
    </w:p>
    <w:p w:rsidR="00636D9A" w:rsidP="5FF0A1E2" w:rsidRDefault="00636D9A" w14:paraId="27C7B6FB" w14:textId="6CEBCB58">
      <w:pPr>
        <w:pStyle w:val="Heading1"/>
        <w:spacing w:line="360" w:lineRule="auto"/>
        <w:ind w:left="0"/>
        <w:rPr>
          <w:rFonts w:ascii="Arial" w:hAnsi="Arial" w:eastAsia="Arial" w:cs="Arial"/>
          <w:sz w:val="22"/>
          <w:szCs w:val="22"/>
        </w:rPr>
      </w:pPr>
    </w:p>
    <w:p w:rsidR="00636D9A" w:rsidP="5FF0A1E2" w:rsidRDefault="00636D9A" w14:paraId="08EBCDE4" w14:textId="0946F1D0">
      <w:pPr>
        <w:pStyle w:val="Heading1"/>
        <w:spacing w:line="360" w:lineRule="auto"/>
        <w:ind w:left="0"/>
        <w:rPr>
          <w:rFonts w:ascii="Arial" w:hAnsi="Arial" w:eastAsia="Arial" w:cs="Arial"/>
          <w:sz w:val="22"/>
          <w:szCs w:val="22"/>
        </w:rPr>
      </w:pPr>
    </w:p>
    <w:p w:rsidR="00636D9A" w:rsidP="5FF0A1E2" w:rsidRDefault="00636D9A" w14:paraId="307D66CA" w14:textId="732F08D2">
      <w:pPr>
        <w:pStyle w:val="Heading1"/>
        <w:spacing w:line="360" w:lineRule="auto"/>
        <w:ind w:left="0"/>
        <w:rPr>
          <w:rFonts w:ascii="Arial" w:hAnsi="Arial" w:eastAsia="Arial" w:cs="Arial"/>
          <w:sz w:val="22"/>
          <w:szCs w:val="22"/>
        </w:rPr>
      </w:pPr>
    </w:p>
    <w:p w:rsidR="00636D9A" w:rsidP="5FF0A1E2" w:rsidRDefault="00636D9A" w14:paraId="6E0A589D" w14:textId="42EAB290">
      <w:pPr>
        <w:pStyle w:val="Heading1"/>
        <w:spacing w:line="360" w:lineRule="auto"/>
        <w:ind w:left="0"/>
        <w:rPr>
          <w:rFonts w:ascii="Arial" w:hAnsi="Arial" w:eastAsia="Arial" w:cs="Arial"/>
          <w:sz w:val="22"/>
          <w:szCs w:val="22"/>
        </w:rPr>
      </w:pPr>
    </w:p>
    <w:p w:rsidR="00636D9A" w:rsidP="5FF0A1E2" w:rsidRDefault="00636D9A" w14:paraId="4AC173FB" w14:textId="17DE6FF6">
      <w:pPr>
        <w:pStyle w:val="Heading1"/>
        <w:spacing w:line="360" w:lineRule="auto"/>
        <w:ind w:left="0"/>
        <w:rPr>
          <w:rFonts w:ascii="Arial" w:hAnsi="Arial" w:eastAsia="Arial" w:cs="Arial"/>
          <w:sz w:val="22"/>
          <w:szCs w:val="22"/>
        </w:rPr>
      </w:pPr>
    </w:p>
    <w:p w:rsidR="00636D9A" w:rsidP="5FF0A1E2" w:rsidRDefault="00636D9A" w14:paraId="0DC6F77C" w14:textId="3E0BB080">
      <w:pPr>
        <w:pStyle w:val="Heading1"/>
        <w:spacing w:line="360" w:lineRule="auto"/>
        <w:ind w:left="0"/>
        <w:rPr>
          <w:rFonts w:ascii="Arial" w:hAnsi="Arial" w:eastAsia="Arial" w:cs="Arial"/>
          <w:sz w:val="22"/>
          <w:szCs w:val="22"/>
        </w:rPr>
      </w:pPr>
    </w:p>
    <w:p w:rsidR="00636D9A" w:rsidP="5FF0A1E2" w:rsidRDefault="00636D9A" w14:paraId="7991C57B" w14:textId="05FD9DB2">
      <w:pPr>
        <w:pStyle w:val="Heading1"/>
        <w:spacing w:line="360" w:lineRule="auto"/>
        <w:ind w:left="0"/>
        <w:rPr>
          <w:rFonts w:ascii="Arial" w:hAnsi="Arial" w:eastAsia="Arial" w:cs="Arial"/>
          <w:sz w:val="32"/>
          <w:szCs w:val="32"/>
        </w:rPr>
      </w:pPr>
      <w:bookmarkStart w:name="_Toc824902838" w:id="464643177"/>
      <w:r w:rsidRPr="5FF0A1E2" w:rsidR="676686AE">
        <w:rPr>
          <w:rFonts w:ascii="Arial" w:hAnsi="Arial" w:eastAsia="Arial" w:cs="Arial"/>
          <w:sz w:val="32"/>
          <w:szCs w:val="32"/>
        </w:rPr>
        <w:t>C</w:t>
      </w:r>
      <w:r w:rsidRPr="5FF0A1E2" w:rsidR="71FE935E">
        <w:rPr>
          <w:rFonts w:ascii="Arial" w:hAnsi="Arial" w:eastAsia="Arial" w:cs="Arial"/>
          <w:sz w:val="32"/>
          <w:szCs w:val="32"/>
        </w:rPr>
        <w:t>HAPTER</w:t>
      </w:r>
      <w:r w:rsidRPr="5FF0A1E2" w:rsidR="676686AE">
        <w:rPr>
          <w:rFonts w:ascii="Arial" w:hAnsi="Arial" w:eastAsia="Arial" w:cs="Arial"/>
          <w:sz w:val="32"/>
          <w:szCs w:val="32"/>
        </w:rPr>
        <w:t xml:space="preserve"> 4 – Findings and Discussion</w:t>
      </w:r>
      <w:bookmarkEnd w:id="464643177"/>
    </w:p>
    <w:p w:rsidR="5FF0A1E2" w:rsidP="5FF0A1E2" w:rsidRDefault="5FF0A1E2" w14:paraId="1FF5D2AE" w14:textId="306A40FE">
      <w:pPr>
        <w:pStyle w:val="Heading1"/>
        <w:spacing w:line="360" w:lineRule="auto"/>
        <w:ind w:left="0"/>
        <w:rPr>
          <w:rFonts w:ascii="Arial" w:hAnsi="Arial" w:eastAsia="Arial" w:cs="Arial"/>
          <w:sz w:val="22"/>
          <w:szCs w:val="22"/>
        </w:rPr>
      </w:pPr>
    </w:p>
    <w:p w:rsidRPr="00636D9A" w:rsidR="001C3AF6" w:rsidP="5FF0A1E2" w:rsidRDefault="001C3AF6" w14:paraId="0CB43921" w14:textId="2BD0AD8B">
      <w:pPr>
        <w:pStyle w:val="Heading2"/>
        <w:spacing w:line="360" w:lineRule="auto"/>
        <w:rPr>
          <w:rFonts w:ascii="Arial" w:hAnsi="Arial" w:eastAsia="Arial" w:cs="Arial"/>
          <w:sz w:val="28"/>
          <w:szCs w:val="28"/>
        </w:rPr>
      </w:pPr>
      <w:bookmarkStart w:name="_Toc1749836165" w:id="1387057730"/>
      <w:r w:rsidRPr="5FF0A1E2" w:rsidR="676686AE">
        <w:rPr>
          <w:rFonts w:ascii="Arial" w:hAnsi="Arial" w:eastAsia="Arial" w:cs="Arial"/>
          <w:sz w:val="28"/>
          <w:szCs w:val="28"/>
        </w:rPr>
        <w:t>4.1 –</w:t>
      </w:r>
      <w:r w:rsidRPr="5FF0A1E2" w:rsidR="71FE935E">
        <w:rPr>
          <w:rFonts w:ascii="Arial" w:hAnsi="Arial" w:eastAsia="Arial" w:cs="Arial"/>
          <w:sz w:val="28"/>
          <w:szCs w:val="28"/>
        </w:rPr>
        <w:t xml:space="preserve"> </w:t>
      </w:r>
      <w:r w:rsidRPr="5FF0A1E2" w:rsidR="676686AE">
        <w:rPr>
          <w:rFonts w:ascii="Arial" w:hAnsi="Arial" w:eastAsia="Arial" w:cs="Arial"/>
          <w:sz w:val="28"/>
          <w:szCs w:val="28"/>
        </w:rPr>
        <w:t>Introduction</w:t>
      </w:r>
      <w:bookmarkEnd w:id="1387057730"/>
    </w:p>
    <w:p w:rsidR="00636D9A" w:rsidP="5FF0A1E2" w:rsidRDefault="00636D9A" w14:paraId="367F223F" w14:textId="77777777" w14:noSpellErr="1">
      <w:pPr>
        <w:pStyle w:val="Heading1"/>
        <w:spacing w:line="360" w:lineRule="auto"/>
        <w:ind w:left="0"/>
        <w:rPr>
          <w:rFonts w:ascii="Arial" w:hAnsi="Arial" w:eastAsia="Arial" w:cs="Arial"/>
          <w:sz w:val="22"/>
          <w:szCs w:val="22"/>
        </w:rPr>
      </w:pPr>
    </w:p>
    <w:p w:rsidR="002865F5" w:rsidP="5FF0A1E2" w:rsidRDefault="002865F5" w14:paraId="133EA92D" w14:textId="32B85401">
      <w:pPr>
        <w:pStyle w:val="Normal"/>
        <w:spacing w:line="360" w:lineRule="auto"/>
        <w:rPr>
          <w:rFonts w:ascii="Arial" w:hAnsi="Arial" w:eastAsia="Arial" w:cs="Arial"/>
          <w:noProof w:val="0"/>
          <w:sz w:val="22"/>
          <w:szCs w:val="22"/>
          <w:lang w:val="en-GB"/>
        </w:rPr>
      </w:pPr>
      <w:r w:rsidRPr="5FF0A1E2" w:rsidR="2FFD7B0E">
        <w:rPr>
          <w:rFonts w:ascii="Arial" w:hAnsi="Arial" w:eastAsia="Arial" w:cs="Arial"/>
          <w:noProof w:val="0"/>
          <w:sz w:val="22"/>
          <w:szCs w:val="22"/>
          <w:lang w:val="en-GB"/>
        </w:rPr>
        <w:t xml:space="preserve">This chapter presents the findings of the thematic analysis conducted during the literature review process. It evaluates the key themes that </w:t>
      </w:r>
      <w:r w:rsidRPr="5FF0A1E2" w:rsidR="2FFD7B0E">
        <w:rPr>
          <w:rFonts w:ascii="Arial" w:hAnsi="Arial" w:eastAsia="Arial" w:cs="Arial"/>
          <w:noProof w:val="0"/>
          <w:sz w:val="22"/>
          <w:szCs w:val="22"/>
          <w:lang w:val="en-GB"/>
        </w:rPr>
        <w:t>emerged</w:t>
      </w:r>
      <w:r w:rsidRPr="5FF0A1E2" w:rsidR="2FFD7B0E">
        <w:rPr>
          <w:rFonts w:ascii="Arial" w:hAnsi="Arial" w:eastAsia="Arial" w:cs="Arial"/>
          <w:noProof w:val="0"/>
          <w:sz w:val="22"/>
          <w:szCs w:val="22"/>
          <w:lang w:val="en-GB"/>
        </w:rPr>
        <w:t xml:space="preserve"> from the research, examining how chronic illness affects children’s educational experiences and the extent to which schools provide effective support.</w:t>
      </w:r>
    </w:p>
    <w:p w:rsidR="002865F5" w:rsidP="5FF0A1E2" w:rsidRDefault="002865F5" w14:paraId="7B6D738E" w14:textId="21CE67F7">
      <w:pPr>
        <w:pStyle w:val="Normal"/>
        <w:spacing w:line="360" w:lineRule="auto"/>
        <w:rPr>
          <w:rFonts w:ascii="Arial" w:hAnsi="Arial" w:eastAsia="Arial" w:cs="Arial"/>
          <w:noProof w:val="0"/>
          <w:sz w:val="22"/>
          <w:szCs w:val="22"/>
          <w:lang w:val="en-GB"/>
        </w:rPr>
      </w:pPr>
      <w:r w:rsidRPr="5FF0A1E2" w:rsidR="2FFD7B0E">
        <w:rPr>
          <w:rFonts w:ascii="Arial" w:hAnsi="Arial" w:eastAsia="Arial" w:cs="Arial"/>
          <w:noProof w:val="0"/>
          <w:sz w:val="22"/>
          <w:szCs w:val="22"/>
          <w:lang w:val="en-GB"/>
        </w:rPr>
        <w:t>Each theme is discussed in relation to the research aim and grounded in existing academic literature, ensuring a balanced and evidence-based interpretation (Braun &amp; Clarke, 2006). The chapter also highlights areas of agreement and disagreement within the research, helping to build a critical understanding of current practice and ongoing challenges.</w:t>
      </w:r>
    </w:p>
    <w:p w:rsidR="0CD6F701" w:rsidP="5FF0A1E2" w:rsidRDefault="0CD6F701" w14:paraId="78E0EA14" w14:textId="1D0D9174">
      <w:pPr>
        <w:spacing w:before="240" w:beforeAutospacing="off" w:after="240" w:afterAutospacing="off" w:line="360" w:lineRule="auto"/>
        <w:rPr>
          <w:rFonts w:ascii="Arial" w:hAnsi="Arial" w:eastAsia="Arial" w:cs="Arial"/>
          <w:noProof w:val="0"/>
          <w:sz w:val="22"/>
          <w:szCs w:val="22"/>
          <w:lang w:val="en-GB"/>
        </w:rPr>
      </w:pPr>
      <w:r w:rsidRPr="5FF0A1E2" w:rsidR="0CD6F701">
        <w:rPr>
          <w:rFonts w:ascii="Arial" w:hAnsi="Arial" w:eastAsia="Arial" w:cs="Arial"/>
          <w:noProof w:val="0"/>
          <w:sz w:val="22"/>
          <w:szCs w:val="22"/>
          <w:lang w:val="en-GB"/>
        </w:rPr>
        <w:t xml:space="preserve">The themes presented in this chapter were developed through a systematic analysis of the coded data summarised in the Results Summary Table (see Appendix A). Each selected article or source was initially reviewed and assigned codes based on recurring concepts, issues, or keywords relevant to supporting chronically ill children in educational settings. </w:t>
      </w:r>
    </w:p>
    <w:p w:rsidR="0CD6F701" w:rsidP="5FF0A1E2" w:rsidRDefault="0CD6F701" w14:paraId="03238950" w14:textId="5C3B89A4">
      <w:pPr>
        <w:spacing w:before="240" w:beforeAutospacing="off" w:after="240" w:afterAutospacing="off" w:line="360" w:lineRule="auto"/>
        <w:rPr>
          <w:rFonts w:ascii="Arial" w:hAnsi="Arial" w:eastAsia="Arial" w:cs="Arial"/>
          <w:noProof w:val="0"/>
          <w:sz w:val="22"/>
          <w:szCs w:val="22"/>
          <w:lang w:val="en-GB"/>
        </w:rPr>
      </w:pPr>
      <w:r w:rsidRPr="5FF0A1E2" w:rsidR="0CD6F701">
        <w:rPr>
          <w:rFonts w:ascii="Arial" w:hAnsi="Arial" w:eastAsia="Arial" w:cs="Arial"/>
          <w:noProof w:val="0"/>
          <w:sz w:val="22"/>
          <w:szCs w:val="22"/>
          <w:lang w:val="en-GB"/>
        </w:rPr>
        <w:t xml:space="preserve">These codes were then grouped into broader categories, which were examined for patterns and </w:t>
      </w:r>
      <w:r w:rsidRPr="5FF0A1E2" w:rsidR="0CD6F701">
        <w:rPr>
          <w:rFonts w:ascii="Arial" w:hAnsi="Arial" w:eastAsia="Arial" w:cs="Arial"/>
          <w:b w:val="0"/>
          <w:bCs w:val="0"/>
          <w:noProof w:val="0"/>
          <w:sz w:val="22"/>
          <w:szCs w:val="22"/>
          <w:lang w:val="en-GB"/>
        </w:rPr>
        <w:t xml:space="preserve">interconnections. Through this iterative process, three overarching themes </w:t>
      </w:r>
      <w:r w:rsidRPr="5FF0A1E2" w:rsidR="0CD6F701">
        <w:rPr>
          <w:rFonts w:ascii="Arial" w:hAnsi="Arial" w:eastAsia="Arial" w:cs="Arial"/>
          <w:b w:val="0"/>
          <w:bCs w:val="0"/>
          <w:noProof w:val="0"/>
          <w:sz w:val="22"/>
          <w:szCs w:val="22"/>
          <w:lang w:val="en-GB"/>
        </w:rPr>
        <w:t>emerged</w:t>
      </w:r>
      <w:r w:rsidRPr="5FF0A1E2" w:rsidR="0CD6F701">
        <w:rPr>
          <w:rFonts w:ascii="Arial" w:hAnsi="Arial" w:eastAsia="Arial" w:cs="Arial"/>
          <w:b w:val="0"/>
          <w:bCs w:val="0"/>
          <w:noProof w:val="0"/>
          <w:sz w:val="22"/>
          <w:szCs w:val="22"/>
          <w:lang w:val="en-GB"/>
        </w:rPr>
        <w:t xml:space="preserve">: </w:t>
      </w:r>
      <w:r w:rsidRPr="5FF0A1E2" w:rsidR="0CD6F701">
        <w:rPr>
          <w:rFonts w:ascii="Arial" w:hAnsi="Arial" w:eastAsia="Arial" w:cs="Arial"/>
          <w:b w:val="0"/>
          <w:bCs w:val="0"/>
          <w:noProof w:val="0"/>
          <w:sz w:val="22"/>
          <w:szCs w:val="22"/>
          <w:lang w:val="en-GB"/>
        </w:rPr>
        <w:t>educational access and attendance</w:t>
      </w:r>
      <w:r w:rsidRPr="5FF0A1E2" w:rsidR="0CD6F701">
        <w:rPr>
          <w:rFonts w:ascii="Arial" w:hAnsi="Arial" w:eastAsia="Arial" w:cs="Arial"/>
          <w:b w:val="0"/>
          <w:bCs w:val="0"/>
          <w:noProof w:val="0"/>
          <w:sz w:val="22"/>
          <w:szCs w:val="22"/>
          <w:lang w:val="en-GB"/>
        </w:rPr>
        <w:t xml:space="preserve">, </w:t>
      </w:r>
      <w:r w:rsidRPr="5FF0A1E2" w:rsidR="0CD6F701">
        <w:rPr>
          <w:rFonts w:ascii="Arial" w:hAnsi="Arial" w:eastAsia="Arial" w:cs="Arial"/>
          <w:b w:val="0"/>
          <w:bCs w:val="0"/>
          <w:noProof w:val="0"/>
          <w:sz w:val="22"/>
          <w:szCs w:val="22"/>
          <w:lang w:val="en-GB"/>
        </w:rPr>
        <w:t>multi-agency collaboration and communication</w:t>
      </w:r>
      <w:r w:rsidRPr="5FF0A1E2" w:rsidR="0CD6F701">
        <w:rPr>
          <w:rFonts w:ascii="Arial" w:hAnsi="Arial" w:eastAsia="Arial" w:cs="Arial"/>
          <w:b w:val="0"/>
          <w:bCs w:val="0"/>
          <w:noProof w:val="0"/>
          <w:sz w:val="22"/>
          <w:szCs w:val="22"/>
          <w:lang w:val="en-GB"/>
        </w:rPr>
        <w:t xml:space="preserve">, and </w:t>
      </w:r>
      <w:r w:rsidRPr="5FF0A1E2" w:rsidR="0CD6F701">
        <w:rPr>
          <w:rFonts w:ascii="Arial" w:hAnsi="Arial" w:eastAsia="Arial" w:cs="Arial"/>
          <w:b w:val="0"/>
          <w:bCs w:val="0"/>
          <w:noProof w:val="0"/>
          <w:sz w:val="22"/>
          <w:szCs w:val="22"/>
          <w:lang w:val="en-GB"/>
        </w:rPr>
        <w:t>holistic wellbeing and pastoral support</w:t>
      </w:r>
      <w:r w:rsidRPr="5FF0A1E2" w:rsidR="0CD6F701">
        <w:rPr>
          <w:rFonts w:ascii="Arial" w:hAnsi="Arial" w:eastAsia="Arial" w:cs="Arial"/>
          <w:b w:val="0"/>
          <w:bCs w:val="0"/>
          <w:noProof w:val="0"/>
          <w:sz w:val="22"/>
          <w:szCs w:val="22"/>
          <w:lang w:val="en-GB"/>
        </w:rPr>
        <w:t>,</w:t>
      </w:r>
      <w:r w:rsidRPr="5FF0A1E2" w:rsidR="0CD6F701">
        <w:rPr>
          <w:rFonts w:ascii="Arial" w:hAnsi="Arial" w:eastAsia="Arial" w:cs="Arial"/>
          <w:noProof w:val="0"/>
          <w:sz w:val="22"/>
          <w:szCs w:val="22"/>
          <w:lang w:val="en-GB"/>
        </w:rPr>
        <w:t xml:space="preserve"> each </w:t>
      </w:r>
      <w:r w:rsidRPr="5FF0A1E2" w:rsidR="0CD6F701">
        <w:rPr>
          <w:rFonts w:ascii="Arial" w:hAnsi="Arial" w:eastAsia="Arial" w:cs="Arial"/>
          <w:noProof w:val="0"/>
          <w:sz w:val="22"/>
          <w:szCs w:val="22"/>
          <w:lang w:val="en-GB"/>
        </w:rPr>
        <w:t>representing</w:t>
      </w:r>
      <w:r w:rsidRPr="5FF0A1E2" w:rsidR="0CD6F701">
        <w:rPr>
          <w:rFonts w:ascii="Arial" w:hAnsi="Arial" w:eastAsia="Arial" w:cs="Arial"/>
          <w:noProof w:val="0"/>
          <w:sz w:val="22"/>
          <w:szCs w:val="22"/>
          <w:lang w:val="en-GB"/>
        </w:rPr>
        <w:t xml:space="preserve"> a distinct dimension of the research question while capturing the key insights from the literature.</w:t>
      </w:r>
    </w:p>
    <w:p w:rsidR="5FF0A1E2" w:rsidP="5FF0A1E2" w:rsidRDefault="5FF0A1E2" w14:paraId="38CA22DB" w14:textId="1B3B6568">
      <w:pPr>
        <w:pStyle w:val="Normal"/>
        <w:spacing w:line="360" w:lineRule="auto"/>
        <w:rPr>
          <w:rFonts w:ascii="Arial" w:hAnsi="Arial" w:eastAsia="Arial" w:cs="Arial"/>
          <w:noProof w:val="0"/>
          <w:sz w:val="22"/>
          <w:szCs w:val="22"/>
          <w:lang w:val="en-GB"/>
        </w:rPr>
      </w:pPr>
    </w:p>
    <w:p w:rsidRPr="00636D9A" w:rsidR="001C3AF6" w:rsidP="5FF0A1E2" w:rsidRDefault="001C3AF6" w14:paraId="49AC5888" w14:textId="744476F5">
      <w:pPr>
        <w:pStyle w:val="Heading2"/>
        <w:spacing w:line="360" w:lineRule="auto"/>
        <w:rPr>
          <w:rFonts w:ascii="Arial" w:hAnsi="Arial" w:eastAsia="Arial" w:cs="Arial"/>
          <w:sz w:val="28"/>
          <w:szCs w:val="28"/>
        </w:rPr>
      </w:pPr>
      <w:bookmarkStart w:name="_Toc487179856" w:id="18447262"/>
      <w:r w:rsidRPr="5FF0A1E2" w:rsidR="676686AE">
        <w:rPr>
          <w:rFonts w:ascii="Arial" w:hAnsi="Arial" w:eastAsia="Arial" w:cs="Arial"/>
          <w:sz w:val="28"/>
          <w:szCs w:val="28"/>
        </w:rPr>
        <w:t>4.2 – Thematic Analysis</w:t>
      </w:r>
      <w:bookmarkEnd w:id="18447262"/>
    </w:p>
    <w:p w:rsidR="00636D9A" w:rsidP="5FF0A1E2" w:rsidRDefault="00636D9A" w14:paraId="2739E815" w14:textId="77777777" w14:noSpellErr="1">
      <w:pPr>
        <w:pStyle w:val="Heading1"/>
        <w:spacing w:line="360" w:lineRule="auto"/>
        <w:rPr>
          <w:rFonts w:ascii="Arial" w:hAnsi="Arial" w:eastAsia="Arial" w:cs="Arial"/>
          <w:sz w:val="22"/>
          <w:szCs w:val="22"/>
        </w:rPr>
      </w:pPr>
    </w:p>
    <w:p w:rsidRPr="00750B5B" w:rsidR="00750B5B" w:rsidP="5FF0A1E2" w:rsidRDefault="00750B5B" w14:paraId="5EDA0379" w14:textId="4C791F0F">
      <w:pPr>
        <w:spacing w:line="360" w:lineRule="auto"/>
        <w:rPr>
          <w:rFonts w:ascii="Arial" w:hAnsi="Arial" w:eastAsia="Arial" w:cs="Arial"/>
          <w:b w:val="1"/>
          <w:bCs w:val="1"/>
          <w:sz w:val="22"/>
          <w:szCs w:val="22"/>
        </w:rPr>
      </w:pPr>
      <w:r w:rsidRPr="5FF0A1E2" w:rsidR="212CB968">
        <w:rPr>
          <w:rFonts w:ascii="Arial" w:hAnsi="Arial" w:eastAsia="Arial" w:cs="Arial"/>
          <w:b w:val="1"/>
          <w:bCs w:val="1"/>
          <w:sz w:val="22"/>
          <w:szCs w:val="22"/>
        </w:rPr>
        <w:t>Definition of Thematic Analysis:</w:t>
      </w:r>
    </w:p>
    <w:p w:rsidR="7F0CCEE2" w:rsidP="5FF0A1E2" w:rsidRDefault="7F0CCEE2" w14:paraId="0359564C" w14:textId="09460529">
      <w:pPr>
        <w:pStyle w:val="Normal"/>
        <w:spacing w:line="360" w:lineRule="auto"/>
        <w:rPr>
          <w:rFonts w:ascii="Arial" w:hAnsi="Arial" w:eastAsia="Arial" w:cs="Arial"/>
          <w:noProof w:val="0"/>
          <w:sz w:val="22"/>
          <w:szCs w:val="22"/>
          <w:lang w:val="en-GB"/>
        </w:rPr>
      </w:pPr>
      <w:r w:rsidRPr="5FF0A1E2" w:rsidR="7F0CCEE2">
        <w:rPr>
          <w:rFonts w:ascii="Arial" w:hAnsi="Arial" w:eastAsia="Arial" w:cs="Arial"/>
          <w:noProof w:val="0"/>
          <w:sz w:val="22"/>
          <w:szCs w:val="22"/>
          <w:lang w:val="en-GB"/>
        </w:rPr>
        <w:t xml:space="preserve">Thematic analysis is a qualitative method used to </w:t>
      </w:r>
      <w:r w:rsidRPr="5FF0A1E2" w:rsidR="7F0CCEE2">
        <w:rPr>
          <w:rFonts w:ascii="Arial" w:hAnsi="Arial" w:eastAsia="Arial" w:cs="Arial"/>
          <w:noProof w:val="0"/>
          <w:sz w:val="22"/>
          <w:szCs w:val="22"/>
          <w:lang w:val="en-GB"/>
        </w:rPr>
        <w:t>identify</w:t>
      </w:r>
      <w:r w:rsidRPr="5FF0A1E2" w:rsidR="7F0CCEE2">
        <w:rPr>
          <w:rFonts w:ascii="Arial" w:hAnsi="Arial" w:eastAsia="Arial" w:cs="Arial"/>
          <w:noProof w:val="0"/>
          <w:sz w:val="22"/>
          <w:szCs w:val="22"/>
          <w:lang w:val="en-GB"/>
        </w:rPr>
        <w:t xml:space="preserve">, </w:t>
      </w:r>
      <w:r w:rsidRPr="5FF0A1E2" w:rsidR="7F0CCEE2">
        <w:rPr>
          <w:rFonts w:ascii="Arial" w:hAnsi="Arial" w:eastAsia="Arial" w:cs="Arial"/>
          <w:noProof w:val="0"/>
          <w:sz w:val="22"/>
          <w:szCs w:val="22"/>
          <w:lang w:val="en-GB"/>
        </w:rPr>
        <w:t>organise</w:t>
      </w:r>
      <w:r w:rsidRPr="5FF0A1E2" w:rsidR="7F0CCEE2">
        <w:rPr>
          <w:rFonts w:ascii="Arial" w:hAnsi="Arial" w:eastAsia="Arial" w:cs="Arial"/>
          <w:noProof w:val="0"/>
          <w:sz w:val="22"/>
          <w:szCs w:val="22"/>
          <w:lang w:val="en-GB"/>
        </w:rPr>
        <w:t xml:space="preserve"> and interpret patterns of meaning within a dataset, making it particularly suitable for secondary research based on existing literature (Braun and Clarke, 2012). This approach enabled a systematic examination of recurring ideas across the reviewed studies</w:t>
      </w:r>
    </w:p>
    <w:p w:rsidRPr="00750B5B" w:rsidR="00750B5B" w:rsidP="5FF0A1E2" w:rsidRDefault="00750B5B" w14:paraId="3D3C5DCD" w14:textId="287E832C">
      <w:pPr>
        <w:spacing w:line="360" w:lineRule="auto"/>
        <w:rPr>
          <w:rFonts w:ascii="Arial" w:hAnsi="Arial" w:eastAsia="Arial" w:cs="Arial"/>
          <w:b w:val="1"/>
          <w:bCs w:val="1"/>
          <w:sz w:val="22"/>
          <w:szCs w:val="22"/>
        </w:rPr>
      </w:pPr>
      <w:r w:rsidRPr="5FF0A1E2" w:rsidR="212CB968">
        <w:rPr>
          <w:rFonts w:ascii="Arial" w:hAnsi="Arial" w:eastAsia="Arial" w:cs="Arial"/>
          <w:b w:val="1"/>
          <w:bCs w:val="1"/>
          <w:sz w:val="22"/>
          <w:szCs w:val="22"/>
        </w:rPr>
        <w:t>Link to Coding/Results Table:</w:t>
      </w:r>
    </w:p>
    <w:p w:rsidR="00636D9A" w:rsidP="5FF0A1E2" w:rsidRDefault="00636D9A" w14:paraId="3B39D7B4" w14:textId="330FB31C">
      <w:pPr>
        <w:pStyle w:val="Normal"/>
        <w:spacing w:line="360" w:lineRule="auto"/>
        <w:rPr>
          <w:rFonts w:ascii="Arial" w:hAnsi="Arial" w:eastAsia="Arial" w:cs="Arial"/>
          <w:noProof w:val="0"/>
          <w:sz w:val="22"/>
          <w:szCs w:val="22"/>
          <w:lang w:val="en-GB"/>
        </w:rPr>
      </w:pPr>
      <w:r w:rsidRPr="5FF0A1E2" w:rsidR="28234B00">
        <w:rPr>
          <w:rFonts w:ascii="Arial" w:hAnsi="Arial" w:eastAsia="Arial" w:cs="Arial"/>
          <w:noProof w:val="0"/>
          <w:sz w:val="22"/>
          <w:szCs w:val="22"/>
          <w:lang w:val="en-GB"/>
        </w:rPr>
        <w:t xml:space="preserve">The coding process, documented in the results table included in the appendix, involved generating initial codes and grouping them into broader themes. From this process, several key themes </w:t>
      </w:r>
      <w:r w:rsidRPr="5FF0A1E2" w:rsidR="28234B00">
        <w:rPr>
          <w:rFonts w:ascii="Arial" w:hAnsi="Arial" w:eastAsia="Arial" w:cs="Arial"/>
          <w:noProof w:val="0"/>
          <w:sz w:val="22"/>
          <w:szCs w:val="22"/>
          <w:lang w:val="en-GB"/>
        </w:rPr>
        <w:t>emerged</w:t>
      </w:r>
      <w:r w:rsidRPr="5FF0A1E2" w:rsidR="28234B00">
        <w:rPr>
          <w:rFonts w:ascii="Arial" w:hAnsi="Arial" w:eastAsia="Arial" w:cs="Arial"/>
          <w:noProof w:val="0"/>
          <w:sz w:val="22"/>
          <w:szCs w:val="22"/>
          <w:lang w:val="en-GB"/>
        </w:rPr>
        <w:t>, including educational inclusion, collaboration between health and education professionals, teacher confidence, and school-based adjustments. These themes are explored in detail in the following sections.</w:t>
      </w:r>
    </w:p>
    <w:p w:rsidR="5FF0A1E2" w:rsidP="5FF0A1E2" w:rsidRDefault="5FF0A1E2" w14:paraId="2A9D2315" w14:textId="14E7D694">
      <w:pPr>
        <w:pStyle w:val="Heading2"/>
        <w:spacing w:line="360" w:lineRule="auto"/>
        <w:rPr>
          <w:rFonts w:ascii="Arial" w:hAnsi="Arial" w:eastAsia="Arial" w:cs="Arial"/>
          <w:sz w:val="22"/>
          <w:szCs w:val="22"/>
        </w:rPr>
      </w:pPr>
    </w:p>
    <w:p w:rsidRPr="00636D9A" w:rsidR="001C3AF6" w:rsidP="5FF0A1E2" w:rsidRDefault="001C3AF6" w14:paraId="1E614ABD" w14:textId="1FE1A79F">
      <w:pPr>
        <w:pStyle w:val="Heading2"/>
        <w:spacing w:line="360" w:lineRule="auto"/>
        <w:rPr>
          <w:rFonts w:ascii="Arial" w:hAnsi="Arial" w:eastAsia="Arial" w:cs="Arial"/>
          <w:sz w:val="28"/>
          <w:szCs w:val="28"/>
        </w:rPr>
      </w:pPr>
      <w:bookmarkStart w:name="_Toc1255844525" w:id="1841217613"/>
      <w:r w:rsidRPr="5FF0A1E2" w:rsidR="676686AE">
        <w:rPr>
          <w:rFonts w:ascii="Arial" w:hAnsi="Arial" w:eastAsia="Arial" w:cs="Arial"/>
          <w:sz w:val="28"/>
          <w:szCs w:val="28"/>
        </w:rPr>
        <w:t xml:space="preserve">4.3 – Theme 1 </w:t>
      </w:r>
      <w:r w:rsidRPr="5FF0A1E2" w:rsidR="066ABF87">
        <w:rPr>
          <w:rFonts w:ascii="Arial" w:hAnsi="Arial" w:eastAsia="Arial" w:cs="Arial"/>
          <w:sz w:val="28"/>
          <w:szCs w:val="28"/>
        </w:rPr>
        <w:t xml:space="preserve">Education Inclusion for Children with </w:t>
      </w:r>
      <w:r w:rsidRPr="5FF0A1E2" w:rsidR="066ABF87">
        <w:rPr>
          <w:rFonts w:ascii="Arial" w:hAnsi="Arial" w:eastAsia="Arial" w:cs="Arial"/>
          <w:sz w:val="28"/>
          <w:szCs w:val="28"/>
        </w:rPr>
        <w:t>Chronic</w:t>
      </w:r>
      <w:r w:rsidRPr="5FF0A1E2" w:rsidR="066ABF87">
        <w:rPr>
          <w:rFonts w:ascii="Arial" w:hAnsi="Arial" w:eastAsia="Arial" w:cs="Arial"/>
          <w:sz w:val="28"/>
          <w:szCs w:val="28"/>
        </w:rPr>
        <w:t xml:space="preserve"> Illnesses</w:t>
      </w:r>
      <w:bookmarkEnd w:id="1841217613"/>
    </w:p>
    <w:p w:rsidRPr="00636D9A" w:rsidR="00636D9A" w:rsidP="5FF0A1E2" w:rsidRDefault="00636D9A" w14:paraId="7F885927" w14:textId="77777777" w14:noSpellErr="1">
      <w:pPr>
        <w:pStyle w:val="Heading1"/>
        <w:spacing w:line="360" w:lineRule="auto"/>
        <w:rPr>
          <w:rFonts w:ascii="Arial" w:hAnsi="Arial" w:eastAsia="Arial" w:cs="Arial"/>
          <w:sz w:val="22"/>
          <w:szCs w:val="22"/>
        </w:rPr>
      </w:pPr>
    </w:p>
    <w:p w:rsidRPr="007063BA" w:rsidR="007063BA" w:rsidP="5FF0A1E2" w:rsidRDefault="007063BA" w14:paraId="37162A03" w14:textId="09C4AB5A" w14:noSpellErr="1">
      <w:pPr>
        <w:pStyle w:val="Heading4"/>
        <w:spacing w:line="360" w:lineRule="auto"/>
        <w:rPr>
          <w:rFonts w:ascii="Arial" w:hAnsi="Arial" w:eastAsia="Arial" w:cs="Arial"/>
          <w:sz w:val="22"/>
          <w:szCs w:val="22"/>
        </w:rPr>
      </w:pPr>
      <w:r w:rsidRPr="5FF0A1E2" w:rsidR="00BEB5B3">
        <w:rPr>
          <w:rFonts w:ascii="Arial" w:hAnsi="Arial" w:eastAsia="Arial" w:cs="Arial"/>
          <w:sz w:val="22"/>
          <w:szCs w:val="22"/>
        </w:rPr>
        <w:t xml:space="preserve">Definition </w:t>
      </w:r>
    </w:p>
    <w:p w:rsidRPr="007063BA" w:rsidR="007063BA" w:rsidP="5FF0A1E2" w:rsidRDefault="007063BA" w14:paraId="6856918D"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00BEB5B3">
        <w:rPr>
          <w:rStyle w:val="Strong"/>
          <w:rFonts w:ascii="Arial" w:hAnsi="Arial" w:eastAsia="Arial" w:cs="Arial"/>
          <w:sz w:val="22"/>
          <w:szCs w:val="22"/>
        </w:rPr>
        <w:t>Definition:</w:t>
      </w:r>
    </w:p>
    <w:p w:rsidR="7CC02D46" w:rsidP="5FF0A1E2" w:rsidRDefault="7CC02D46" w14:paraId="3DC3FDC7" w14:textId="46079E7C">
      <w:pPr>
        <w:pStyle w:val="Normal"/>
        <w:spacing w:line="360" w:lineRule="auto"/>
        <w:rPr>
          <w:rFonts w:ascii="Arial" w:hAnsi="Arial" w:eastAsia="Arial" w:cs="Arial"/>
          <w:noProof w:val="0"/>
          <w:sz w:val="22"/>
          <w:szCs w:val="22"/>
          <w:lang w:val="en-GB"/>
        </w:rPr>
      </w:pPr>
      <w:r w:rsidRPr="5FF0A1E2" w:rsidR="7CC02D46">
        <w:rPr>
          <w:rFonts w:ascii="Arial" w:hAnsi="Arial" w:eastAsia="Arial" w:cs="Arial"/>
          <w:noProof w:val="0"/>
          <w:sz w:val="22"/>
          <w:szCs w:val="22"/>
          <w:lang w:val="en-GB"/>
        </w:rPr>
        <w:t>Educational inclusion refers to the practice of ensuring that all learners</w:t>
      </w:r>
      <w:r w:rsidRPr="5FF0A1E2" w:rsidR="5D3C9F60">
        <w:rPr>
          <w:rFonts w:ascii="Arial" w:hAnsi="Arial" w:eastAsia="Arial" w:cs="Arial"/>
          <w:noProof w:val="0"/>
          <w:sz w:val="22"/>
          <w:szCs w:val="22"/>
          <w:lang w:val="en-GB"/>
        </w:rPr>
        <w:t xml:space="preserve"> </w:t>
      </w:r>
      <w:r w:rsidRPr="5FF0A1E2" w:rsidR="7CC02D46">
        <w:rPr>
          <w:rFonts w:ascii="Arial" w:hAnsi="Arial" w:eastAsia="Arial" w:cs="Arial"/>
          <w:noProof w:val="0"/>
          <w:sz w:val="22"/>
          <w:szCs w:val="22"/>
          <w:lang w:val="en-GB"/>
        </w:rPr>
        <w:t>regardless of health, disability, or background</w:t>
      </w:r>
      <w:r w:rsidRPr="5FF0A1E2" w:rsidR="1903D05A">
        <w:rPr>
          <w:rFonts w:ascii="Arial" w:hAnsi="Arial" w:eastAsia="Arial" w:cs="Arial"/>
          <w:noProof w:val="0"/>
          <w:sz w:val="22"/>
          <w:szCs w:val="22"/>
          <w:lang w:val="en-GB"/>
        </w:rPr>
        <w:t xml:space="preserve"> </w:t>
      </w:r>
      <w:r w:rsidRPr="5FF0A1E2" w:rsidR="7CC02D46">
        <w:rPr>
          <w:rFonts w:ascii="Arial" w:hAnsi="Arial" w:eastAsia="Arial" w:cs="Arial"/>
          <w:noProof w:val="0"/>
          <w:sz w:val="22"/>
          <w:szCs w:val="22"/>
          <w:lang w:val="en-GB"/>
        </w:rPr>
        <w:t xml:space="preserve">have </w:t>
      </w:r>
      <w:r w:rsidRPr="5FF0A1E2" w:rsidR="7CC02D46">
        <w:rPr>
          <w:rFonts w:ascii="Arial" w:hAnsi="Arial" w:eastAsia="Arial" w:cs="Arial"/>
          <w:noProof w:val="0"/>
          <w:sz w:val="22"/>
          <w:szCs w:val="22"/>
          <w:lang w:val="en-GB"/>
        </w:rPr>
        <w:t>equitable</w:t>
      </w:r>
      <w:r w:rsidRPr="5FF0A1E2" w:rsidR="7CC02D46">
        <w:rPr>
          <w:rFonts w:ascii="Arial" w:hAnsi="Arial" w:eastAsia="Arial" w:cs="Arial"/>
          <w:noProof w:val="0"/>
          <w:sz w:val="22"/>
          <w:szCs w:val="22"/>
          <w:lang w:val="en-GB"/>
        </w:rPr>
        <w:t xml:space="preserve"> access to learning opportunities, participation, and achievement (Ainscow, 2020). In the context of chronic illness, inclusion involves adapting teaching, assessment, environment, and emotional support to meet fluctuating health needs. Chronic illness is defined as a long-term physical health condition lasting over three months and requiring ongoing management (Bernell and Howard, 2016). Understanding these terms is essential, as they underpin the educational adjustments and policy requirements explored throughout this theme.</w:t>
      </w:r>
    </w:p>
    <w:p w:rsidRPr="007063BA" w:rsidR="007063BA" w:rsidP="5FF0A1E2" w:rsidRDefault="007063BA" w14:paraId="6920ED58" w14:textId="77777777" w14:noSpellErr="1">
      <w:pPr>
        <w:pStyle w:val="Heading4"/>
        <w:spacing w:line="360" w:lineRule="auto"/>
        <w:rPr>
          <w:rFonts w:ascii="Arial" w:hAnsi="Arial" w:eastAsia="Arial" w:cs="Arial"/>
          <w:sz w:val="22"/>
          <w:szCs w:val="22"/>
        </w:rPr>
      </w:pPr>
      <w:r w:rsidRPr="5FF0A1E2" w:rsidR="00BEB5B3">
        <w:rPr>
          <w:rFonts w:ascii="Arial" w:hAnsi="Arial" w:eastAsia="Arial" w:cs="Arial"/>
          <w:sz w:val="22"/>
          <w:szCs w:val="22"/>
        </w:rPr>
        <w:t>Background Information</w:t>
      </w:r>
    </w:p>
    <w:p w:rsidR="5FF0A1E2" w:rsidP="5FF0A1E2" w:rsidRDefault="5FF0A1E2" w14:paraId="595E0779" w14:textId="54F7209D">
      <w:pPr>
        <w:spacing w:beforeAutospacing="on" w:afterAutospacing="on" w:line="360" w:lineRule="auto"/>
        <w:ind w:left="0"/>
        <w:jc w:val="left"/>
        <w:rPr>
          <w:rStyle w:val="Strong"/>
          <w:rFonts w:ascii="Arial" w:hAnsi="Arial" w:eastAsia="Arial" w:cs="Arial"/>
          <w:sz w:val="22"/>
          <w:szCs w:val="22"/>
        </w:rPr>
      </w:pPr>
    </w:p>
    <w:p w:rsidRPr="007063BA" w:rsidR="007063BA" w:rsidP="5FF0A1E2" w:rsidRDefault="007063BA" w14:paraId="2F3E32EB"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00BEB5B3">
        <w:rPr>
          <w:rStyle w:val="Strong"/>
          <w:rFonts w:ascii="Arial" w:hAnsi="Arial" w:eastAsia="Arial" w:cs="Arial"/>
          <w:sz w:val="22"/>
          <w:szCs w:val="22"/>
        </w:rPr>
        <w:t>Historical/Contextual Background:</w:t>
      </w:r>
    </w:p>
    <w:p w:rsidR="4949889A" w:rsidP="5FF0A1E2" w:rsidRDefault="4949889A" w14:paraId="1FE757B2" w14:textId="42D06AA8">
      <w:pPr>
        <w:spacing w:before="240" w:beforeAutospacing="off" w:after="240" w:afterAutospacing="off" w:line="360" w:lineRule="auto"/>
        <w:rPr>
          <w:rFonts w:ascii="Arial" w:hAnsi="Arial" w:eastAsia="Arial" w:cs="Arial"/>
          <w:noProof w:val="0"/>
          <w:sz w:val="22"/>
          <w:szCs w:val="22"/>
          <w:lang w:val="en-GB"/>
        </w:rPr>
      </w:pPr>
      <w:r w:rsidRPr="5FF0A1E2" w:rsidR="4949889A">
        <w:rPr>
          <w:rFonts w:ascii="Arial" w:hAnsi="Arial" w:eastAsia="Arial" w:cs="Arial"/>
          <w:noProof w:val="0"/>
          <w:sz w:val="22"/>
          <w:szCs w:val="22"/>
          <w:lang w:val="en-GB"/>
        </w:rPr>
        <w:t>Historically, children with chronic illnesses often experienced disrupted or limited schooling, with homebound or hospital-based teaching forming much of their education. Prior to inclusive policy reforms, mainstream schools had limited legal or structural responsibility to accommodate medical needs (Norwich, 2019). The rise of inclusion since the late 20th century, particularly influenced by movements such as the Salamanca Statement (UNESCO, 1994), brought chronic illness into broader disability and inclusion frameworks.</w:t>
      </w:r>
    </w:p>
    <w:p w:rsidR="4949889A" w:rsidP="5FF0A1E2" w:rsidRDefault="4949889A" w14:paraId="38363A20" w14:textId="0EA89C0D">
      <w:pPr>
        <w:spacing w:before="240" w:beforeAutospacing="off" w:after="240" w:afterAutospacing="off" w:line="360" w:lineRule="auto"/>
        <w:rPr>
          <w:rFonts w:ascii="Arial" w:hAnsi="Arial" w:eastAsia="Arial" w:cs="Arial"/>
          <w:noProof w:val="0"/>
          <w:sz w:val="22"/>
          <w:szCs w:val="22"/>
          <w:lang w:val="en-GB"/>
        </w:rPr>
      </w:pPr>
      <w:r w:rsidRPr="5FF0A1E2" w:rsidR="4949889A">
        <w:rPr>
          <w:rFonts w:ascii="Arial" w:hAnsi="Arial" w:eastAsia="Arial" w:cs="Arial"/>
          <w:noProof w:val="0"/>
          <w:sz w:val="22"/>
          <w:szCs w:val="22"/>
          <w:lang w:val="en-GB"/>
        </w:rPr>
        <w:t>Contemporary inclusion now incorporates multi-disciplinary support, flexible learning pathways, individual healthcare plans, and reduced stigma. As medical advancements improve survival and life expectancy for paediatric chronic illnesses such as asthma, diabetes, epilepsy, and cancer, the number of children requiring educational adjustments has risen substantially (Swann, 2021). This shift places inclusion at the centre of both educational policy and everyday practice.</w:t>
      </w:r>
    </w:p>
    <w:p w:rsidR="5FF0A1E2" w:rsidP="5FF0A1E2" w:rsidRDefault="5FF0A1E2" w14:paraId="42309EFD" w14:textId="0839B48E">
      <w:pPr>
        <w:pStyle w:val="Normal"/>
        <w:spacing w:line="360" w:lineRule="auto"/>
        <w:rPr>
          <w:rFonts w:ascii="Arial" w:hAnsi="Arial" w:eastAsia="Arial" w:cs="Arial"/>
          <w:sz w:val="22"/>
          <w:szCs w:val="22"/>
        </w:rPr>
      </w:pPr>
    </w:p>
    <w:p w:rsidRPr="007063BA" w:rsidR="007063BA" w:rsidP="5FF0A1E2" w:rsidRDefault="007063BA" w14:paraId="7749FD3C" w14:textId="77777777" w14:noSpellErr="1">
      <w:pPr>
        <w:pStyle w:val="Heading4"/>
        <w:spacing w:line="360" w:lineRule="auto"/>
        <w:rPr>
          <w:rFonts w:ascii="Arial" w:hAnsi="Arial" w:eastAsia="Arial" w:cs="Arial"/>
          <w:sz w:val="22"/>
          <w:szCs w:val="22"/>
        </w:rPr>
      </w:pPr>
      <w:r w:rsidRPr="5FF0A1E2" w:rsidR="00BEB5B3">
        <w:rPr>
          <w:rFonts w:ascii="Arial" w:hAnsi="Arial" w:eastAsia="Arial" w:cs="Arial"/>
          <w:sz w:val="22"/>
          <w:szCs w:val="22"/>
        </w:rPr>
        <w:t>Impact on Research Question</w:t>
      </w:r>
    </w:p>
    <w:p w:rsidR="5FF0A1E2" w:rsidP="5FF0A1E2" w:rsidRDefault="5FF0A1E2" w14:paraId="2BC28A02" w14:textId="0D7EC9EB">
      <w:pPr>
        <w:spacing w:beforeAutospacing="on" w:afterAutospacing="on" w:line="360" w:lineRule="auto"/>
        <w:ind w:left="0"/>
        <w:jc w:val="left"/>
        <w:rPr>
          <w:rStyle w:val="Strong"/>
          <w:rFonts w:ascii="Arial" w:hAnsi="Arial" w:eastAsia="Arial" w:cs="Arial"/>
          <w:sz w:val="22"/>
          <w:szCs w:val="22"/>
        </w:rPr>
      </w:pPr>
    </w:p>
    <w:p w:rsidRPr="007063BA" w:rsidR="007063BA" w:rsidP="5FF0A1E2" w:rsidRDefault="007063BA" w14:paraId="6C84F17D"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00BEB5B3">
        <w:rPr>
          <w:rStyle w:val="Strong"/>
          <w:rFonts w:ascii="Arial" w:hAnsi="Arial" w:eastAsia="Arial" w:cs="Arial"/>
          <w:sz w:val="22"/>
          <w:szCs w:val="22"/>
        </w:rPr>
        <w:t>Relevance to Title/Research Question:</w:t>
      </w:r>
    </w:p>
    <w:p w:rsidRPr="007063BA" w:rsidR="007063BA" w:rsidP="5FF0A1E2" w:rsidRDefault="007063BA" w14:paraId="096538B9" w14:textId="63028919">
      <w:pPr>
        <w:spacing w:before="240" w:beforeAutospacing="off" w:after="240" w:afterAutospacing="off" w:line="360" w:lineRule="auto"/>
        <w:rPr>
          <w:rFonts w:ascii="Arial" w:hAnsi="Arial" w:eastAsia="Arial" w:cs="Arial"/>
          <w:noProof w:val="0"/>
          <w:sz w:val="22"/>
          <w:szCs w:val="22"/>
          <w:lang w:val="en-GB"/>
        </w:rPr>
      </w:pPr>
      <w:r w:rsidRPr="5FF0A1E2" w:rsidR="04D8E8E0">
        <w:rPr>
          <w:rFonts w:ascii="Arial" w:hAnsi="Arial" w:eastAsia="Arial" w:cs="Arial"/>
          <w:noProof w:val="0"/>
          <w:sz w:val="22"/>
          <w:szCs w:val="22"/>
          <w:lang w:val="en-GB"/>
        </w:rPr>
        <w:t>This theme directly supports the research question by highlighting how inclusive provision influences the educational experiences of children with chronic illnesses. Since the study examines how schools support this population, inclusion serves as the foundational lens through which all other themes are interpreted. It shapes how schools design support systems, how teachers respond to fluctuating needs, and how policy is translated into daily practice.</w:t>
      </w:r>
    </w:p>
    <w:p w:rsidRPr="007063BA" w:rsidR="007063BA" w:rsidP="5FF0A1E2" w:rsidRDefault="007063BA" w14:paraId="46A48F0C" w14:textId="05229F22">
      <w:pPr>
        <w:spacing w:before="240" w:beforeAutospacing="off" w:after="240" w:afterAutospacing="off" w:line="360" w:lineRule="auto"/>
        <w:rPr>
          <w:rFonts w:ascii="Arial" w:hAnsi="Arial" w:eastAsia="Arial" w:cs="Arial"/>
          <w:noProof w:val="0"/>
          <w:sz w:val="22"/>
          <w:szCs w:val="22"/>
          <w:lang w:val="en-GB"/>
        </w:rPr>
      </w:pPr>
      <w:r w:rsidRPr="5FF0A1E2" w:rsidR="04D8E8E0">
        <w:rPr>
          <w:rFonts w:ascii="Arial" w:hAnsi="Arial" w:eastAsia="Arial" w:cs="Arial"/>
          <w:noProof w:val="0"/>
          <w:sz w:val="22"/>
          <w:szCs w:val="22"/>
          <w:lang w:val="en-GB"/>
        </w:rPr>
        <w:t xml:space="preserve">Understanding inclusion also helps </w:t>
      </w:r>
      <w:r w:rsidRPr="5FF0A1E2" w:rsidR="04D8E8E0">
        <w:rPr>
          <w:rFonts w:ascii="Arial" w:hAnsi="Arial" w:eastAsia="Arial" w:cs="Arial"/>
          <w:noProof w:val="0"/>
          <w:sz w:val="22"/>
          <w:szCs w:val="22"/>
          <w:lang w:val="en-GB"/>
        </w:rPr>
        <w:t>identify</w:t>
      </w:r>
      <w:r w:rsidRPr="5FF0A1E2" w:rsidR="04D8E8E0">
        <w:rPr>
          <w:rFonts w:ascii="Arial" w:hAnsi="Arial" w:eastAsia="Arial" w:cs="Arial"/>
          <w:noProof w:val="0"/>
          <w:sz w:val="22"/>
          <w:szCs w:val="22"/>
          <w:lang w:val="en-GB"/>
        </w:rPr>
        <w:t xml:space="preserve"> gaps between policy intentions and real-world implementation. Research shows that children with chronic illnesses </w:t>
      </w:r>
      <w:r w:rsidRPr="5FF0A1E2" w:rsidR="04D8E8E0">
        <w:rPr>
          <w:rFonts w:ascii="Arial" w:hAnsi="Arial" w:eastAsia="Arial" w:cs="Arial"/>
          <w:noProof w:val="0"/>
          <w:sz w:val="22"/>
          <w:szCs w:val="22"/>
          <w:lang w:val="en-GB"/>
        </w:rPr>
        <w:t>remain</w:t>
      </w:r>
      <w:r w:rsidRPr="5FF0A1E2" w:rsidR="04D8E8E0">
        <w:rPr>
          <w:rFonts w:ascii="Arial" w:hAnsi="Arial" w:eastAsia="Arial" w:cs="Arial"/>
          <w:noProof w:val="0"/>
          <w:sz w:val="22"/>
          <w:szCs w:val="22"/>
          <w:lang w:val="en-GB"/>
        </w:rPr>
        <w:t xml:space="preserve"> at higher risk of academic underachievement and absenteeism compared with their healthy peers, despite inclusive ambitions (</w:t>
      </w:r>
      <w:r w:rsidRPr="5FF0A1E2" w:rsidR="04D8E8E0">
        <w:rPr>
          <w:rFonts w:ascii="Arial" w:hAnsi="Arial" w:eastAsia="Arial" w:cs="Arial"/>
          <w:noProof w:val="0"/>
          <w:sz w:val="22"/>
          <w:szCs w:val="22"/>
          <w:lang w:val="en-GB"/>
        </w:rPr>
        <w:t>Pinquart</w:t>
      </w:r>
      <w:r w:rsidRPr="5FF0A1E2" w:rsidR="04D8E8E0">
        <w:rPr>
          <w:rFonts w:ascii="Arial" w:hAnsi="Arial" w:eastAsia="Arial" w:cs="Arial"/>
          <w:noProof w:val="0"/>
          <w:sz w:val="22"/>
          <w:szCs w:val="22"/>
          <w:lang w:val="en-GB"/>
        </w:rPr>
        <w:t>, 2018). Therefore, examining inclusion is crucial for evaluating whether current educational approaches truly meet the needs outlined in the dissertation aim.</w:t>
      </w:r>
    </w:p>
    <w:p w:rsidRPr="007063BA" w:rsidR="007063BA" w:rsidP="5FF0A1E2" w:rsidRDefault="007063BA" w14:paraId="55C39F1C" w14:textId="7BCE2C62">
      <w:pPr>
        <w:spacing w:before="240" w:beforeAutospacing="off" w:after="240" w:afterAutospacing="off" w:line="360" w:lineRule="auto"/>
        <w:rPr>
          <w:rFonts w:ascii="Arial" w:hAnsi="Arial" w:eastAsia="Arial" w:cs="Arial"/>
          <w:noProof w:val="0"/>
          <w:sz w:val="22"/>
          <w:szCs w:val="22"/>
          <w:lang w:val="en-GB"/>
        </w:rPr>
      </w:pPr>
      <w:r w:rsidRPr="5FF0A1E2" w:rsidR="47D60ABE">
        <w:rPr>
          <w:rFonts w:ascii="Arial" w:hAnsi="Arial" w:eastAsia="Arial" w:cs="Arial"/>
          <w:noProof w:val="0"/>
          <w:sz w:val="22"/>
          <w:szCs w:val="22"/>
          <w:lang w:val="en-GB"/>
        </w:rPr>
        <w:t xml:space="preserve">The implications of these findings are that schools should not only </w:t>
      </w:r>
      <w:r w:rsidRPr="5FF0A1E2" w:rsidR="47D60ABE">
        <w:rPr>
          <w:rFonts w:ascii="Arial" w:hAnsi="Arial" w:eastAsia="Arial" w:cs="Arial"/>
          <w:noProof w:val="0"/>
          <w:sz w:val="22"/>
          <w:szCs w:val="22"/>
          <w:lang w:val="en-GB"/>
        </w:rPr>
        <w:t>comply with</w:t>
      </w:r>
      <w:r w:rsidRPr="5FF0A1E2" w:rsidR="47D60ABE">
        <w:rPr>
          <w:rFonts w:ascii="Arial" w:hAnsi="Arial" w:eastAsia="Arial" w:cs="Arial"/>
          <w:noProof w:val="0"/>
          <w:sz w:val="22"/>
          <w:szCs w:val="22"/>
          <w:lang w:val="en-GB"/>
        </w:rPr>
        <w:t xml:space="preserve"> statutory requirements but actively </w:t>
      </w:r>
      <w:r w:rsidRPr="5FF0A1E2" w:rsidR="47D60ABE">
        <w:rPr>
          <w:rFonts w:ascii="Arial" w:hAnsi="Arial" w:eastAsia="Arial" w:cs="Arial"/>
          <w:noProof w:val="0"/>
          <w:sz w:val="22"/>
          <w:szCs w:val="22"/>
          <w:lang w:val="en-GB"/>
        </w:rPr>
        <w:t>monitor</w:t>
      </w:r>
      <w:r w:rsidRPr="5FF0A1E2" w:rsidR="47D60ABE">
        <w:rPr>
          <w:rFonts w:ascii="Arial" w:hAnsi="Arial" w:eastAsia="Arial" w:cs="Arial"/>
          <w:noProof w:val="0"/>
          <w:sz w:val="22"/>
          <w:szCs w:val="22"/>
          <w:lang w:val="en-GB"/>
        </w:rPr>
        <w:t xml:space="preserve"> inclusion practices, ensuring that chronically ill students have flexible learning options, tailored interventions, and emotional support. Collaborative planning between educators, families, and healthcare providers is essential to minimise educational disruption and promote holistic development.</w:t>
      </w:r>
    </w:p>
    <w:p w:rsidRPr="007063BA" w:rsidR="007063BA" w:rsidP="5FF0A1E2" w:rsidRDefault="007063BA" w14:paraId="6A42E4BF" w14:textId="02730DEC">
      <w:pPr>
        <w:pStyle w:val="Heading4"/>
        <w:spacing w:before="240" w:beforeAutospacing="off" w:after="240" w:afterAutospacing="off" w:line="360" w:lineRule="auto"/>
        <w:rPr>
          <w:rFonts w:ascii="Arial" w:hAnsi="Arial" w:eastAsia="Arial" w:cs="Arial"/>
          <w:sz w:val="22"/>
          <w:szCs w:val="22"/>
        </w:rPr>
      </w:pPr>
      <w:r w:rsidRPr="5FF0A1E2" w:rsidR="00BEB5B3">
        <w:rPr>
          <w:rFonts w:ascii="Arial" w:hAnsi="Arial" w:eastAsia="Arial" w:cs="Arial"/>
          <w:sz w:val="22"/>
          <w:szCs w:val="22"/>
        </w:rPr>
        <w:t>Statistical Information</w:t>
      </w:r>
    </w:p>
    <w:p w:rsidRPr="007063BA" w:rsidR="007063BA" w:rsidP="5FF0A1E2" w:rsidRDefault="007063BA" w14:paraId="234E6774"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00BEB5B3">
        <w:rPr>
          <w:rStyle w:val="Strong"/>
          <w:rFonts w:ascii="Arial" w:hAnsi="Arial" w:eastAsia="Arial" w:cs="Arial"/>
          <w:sz w:val="22"/>
          <w:szCs w:val="22"/>
        </w:rPr>
        <w:t>Data and Statistics:</w:t>
      </w:r>
    </w:p>
    <w:p w:rsidR="047C69BB" w:rsidP="5FF0A1E2" w:rsidRDefault="047C69BB" w14:paraId="214F1A8A" w14:textId="616323C4">
      <w:pPr>
        <w:spacing w:before="240" w:beforeAutospacing="off" w:after="240" w:afterAutospacing="off" w:line="360" w:lineRule="auto"/>
        <w:rPr>
          <w:rFonts w:ascii="Arial" w:hAnsi="Arial" w:eastAsia="Arial" w:cs="Arial"/>
          <w:noProof w:val="0"/>
          <w:sz w:val="22"/>
          <w:szCs w:val="22"/>
          <w:lang w:val="en-GB"/>
        </w:rPr>
      </w:pPr>
      <w:r w:rsidRPr="5FF0A1E2" w:rsidR="047C69BB">
        <w:rPr>
          <w:rFonts w:ascii="Arial" w:hAnsi="Arial" w:eastAsia="Arial" w:cs="Arial"/>
          <w:noProof w:val="0"/>
          <w:sz w:val="22"/>
          <w:szCs w:val="22"/>
          <w:lang w:val="en-GB"/>
        </w:rPr>
        <w:t>Statistics highlight the scale of the challenge. In the UK, ove</w:t>
      </w:r>
      <w:r w:rsidRPr="5FF0A1E2" w:rsidR="047C69BB">
        <w:rPr>
          <w:rFonts w:ascii="Arial" w:hAnsi="Arial" w:eastAsia="Arial" w:cs="Arial"/>
          <w:b w:val="0"/>
          <w:bCs w:val="0"/>
          <w:noProof w:val="0"/>
          <w:sz w:val="22"/>
          <w:szCs w:val="22"/>
          <w:lang w:val="en-GB"/>
        </w:rPr>
        <w:t xml:space="preserve">r </w:t>
      </w:r>
      <w:r w:rsidRPr="5FF0A1E2" w:rsidR="047C69BB">
        <w:rPr>
          <w:rFonts w:ascii="Arial" w:hAnsi="Arial" w:eastAsia="Arial" w:cs="Arial"/>
          <w:b w:val="0"/>
          <w:bCs w:val="0"/>
          <w:noProof w:val="0"/>
          <w:sz w:val="22"/>
          <w:szCs w:val="22"/>
          <w:lang w:val="en-GB"/>
        </w:rPr>
        <w:t>1.7 million children</w:t>
      </w:r>
      <w:r w:rsidRPr="5FF0A1E2" w:rsidR="047C69BB">
        <w:rPr>
          <w:rFonts w:ascii="Arial" w:hAnsi="Arial" w:eastAsia="Arial" w:cs="Arial"/>
          <w:b w:val="0"/>
          <w:bCs w:val="0"/>
          <w:noProof w:val="0"/>
          <w:sz w:val="22"/>
          <w:szCs w:val="22"/>
          <w:lang w:val="en-GB"/>
        </w:rPr>
        <w:t xml:space="preserve"> l</w:t>
      </w:r>
      <w:r w:rsidRPr="5FF0A1E2" w:rsidR="047C69BB">
        <w:rPr>
          <w:rFonts w:ascii="Arial" w:hAnsi="Arial" w:eastAsia="Arial" w:cs="Arial"/>
          <w:noProof w:val="0"/>
          <w:sz w:val="22"/>
          <w:szCs w:val="22"/>
          <w:lang w:val="en-GB"/>
        </w:rPr>
        <w:t xml:space="preserve">ive with a long-term medical condition (Department of Health and Social Care, 2020). Chronic illness is a leading cause of extended school absence, with some conditions contributing to an average of </w:t>
      </w:r>
      <w:r w:rsidRPr="5FF0A1E2" w:rsidR="047C69BB">
        <w:rPr>
          <w:rFonts w:ascii="Arial" w:hAnsi="Arial" w:eastAsia="Arial" w:cs="Arial"/>
          <w:b w:val="0"/>
          <w:bCs w:val="0"/>
          <w:noProof w:val="0"/>
          <w:sz w:val="22"/>
          <w:szCs w:val="22"/>
          <w:lang w:val="en-GB"/>
        </w:rPr>
        <w:t>15–30 missed school days per year</w:t>
      </w:r>
      <w:r w:rsidRPr="5FF0A1E2" w:rsidR="047C69BB">
        <w:rPr>
          <w:rFonts w:ascii="Arial" w:hAnsi="Arial" w:eastAsia="Arial" w:cs="Arial"/>
          <w:b w:val="0"/>
          <w:bCs w:val="0"/>
          <w:noProof w:val="0"/>
          <w:sz w:val="22"/>
          <w:szCs w:val="22"/>
          <w:lang w:val="en-GB"/>
        </w:rPr>
        <w:t xml:space="preserve"> (Children’s Commissioner, 2022). Children with cancer, for example, often lose up to </w:t>
      </w:r>
      <w:r w:rsidRPr="5FF0A1E2" w:rsidR="047C69BB">
        <w:rPr>
          <w:rFonts w:ascii="Arial" w:hAnsi="Arial" w:eastAsia="Arial" w:cs="Arial"/>
          <w:b w:val="0"/>
          <w:bCs w:val="0"/>
          <w:noProof w:val="0"/>
          <w:sz w:val="22"/>
          <w:szCs w:val="22"/>
          <w:lang w:val="en-GB"/>
        </w:rPr>
        <w:t>one full academic year</w:t>
      </w:r>
      <w:r w:rsidRPr="5FF0A1E2" w:rsidR="047C69BB">
        <w:rPr>
          <w:rFonts w:ascii="Arial" w:hAnsi="Arial" w:eastAsia="Arial" w:cs="Arial"/>
          <w:b w:val="0"/>
          <w:bCs w:val="0"/>
          <w:noProof w:val="0"/>
          <w:sz w:val="22"/>
          <w:szCs w:val="22"/>
          <w:lang w:val="en-GB"/>
        </w:rPr>
        <w:t xml:space="preserve"> </w:t>
      </w:r>
      <w:r w:rsidRPr="5FF0A1E2" w:rsidR="047C69BB">
        <w:rPr>
          <w:rFonts w:ascii="Arial" w:hAnsi="Arial" w:eastAsia="Arial" w:cs="Arial"/>
          <w:noProof w:val="0"/>
          <w:sz w:val="22"/>
          <w:szCs w:val="22"/>
          <w:lang w:val="en-GB"/>
        </w:rPr>
        <w:t>of schooling across diagnosis and treatment (Taylor et al., 2020).</w:t>
      </w:r>
    </w:p>
    <w:p w:rsidR="4EBE6EDD" w:rsidP="5FF0A1E2" w:rsidRDefault="4EBE6EDD" w14:paraId="4EEE043E" w14:textId="26187520">
      <w:pPr>
        <w:spacing w:before="240" w:beforeAutospacing="off" w:after="240" w:afterAutospacing="off" w:line="360" w:lineRule="auto"/>
        <w:rPr>
          <w:rFonts w:ascii="Arial" w:hAnsi="Arial" w:eastAsia="Arial" w:cs="Arial"/>
          <w:noProof w:val="0"/>
          <w:sz w:val="22"/>
          <w:szCs w:val="22"/>
          <w:lang w:val="en-GB"/>
        </w:rPr>
      </w:pPr>
      <w:r w:rsidRPr="5FF0A1E2" w:rsidR="4EBE6EDD">
        <w:rPr>
          <w:rFonts w:ascii="Arial" w:hAnsi="Arial" w:eastAsia="Arial" w:cs="Arial"/>
          <w:noProof w:val="0"/>
          <w:sz w:val="22"/>
          <w:szCs w:val="22"/>
          <w:lang w:val="en-GB"/>
        </w:rPr>
        <w:t xml:space="preserve">There is consensus among authors that statutory guidance in the UK, such as the Children and Families Act (2014) and the Supporting Pupils with Medical Conditions guidance (DfE, 2015), provides a strong policy framework for inclusion (Clarke &amp; Abbott, 2021; Blackburn, 2021). However, practical implementation varies significantly between schools. For example, some schools provide dedicated staff for medical needs, while others lack resources or training, which creates inequity (Harris, 2021). This divergence </w:t>
      </w:r>
      <w:r w:rsidRPr="5FF0A1E2" w:rsidR="4EBE6EDD">
        <w:rPr>
          <w:rFonts w:ascii="Arial" w:hAnsi="Arial" w:eastAsia="Arial" w:cs="Arial"/>
          <w:noProof w:val="0"/>
          <w:sz w:val="22"/>
          <w:szCs w:val="22"/>
          <w:lang w:val="en-GB"/>
        </w:rPr>
        <w:t>indicates</w:t>
      </w:r>
      <w:r w:rsidRPr="5FF0A1E2" w:rsidR="4EBE6EDD">
        <w:rPr>
          <w:rFonts w:ascii="Arial" w:hAnsi="Arial" w:eastAsia="Arial" w:cs="Arial"/>
          <w:noProof w:val="0"/>
          <w:sz w:val="22"/>
          <w:szCs w:val="22"/>
          <w:lang w:val="en-GB"/>
        </w:rPr>
        <w:t xml:space="preserve"> that policy alone is insufficient; effective inclusion depends on organisational capacity and staff competence.</w:t>
      </w:r>
    </w:p>
    <w:p w:rsidR="320DC0BD" w:rsidP="5FF0A1E2" w:rsidRDefault="320DC0BD" w14:paraId="365482EB" w14:textId="6E51063A">
      <w:pPr>
        <w:pStyle w:val="Normal"/>
        <w:spacing w:before="240" w:beforeAutospacing="off" w:after="240" w:afterAutospacing="off" w:line="360" w:lineRule="auto"/>
        <w:rPr>
          <w:rFonts w:ascii="Arial" w:hAnsi="Arial" w:eastAsia="Arial" w:cs="Arial"/>
          <w:noProof w:val="0"/>
          <w:sz w:val="22"/>
          <w:szCs w:val="22"/>
          <w:lang w:val="en-GB"/>
        </w:rPr>
      </w:pPr>
      <w:r w:rsidRPr="5FF0A1E2" w:rsidR="320DC0BD">
        <w:rPr>
          <w:rFonts w:ascii="Arial" w:hAnsi="Arial" w:eastAsia="Arial" w:cs="Arial"/>
          <w:noProof w:val="0"/>
          <w:sz w:val="22"/>
          <w:szCs w:val="22"/>
          <w:lang w:val="en-GB"/>
        </w:rPr>
        <w:t xml:space="preserve">Research highlights that children with chronic illnesses </w:t>
      </w:r>
      <w:r w:rsidRPr="5FF0A1E2" w:rsidR="320DC0BD">
        <w:rPr>
          <w:rFonts w:ascii="Arial" w:hAnsi="Arial" w:eastAsia="Arial" w:cs="Arial"/>
          <w:noProof w:val="0"/>
          <w:sz w:val="22"/>
          <w:szCs w:val="22"/>
          <w:lang w:val="en-GB"/>
        </w:rPr>
        <w:t>frequently</w:t>
      </w:r>
      <w:r w:rsidRPr="5FF0A1E2" w:rsidR="320DC0BD">
        <w:rPr>
          <w:rFonts w:ascii="Arial" w:hAnsi="Arial" w:eastAsia="Arial" w:cs="Arial"/>
          <w:noProof w:val="0"/>
          <w:sz w:val="22"/>
          <w:szCs w:val="22"/>
          <w:lang w:val="en-GB"/>
        </w:rPr>
        <w:t xml:space="preserve"> experience barriers to educational inclusion, such as disrupted attendance, lack of personalised learning plans, and limited access to support services (Taylor, Devine &amp; McEwan, 2020; Swann, 2021). Taylor et al. (2020) emphasise that missed schooling directly affects academic attainment, while Swann (2021) notes that the emotional consequences of repeated absences such as anxiety and social isolation can be equally detrimental. This suggests that interventions must address both academic continuity and emotional support.</w:t>
      </w:r>
    </w:p>
    <w:p w:rsidR="047C69BB" w:rsidP="5FF0A1E2" w:rsidRDefault="047C69BB" w14:paraId="1F451308" w14:textId="5D1851EC">
      <w:pPr>
        <w:spacing w:before="240" w:beforeAutospacing="off" w:after="240" w:afterAutospacing="off" w:line="360" w:lineRule="auto"/>
        <w:rPr>
          <w:rFonts w:ascii="Arial" w:hAnsi="Arial" w:eastAsia="Arial" w:cs="Arial"/>
          <w:noProof w:val="0"/>
          <w:sz w:val="22"/>
          <w:szCs w:val="22"/>
          <w:lang w:val="en-GB"/>
        </w:rPr>
      </w:pPr>
      <w:r w:rsidRPr="5FF0A1E2" w:rsidR="047C69BB">
        <w:rPr>
          <w:rFonts w:ascii="Arial" w:hAnsi="Arial" w:eastAsia="Arial" w:cs="Arial"/>
          <w:noProof w:val="0"/>
          <w:sz w:val="22"/>
          <w:szCs w:val="22"/>
          <w:lang w:val="en-GB"/>
        </w:rPr>
        <w:t xml:space="preserve">Further, research </w:t>
      </w:r>
      <w:r w:rsidRPr="5FF0A1E2" w:rsidR="047C69BB">
        <w:rPr>
          <w:rFonts w:ascii="Arial" w:hAnsi="Arial" w:eastAsia="Arial" w:cs="Arial"/>
          <w:noProof w:val="0"/>
          <w:sz w:val="22"/>
          <w:szCs w:val="22"/>
          <w:lang w:val="en-GB"/>
        </w:rPr>
        <w:t>indicates</w:t>
      </w:r>
      <w:r w:rsidRPr="5FF0A1E2" w:rsidR="047C69BB">
        <w:rPr>
          <w:rFonts w:ascii="Arial" w:hAnsi="Arial" w:eastAsia="Arial" w:cs="Arial"/>
          <w:noProof w:val="0"/>
          <w:sz w:val="22"/>
          <w:szCs w:val="22"/>
          <w:lang w:val="en-GB"/>
        </w:rPr>
        <w:t xml:space="preserve"> that pupils with chronic illnesses are</w:t>
      </w:r>
      <w:r w:rsidRPr="5FF0A1E2" w:rsidR="047C69BB">
        <w:rPr>
          <w:rFonts w:ascii="Arial" w:hAnsi="Arial" w:eastAsia="Arial" w:cs="Arial"/>
          <w:b w:val="0"/>
          <w:bCs w:val="0"/>
          <w:noProof w:val="0"/>
          <w:sz w:val="22"/>
          <w:szCs w:val="22"/>
          <w:lang w:val="en-GB"/>
        </w:rPr>
        <w:t xml:space="preserve"> </w:t>
      </w:r>
      <w:r w:rsidRPr="5FF0A1E2" w:rsidR="047C69BB">
        <w:rPr>
          <w:rFonts w:ascii="Arial" w:hAnsi="Arial" w:eastAsia="Arial" w:cs="Arial"/>
          <w:b w:val="0"/>
          <w:bCs w:val="0"/>
          <w:noProof w:val="0"/>
          <w:sz w:val="22"/>
          <w:szCs w:val="22"/>
          <w:lang w:val="en-GB"/>
        </w:rPr>
        <w:t>twice as likely</w:t>
      </w:r>
      <w:r w:rsidRPr="5FF0A1E2" w:rsidR="047C69BB">
        <w:rPr>
          <w:rFonts w:ascii="Arial" w:hAnsi="Arial" w:eastAsia="Arial" w:cs="Arial"/>
          <w:b w:val="0"/>
          <w:bCs w:val="0"/>
          <w:noProof w:val="0"/>
          <w:sz w:val="22"/>
          <w:szCs w:val="22"/>
          <w:lang w:val="en-GB"/>
        </w:rPr>
        <w:t xml:space="preserve"> </w:t>
      </w:r>
      <w:r w:rsidRPr="5FF0A1E2" w:rsidR="047C69BB">
        <w:rPr>
          <w:rFonts w:ascii="Arial" w:hAnsi="Arial" w:eastAsia="Arial" w:cs="Arial"/>
          <w:noProof w:val="0"/>
          <w:sz w:val="22"/>
          <w:szCs w:val="22"/>
          <w:lang w:val="en-GB"/>
        </w:rPr>
        <w:t xml:space="preserve">to perform below expected academic standards due to disrupted learning and reduced participation in school activities (Lum et al., 2021). These statistics reinforce why inclusion </w:t>
      </w:r>
      <w:r w:rsidRPr="5FF0A1E2" w:rsidR="047C69BB">
        <w:rPr>
          <w:rFonts w:ascii="Arial" w:hAnsi="Arial" w:eastAsia="Arial" w:cs="Arial"/>
          <w:noProof w:val="0"/>
          <w:sz w:val="22"/>
          <w:szCs w:val="22"/>
          <w:lang w:val="en-GB"/>
        </w:rPr>
        <w:t>remains</w:t>
      </w:r>
      <w:r w:rsidRPr="5FF0A1E2" w:rsidR="047C69BB">
        <w:rPr>
          <w:rFonts w:ascii="Arial" w:hAnsi="Arial" w:eastAsia="Arial" w:cs="Arial"/>
          <w:noProof w:val="0"/>
          <w:sz w:val="22"/>
          <w:szCs w:val="22"/>
          <w:lang w:val="en-GB"/>
        </w:rPr>
        <w:t xml:space="preserve"> an essential theme: without robust inclusive practices, the educational gap is likely to widen.</w:t>
      </w:r>
    </w:p>
    <w:p w:rsidRPr="007063BA" w:rsidR="007063BA" w:rsidP="5FF0A1E2" w:rsidRDefault="007063BA" w14:paraId="142DB4B4" w14:textId="77777777" w14:noSpellErr="1">
      <w:pPr>
        <w:pStyle w:val="Heading4"/>
        <w:spacing w:line="360" w:lineRule="auto"/>
        <w:rPr>
          <w:rFonts w:ascii="Arial" w:hAnsi="Arial" w:eastAsia="Arial" w:cs="Arial"/>
          <w:sz w:val="22"/>
          <w:szCs w:val="22"/>
        </w:rPr>
      </w:pPr>
      <w:r w:rsidRPr="5FF0A1E2" w:rsidR="00BEB5B3">
        <w:rPr>
          <w:rFonts w:ascii="Arial" w:hAnsi="Arial" w:eastAsia="Arial" w:cs="Arial"/>
          <w:sz w:val="22"/>
          <w:szCs w:val="22"/>
        </w:rPr>
        <w:t>Theories, Policies, and Legislation</w:t>
      </w:r>
    </w:p>
    <w:p w:rsidR="5FF0A1E2" w:rsidP="5FF0A1E2" w:rsidRDefault="5FF0A1E2" w14:paraId="164A72D7" w14:textId="33CFB0C7">
      <w:pPr>
        <w:pStyle w:val="NormalWeb"/>
        <w:spacing w:line="360" w:lineRule="auto"/>
        <w:ind w:left="0"/>
        <w:rPr>
          <w:rStyle w:val="Strong"/>
          <w:rFonts w:ascii="Arial" w:hAnsi="Arial" w:eastAsia="Arial" w:cs="Arial"/>
          <w:sz w:val="22"/>
          <w:szCs w:val="22"/>
        </w:rPr>
      </w:pPr>
    </w:p>
    <w:p w:rsidRPr="007063BA" w:rsidR="007063BA" w:rsidP="5FF0A1E2" w:rsidRDefault="007063BA" w14:paraId="387A2433" w14:textId="77777777" w14:noSpellErr="1">
      <w:pPr>
        <w:pStyle w:val="NormalWeb"/>
        <w:spacing w:line="360" w:lineRule="auto"/>
        <w:ind w:left="0"/>
        <w:rPr>
          <w:rFonts w:ascii="Arial" w:hAnsi="Arial" w:eastAsia="Arial" w:cs="Arial"/>
          <w:sz w:val="22"/>
          <w:szCs w:val="22"/>
        </w:rPr>
      </w:pPr>
      <w:r w:rsidRPr="5FF0A1E2" w:rsidR="00BEB5B3">
        <w:rPr>
          <w:rStyle w:val="Strong"/>
          <w:rFonts w:ascii="Arial" w:hAnsi="Arial" w:eastAsia="Arial" w:cs="Arial"/>
          <w:sz w:val="22"/>
          <w:szCs w:val="22"/>
        </w:rPr>
        <w:t>Theoretical Framework:</w:t>
      </w:r>
    </w:p>
    <w:p w:rsidR="0DE4BD0C" w:rsidP="5FF0A1E2" w:rsidRDefault="0DE4BD0C" w14:paraId="49EB865E" w14:textId="53931F78">
      <w:pPr>
        <w:spacing w:before="240" w:beforeAutospacing="off" w:after="240" w:afterAutospacing="off" w:line="360" w:lineRule="auto"/>
        <w:rPr>
          <w:rFonts w:ascii="Arial" w:hAnsi="Arial" w:eastAsia="Arial" w:cs="Arial"/>
          <w:noProof w:val="0"/>
          <w:sz w:val="22"/>
          <w:szCs w:val="22"/>
          <w:lang w:val="en-GB"/>
        </w:rPr>
      </w:pPr>
      <w:r w:rsidRPr="5FF0A1E2" w:rsidR="0DE4BD0C">
        <w:rPr>
          <w:rFonts w:ascii="Arial" w:hAnsi="Arial" w:eastAsia="Arial" w:cs="Arial"/>
          <w:noProof w:val="0"/>
          <w:sz w:val="22"/>
          <w:szCs w:val="22"/>
          <w:lang w:val="en-GB"/>
        </w:rPr>
        <w:t>Inclusive education is underpinned by Bronfenbrenner’s Ecological Systems Theory (1979), which emphasises how a child’s development is influenced by interactions across multiple systems</w:t>
      </w:r>
      <w:r w:rsidRPr="5FF0A1E2" w:rsidR="163E47C6">
        <w:rPr>
          <w:rFonts w:ascii="Arial" w:hAnsi="Arial" w:eastAsia="Arial" w:cs="Arial"/>
          <w:noProof w:val="0"/>
          <w:sz w:val="22"/>
          <w:szCs w:val="22"/>
          <w:lang w:val="en-GB"/>
        </w:rPr>
        <w:t xml:space="preserve"> </w:t>
      </w:r>
      <w:r w:rsidRPr="5FF0A1E2" w:rsidR="0DE4BD0C">
        <w:rPr>
          <w:rFonts w:ascii="Arial" w:hAnsi="Arial" w:eastAsia="Arial" w:cs="Arial"/>
          <w:noProof w:val="0"/>
          <w:sz w:val="22"/>
          <w:szCs w:val="22"/>
          <w:lang w:val="en-GB"/>
        </w:rPr>
        <w:t>family, school, healthcare, and policy. For chronically ill children, effective inclusion depends on strong collaboration within and across these systems.</w:t>
      </w:r>
    </w:p>
    <w:p w:rsidR="0DE4BD0C" w:rsidP="5FF0A1E2" w:rsidRDefault="0DE4BD0C" w14:paraId="7D25D91D" w14:textId="13864152">
      <w:pPr>
        <w:spacing w:before="240" w:beforeAutospacing="off" w:after="240" w:afterAutospacing="off" w:line="360" w:lineRule="auto"/>
        <w:rPr>
          <w:rFonts w:ascii="Arial" w:hAnsi="Arial" w:eastAsia="Arial" w:cs="Arial"/>
          <w:noProof w:val="0"/>
          <w:sz w:val="22"/>
          <w:szCs w:val="22"/>
          <w:lang w:val="en-GB"/>
        </w:rPr>
      </w:pPr>
      <w:r w:rsidRPr="5FF0A1E2" w:rsidR="0DE4BD0C">
        <w:rPr>
          <w:rFonts w:ascii="Arial" w:hAnsi="Arial" w:eastAsia="Arial" w:cs="Arial"/>
          <w:noProof w:val="0"/>
          <w:sz w:val="22"/>
          <w:szCs w:val="22"/>
          <w:lang w:val="en-GB"/>
        </w:rPr>
        <w:t xml:space="preserve">The Social Model of Disability also informs inclusion by viewing barriers as environmental rather than inherent to the child (Oliver, 2013). In this sense, schools </w:t>
      </w:r>
      <w:r w:rsidRPr="5FF0A1E2" w:rsidR="0DE4BD0C">
        <w:rPr>
          <w:rFonts w:ascii="Arial" w:hAnsi="Arial" w:eastAsia="Arial" w:cs="Arial"/>
          <w:noProof w:val="0"/>
          <w:sz w:val="22"/>
          <w:szCs w:val="22"/>
          <w:lang w:val="en-GB"/>
        </w:rPr>
        <w:t>are responsible for</w:t>
      </w:r>
      <w:r w:rsidRPr="5FF0A1E2" w:rsidR="0DE4BD0C">
        <w:rPr>
          <w:rFonts w:ascii="Arial" w:hAnsi="Arial" w:eastAsia="Arial" w:cs="Arial"/>
          <w:noProof w:val="0"/>
          <w:sz w:val="22"/>
          <w:szCs w:val="22"/>
          <w:lang w:val="en-GB"/>
        </w:rPr>
        <w:t xml:space="preserve"> removing obstacles that prevent participation, such as rigid attendance expectations or inflexible teaching methods.</w:t>
      </w:r>
    </w:p>
    <w:p w:rsidR="5FF0A1E2" w:rsidP="5FF0A1E2" w:rsidRDefault="5FF0A1E2" w14:paraId="2D691327" w14:textId="057092D5">
      <w:pPr>
        <w:pStyle w:val="NormalWeb"/>
        <w:spacing w:line="360" w:lineRule="auto"/>
        <w:ind w:left="0"/>
        <w:rPr>
          <w:rFonts w:ascii="Arial" w:hAnsi="Arial" w:eastAsia="Arial" w:cs="Arial"/>
          <w:sz w:val="22"/>
          <w:szCs w:val="22"/>
        </w:rPr>
      </w:pPr>
    </w:p>
    <w:p w:rsidRPr="007063BA" w:rsidR="007063BA" w:rsidP="5FF0A1E2" w:rsidRDefault="007063BA" w14:paraId="6F9FD43F" w14:textId="77777777" w14:noSpellErr="1">
      <w:pPr>
        <w:pStyle w:val="NormalWeb"/>
        <w:spacing w:line="360" w:lineRule="auto"/>
        <w:ind w:left="0"/>
        <w:rPr>
          <w:rFonts w:ascii="Arial" w:hAnsi="Arial" w:eastAsia="Arial" w:cs="Arial"/>
          <w:sz w:val="22"/>
          <w:szCs w:val="22"/>
        </w:rPr>
      </w:pPr>
      <w:r w:rsidRPr="5FF0A1E2" w:rsidR="00BEB5B3">
        <w:rPr>
          <w:rStyle w:val="Strong"/>
          <w:rFonts w:ascii="Arial" w:hAnsi="Arial" w:eastAsia="Arial" w:cs="Arial"/>
          <w:sz w:val="22"/>
          <w:szCs w:val="22"/>
        </w:rPr>
        <w:t>Policy and Legislation:</w:t>
      </w:r>
    </w:p>
    <w:p w:rsidR="09DF8BDD" w:rsidP="5FF0A1E2" w:rsidRDefault="09DF8BDD" w14:paraId="497BBA42" w14:textId="78F43FAA">
      <w:pPr>
        <w:spacing w:before="240" w:beforeAutospacing="off" w:after="240" w:afterAutospacing="off" w:line="360" w:lineRule="auto"/>
        <w:rPr>
          <w:rFonts w:ascii="Arial" w:hAnsi="Arial" w:eastAsia="Arial" w:cs="Arial"/>
          <w:noProof w:val="0"/>
          <w:sz w:val="22"/>
          <w:szCs w:val="22"/>
          <w:lang w:val="en-GB"/>
        </w:rPr>
      </w:pPr>
      <w:r w:rsidRPr="5FF0A1E2" w:rsidR="09DF8BDD">
        <w:rPr>
          <w:rFonts w:ascii="Arial" w:hAnsi="Arial" w:eastAsia="Arial" w:cs="Arial"/>
          <w:noProof w:val="0"/>
          <w:sz w:val="22"/>
          <w:szCs w:val="22"/>
          <w:lang w:val="en-GB"/>
        </w:rPr>
        <w:t>Several UK policies shape inclusive practice:</w:t>
      </w:r>
    </w:p>
    <w:p w:rsidR="09DF8BDD" w:rsidP="5FF0A1E2" w:rsidRDefault="09DF8BDD" w14:paraId="4C9FC7A0" w14:textId="154BF125">
      <w:pPr>
        <w:pStyle w:val="ListParagraph"/>
        <w:numPr>
          <w:ilvl w:val="0"/>
          <w:numId w:val="105"/>
        </w:numPr>
        <w:spacing w:before="240" w:beforeAutospacing="off" w:after="240" w:afterAutospacing="off" w:line="360" w:lineRule="auto"/>
        <w:rPr>
          <w:rFonts w:ascii="Arial" w:hAnsi="Arial" w:eastAsia="Arial" w:cs="Arial"/>
          <w:noProof w:val="0"/>
          <w:sz w:val="22"/>
          <w:szCs w:val="22"/>
          <w:lang w:val="en-GB"/>
        </w:rPr>
      </w:pPr>
      <w:r w:rsidRPr="5FF0A1E2" w:rsidR="09DF8BDD">
        <w:rPr>
          <w:rFonts w:ascii="Arial" w:hAnsi="Arial" w:eastAsia="Arial" w:cs="Arial"/>
          <w:b w:val="1"/>
          <w:bCs w:val="1"/>
          <w:noProof w:val="0"/>
          <w:sz w:val="22"/>
          <w:szCs w:val="22"/>
          <w:lang w:val="en-GB"/>
        </w:rPr>
        <w:t>Children and Families Act 2014</w:t>
      </w:r>
      <w:r w:rsidRPr="5FF0A1E2" w:rsidR="09DF8BDD">
        <w:rPr>
          <w:rFonts w:ascii="Arial" w:hAnsi="Arial" w:eastAsia="Arial" w:cs="Arial"/>
          <w:noProof w:val="0"/>
          <w:sz w:val="22"/>
          <w:szCs w:val="22"/>
          <w:lang w:val="en-GB"/>
        </w:rPr>
        <w:t xml:space="preserve"> – requires schools to support pupils with medical conditions.</w:t>
      </w:r>
    </w:p>
    <w:p w:rsidR="09DF8BDD" w:rsidP="5FF0A1E2" w:rsidRDefault="09DF8BDD" w14:paraId="799B8152" w14:textId="12594856">
      <w:pPr>
        <w:pStyle w:val="ListParagraph"/>
        <w:numPr>
          <w:ilvl w:val="0"/>
          <w:numId w:val="105"/>
        </w:numPr>
        <w:spacing w:before="240" w:beforeAutospacing="off" w:after="240" w:afterAutospacing="off" w:line="360" w:lineRule="auto"/>
        <w:rPr>
          <w:rFonts w:ascii="Arial" w:hAnsi="Arial" w:eastAsia="Arial" w:cs="Arial"/>
          <w:noProof w:val="0"/>
          <w:sz w:val="22"/>
          <w:szCs w:val="22"/>
          <w:lang w:val="en-GB"/>
        </w:rPr>
      </w:pPr>
      <w:r w:rsidRPr="5FF0A1E2" w:rsidR="09DF8BDD">
        <w:rPr>
          <w:rFonts w:ascii="Arial" w:hAnsi="Arial" w:eastAsia="Arial" w:cs="Arial"/>
          <w:b w:val="1"/>
          <w:bCs w:val="1"/>
          <w:noProof w:val="0"/>
          <w:sz w:val="22"/>
          <w:szCs w:val="22"/>
          <w:lang w:val="en-GB"/>
        </w:rPr>
        <w:t>SEND Code of Practice (2015)</w:t>
      </w:r>
      <w:r w:rsidRPr="5FF0A1E2" w:rsidR="09DF8BDD">
        <w:rPr>
          <w:rFonts w:ascii="Arial" w:hAnsi="Arial" w:eastAsia="Arial" w:cs="Arial"/>
          <w:noProof w:val="0"/>
          <w:sz w:val="22"/>
          <w:szCs w:val="22"/>
          <w:lang w:val="en-GB"/>
        </w:rPr>
        <w:t xml:space="preserve"> – emphasises person-centred planning and educational access.</w:t>
      </w:r>
    </w:p>
    <w:p w:rsidR="09DF8BDD" w:rsidP="5FF0A1E2" w:rsidRDefault="09DF8BDD" w14:paraId="0CF571DD" w14:textId="5AEC806A">
      <w:pPr>
        <w:pStyle w:val="ListParagraph"/>
        <w:numPr>
          <w:ilvl w:val="0"/>
          <w:numId w:val="105"/>
        </w:numPr>
        <w:spacing w:before="240" w:beforeAutospacing="off" w:after="240" w:afterAutospacing="off" w:line="360" w:lineRule="auto"/>
        <w:rPr>
          <w:rFonts w:ascii="Arial" w:hAnsi="Arial" w:eastAsia="Arial" w:cs="Arial"/>
          <w:noProof w:val="0"/>
          <w:sz w:val="22"/>
          <w:szCs w:val="22"/>
          <w:lang w:val="en-GB"/>
        </w:rPr>
      </w:pPr>
      <w:r w:rsidRPr="5FF0A1E2" w:rsidR="09DF8BDD">
        <w:rPr>
          <w:rFonts w:ascii="Arial" w:hAnsi="Arial" w:eastAsia="Arial" w:cs="Arial"/>
          <w:b w:val="1"/>
          <w:bCs w:val="1"/>
          <w:noProof w:val="0"/>
          <w:sz w:val="22"/>
          <w:szCs w:val="22"/>
          <w:lang w:val="en-GB"/>
        </w:rPr>
        <w:t>Supporting Pupils with Medical Conditions in School (DfE, 2017)</w:t>
      </w:r>
      <w:r w:rsidRPr="5FF0A1E2" w:rsidR="09DF8BDD">
        <w:rPr>
          <w:rFonts w:ascii="Arial" w:hAnsi="Arial" w:eastAsia="Arial" w:cs="Arial"/>
          <w:noProof w:val="0"/>
          <w:sz w:val="22"/>
          <w:szCs w:val="22"/>
          <w:lang w:val="en-GB"/>
        </w:rPr>
        <w:t xml:space="preserve"> – mandates Individual Healthcare Plans and staff training.</w:t>
      </w:r>
    </w:p>
    <w:p w:rsidR="09DF8BDD" w:rsidP="5FF0A1E2" w:rsidRDefault="09DF8BDD" w14:paraId="0E0EA193" w14:textId="0F4C9D6D">
      <w:pPr>
        <w:spacing w:before="240" w:beforeAutospacing="off" w:after="240" w:afterAutospacing="off" w:line="360" w:lineRule="auto"/>
        <w:rPr>
          <w:rFonts w:ascii="Arial" w:hAnsi="Arial" w:eastAsia="Arial" w:cs="Arial"/>
          <w:noProof w:val="0"/>
          <w:sz w:val="22"/>
          <w:szCs w:val="22"/>
          <w:lang w:val="en-GB"/>
        </w:rPr>
      </w:pPr>
      <w:r w:rsidRPr="5FF0A1E2" w:rsidR="09DF8BDD">
        <w:rPr>
          <w:rFonts w:ascii="Arial" w:hAnsi="Arial" w:eastAsia="Arial" w:cs="Arial"/>
          <w:noProof w:val="0"/>
          <w:sz w:val="22"/>
          <w:szCs w:val="22"/>
          <w:lang w:val="en-GB"/>
        </w:rPr>
        <w:t>These policies collectively aim to ensure continuity of education, reasonable adjustments, and a duty of care. However, research suggests that policy implementation varies widely across schools, often due to limited staff time, training, or confidence (Blackburn, 2021).</w:t>
      </w:r>
    </w:p>
    <w:p w:rsidRPr="007063BA" w:rsidR="007063BA" w:rsidP="5FF0A1E2" w:rsidRDefault="007063BA" w14:paraId="13B595A6" w14:textId="77777777" w14:noSpellErr="1">
      <w:pPr>
        <w:pStyle w:val="Heading4"/>
        <w:spacing w:line="360" w:lineRule="auto"/>
        <w:rPr>
          <w:rFonts w:ascii="Arial" w:hAnsi="Arial" w:eastAsia="Arial" w:cs="Arial"/>
          <w:sz w:val="22"/>
          <w:szCs w:val="22"/>
        </w:rPr>
      </w:pPr>
      <w:r w:rsidRPr="5FF0A1E2" w:rsidR="00BEB5B3">
        <w:rPr>
          <w:rFonts w:ascii="Arial" w:hAnsi="Arial" w:eastAsia="Arial" w:cs="Arial"/>
          <w:sz w:val="22"/>
          <w:szCs w:val="22"/>
        </w:rPr>
        <w:t>Implications</w:t>
      </w:r>
    </w:p>
    <w:p w:rsidR="5FF0A1E2" w:rsidP="5FF0A1E2" w:rsidRDefault="5FF0A1E2" w14:paraId="6F32C424" w14:textId="615C02FA">
      <w:pPr>
        <w:spacing w:beforeAutospacing="on" w:afterAutospacing="on" w:line="360" w:lineRule="auto"/>
        <w:ind w:left="0"/>
        <w:jc w:val="left"/>
        <w:rPr>
          <w:rStyle w:val="Strong"/>
          <w:rFonts w:ascii="Arial" w:hAnsi="Arial" w:eastAsia="Arial" w:cs="Arial"/>
          <w:sz w:val="22"/>
          <w:szCs w:val="22"/>
        </w:rPr>
      </w:pPr>
    </w:p>
    <w:p w:rsidRPr="007063BA" w:rsidR="007063BA" w:rsidP="5FF0A1E2" w:rsidRDefault="007063BA" w14:paraId="383AC1AB"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00BEB5B3">
        <w:rPr>
          <w:rStyle w:val="Strong"/>
          <w:rFonts w:ascii="Arial" w:hAnsi="Arial" w:eastAsia="Arial" w:cs="Arial"/>
          <w:sz w:val="22"/>
          <w:szCs w:val="22"/>
        </w:rPr>
        <w:t>Positive and Negative Implications:</w:t>
      </w:r>
    </w:p>
    <w:p w:rsidR="6B261840" w:rsidP="5FF0A1E2" w:rsidRDefault="6B261840" w14:paraId="62244708" w14:textId="31F8C31E">
      <w:pPr>
        <w:pStyle w:val="Normal"/>
        <w:spacing w:line="360" w:lineRule="auto"/>
        <w:rPr>
          <w:rFonts w:ascii="Arial" w:hAnsi="Arial" w:eastAsia="Arial" w:cs="Arial"/>
          <w:noProof w:val="0"/>
          <w:sz w:val="22"/>
          <w:szCs w:val="22"/>
          <w:lang w:val="en-GB"/>
        </w:rPr>
      </w:pPr>
      <w:r w:rsidRPr="5FF0A1E2" w:rsidR="6B261840">
        <w:rPr>
          <w:rFonts w:ascii="Arial" w:hAnsi="Arial" w:eastAsia="Arial" w:cs="Arial"/>
          <w:noProof w:val="0"/>
          <w:sz w:val="22"/>
          <w:szCs w:val="22"/>
          <w:lang w:val="en-GB"/>
        </w:rPr>
        <w:t xml:space="preserve">Effective inclusion promotes academic stability, emotional wellbeing, and social belonging. When schools implement flexible teaching, communication spaces, and personalised support, children with chronic illnesses </w:t>
      </w:r>
      <w:r w:rsidRPr="5FF0A1E2" w:rsidR="6B261840">
        <w:rPr>
          <w:rFonts w:ascii="Arial" w:hAnsi="Arial" w:eastAsia="Arial" w:cs="Arial"/>
          <w:noProof w:val="0"/>
          <w:sz w:val="22"/>
          <w:szCs w:val="22"/>
          <w:lang w:val="en-GB"/>
        </w:rPr>
        <w:t>demonstrate</w:t>
      </w:r>
      <w:r w:rsidRPr="5FF0A1E2" w:rsidR="6B261840">
        <w:rPr>
          <w:rFonts w:ascii="Arial" w:hAnsi="Arial" w:eastAsia="Arial" w:cs="Arial"/>
          <w:noProof w:val="0"/>
          <w:sz w:val="22"/>
          <w:szCs w:val="22"/>
          <w:lang w:val="en-GB"/>
        </w:rPr>
        <w:t xml:space="preserve"> improved attendance, engagement, and resilience (Melo et al., 2020). Inclusive environments also reduce stigma and foster peer understanding.</w:t>
      </w:r>
    </w:p>
    <w:p w:rsidR="6B261840" w:rsidP="5FF0A1E2" w:rsidRDefault="6B261840" w14:paraId="74E4542D" w14:textId="4CC06CD4">
      <w:pPr>
        <w:spacing w:before="240" w:beforeAutospacing="off" w:after="240" w:afterAutospacing="off" w:line="360" w:lineRule="auto"/>
        <w:rPr>
          <w:rFonts w:ascii="Arial" w:hAnsi="Arial" w:eastAsia="Arial" w:cs="Arial"/>
          <w:noProof w:val="0"/>
          <w:sz w:val="22"/>
          <w:szCs w:val="22"/>
          <w:lang w:val="en-GB"/>
        </w:rPr>
      </w:pPr>
      <w:r w:rsidRPr="5FF0A1E2" w:rsidR="6B261840">
        <w:rPr>
          <w:rFonts w:ascii="Arial" w:hAnsi="Arial" w:eastAsia="Arial" w:cs="Arial"/>
          <w:noProof w:val="0"/>
          <w:sz w:val="22"/>
          <w:szCs w:val="22"/>
          <w:lang w:val="en-GB"/>
        </w:rPr>
        <w:t>However, inclusion is not without challenges. Teachers often report insufficient training on medical needs, leading to anxiety about managing conditions such as epilepsy or diabetes (Denny et al., 2021). Schools with limited resources may struggle to sustain inclusive practices, resulting in inconsistent provision.</w:t>
      </w:r>
    </w:p>
    <w:p w:rsidR="6B261840" w:rsidP="5FF0A1E2" w:rsidRDefault="6B261840" w14:paraId="6213F522" w14:textId="1C861356">
      <w:pPr>
        <w:spacing w:before="240" w:beforeAutospacing="off" w:after="240" w:afterAutospacing="off" w:line="360" w:lineRule="auto"/>
        <w:rPr>
          <w:rFonts w:ascii="Arial" w:hAnsi="Arial" w:eastAsia="Arial" w:cs="Arial"/>
          <w:noProof w:val="0"/>
          <w:sz w:val="22"/>
          <w:szCs w:val="22"/>
          <w:lang w:val="en-GB"/>
        </w:rPr>
      </w:pPr>
      <w:r w:rsidRPr="5FF0A1E2" w:rsidR="6B261840">
        <w:rPr>
          <w:rFonts w:ascii="Arial" w:hAnsi="Arial" w:eastAsia="Arial" w:cs="Arial"/>
          <w:noProof w:val="0"/>
          <w:sz w:val="22"/>
          <w:szCs w:val="22"/>
          <w:lang w:val="en-GB"/>
        </w:rPr>
        <w:t>Furthermore, some children experience "partial inclusion," where they attend school physically but are excluded from activities due to safety concerns, fatigue, or misconceptions about their condition.</w:t>
      </w:r>
    </w:p>
    <w:p w:rsidRPr="007063BA" w:rsidR="007063BA" w:rsidP="5FF0A1E2" w:rsidRDefault="007063BA" w14:paraId="64ACE661" w14:textId="77777777" w14:noSpellErr="1">
      <w:pPr>
        <w:pStyle w:val="Heading4"/>
        <w:spacing w:line="360" w:lineRule="auto"/>
        <w:rPr>
          <w:rFonts w:ascii="Arial" w:hAnsi="Arial" w:eastAsia="Arial" w:cs="Arial"/>
          <w:sz w:val="22"/>
          <w:szCs w:val="22"/>
        </w:rPr>
      </w:pPr>
      <w:r w:rsidRPr="5FF0A1E2" w:rsidR="00BEB5B3">
        <w:rPr>
          <w:rFonts w:ascii="Arial" w:hAnsi="Arial" w:eastAsia="Arial" w:cs="Arial"/>
          <w:sz w:val="22"/>
          <w:szCs w:val="22"/>
        </w:rPr>
        <w:t>Examples and Case Studies</w:t>
      </w:r>
    </w:p>
    <w:p w:rsidR="5FF0A1E2" w:rsidP="5FF0A1E2" w:rsidRDefault="5FF0A1E2" w14:paraId="7B514C73" w14:textId="4A41FD87">
      <w:pPr>
        <w:spacing w:beforeAutospacing="on" w:afterAutospacing="on" w:line="360" w:lineRule="auto"/>
        <w:ind w:left="0"/>
        <w:jc w:val="left"/>
        <w:rPr>
          <w:rStyle w:val="Strong"/>
          <w:rFonts w:ascii="Arial" w:hAnsi="Arial" w:eastAsia="Arial" w:cs="Arial"/>
          <w:sz w:val="22"/>
          <w:szCs w:val="22"/>
        </w:rPr>
      </w:pPr>
    </w:p>
    <w:p w:rsidRPr="007063BA" w:rsidR="007063BA" w:rsidP="5FF0A1E2" w:rsidRDefault="007063BA" w14:paraId="580F1172"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00BEB5B3">
        <w:rPr>
          <w:rStyle w:val="Strong"/>
          <w:rFonts w:ascii="Arial" w:hAnsi="Arial" w:eastAsia="Arial" w:cs="Arial"/>
          <w:sz w:val="22"/>
          <w:szCs w:val="22"/>
        </w:rPr>
        <w:t>Illustrative Examples:</w:t>
      </w:r>
    </w:p>
    <w:p w:rsidR="29D76915" w:rsidP="5FF0A1E2" w:rsidRDefault="29D76915" w14:paraId="1076D322" w14:textId="4D5A9A6E">
      <w:pPr>
        <w:spacing w:before="240" w:beforeAutospacing="off" w:after="240" w:afterAutospacing="off" w:line="360" w:lineRule="auto"/>
        <w:rPr>
          <w:rFonts w:ascii="Arial" w:hAnsi="Arial" w:eastAsia="Arial" w:cs="Arial"/>
          <w:noProof w:val="0"/>
          <w:sz w:val="22"/>
          <w:szCs w:val="22"/>
          <w:lang w:val="en-GB"/>
        </w:rPr>
      </w:pPr>
      <w:r w:rsidRPr="5FF0A1E2" w:rsidR="29D76915">
        <w:rPr>
          <w:rFonts w:ascii="Arial" w:hAnsi="Arial" w:eastAsia="Arial" w:cs="Arial"/>
          <w:noProof w:val="0"/>
          <w:sz w:val="22"/>
          <w:szCs w:val="22"/>
          <w:lang w:val="en-GB"/>
        </w:rPr>
        <w:t>A UK case study of children with Type 1 diabetes found that inclusion improved significantly when schools adopted Individual Healthcare Plans and ensured communication between parents, nurses, and teachers (Fitzgerald et al., 2019). Conversely, a study of children with chronic fatigue syndrome showed that lack of flexibility in attendance policies led to prolonged disengagement and academic decline (Whitehead, 2020).</w:t>
      </w:r>
    </w:p>
    <w:p w:rsidR="29D76915" w:rsidP="5FF0A1E2" w:rsidRDefault="29D76915" w14:paraId="623D3EFC" w14:textId="5E55A019">
      <w:pPr>
        <w:spacing w:before="240" w:beforeAutospacing="off" w:after="240" w:afterAutospacing="off" w:line="360" w:lineRule="auto"/>
        <w:rPr>
          <w:rFonts w:ascii="Arial" w:hAnsi="Arial" w:eastAsia="Arial" w:cs="Arial"/>
          <w:noProof w:val="0"/>
          <w:sz w:val="22"/>
          <w:szCs w:val="22"/>
          <w:lang w:val="en-GB"/>
        </w:rPr>
      </w:pPr>
      <w:r w:rsidRPr="5FF0A1E2" w:rsidR="29D76915">
        <w:rPr>
          <w:rFonts w:ascii="Arial" w:hAnsi="Arial" w:eastAsia="Arial" w:cs="Arial"/>
          <w:noProof w:val="0"/>
          <w:sz w:val="22"/>
          <w:szCs w:val="22"/>
          <w:lang w:val="en-GB"/>
        </w:rPr>
        <w:t xml:space="preserve">These examples </w:t>
      </w:r>
      <w:r w:rsidRPr="5FF0A1E2" w:rsidR="29D76915">
        <w:rPr>
          <w:rFonts w:ascii="Arial" w:hAnsi="Arial" w:eastAsia="Arial" w:cs="Arial"/>
          <w:noProof w:val="0"/>
          <w:sz w:val="22"/>
          <w:szCs w:val="22"/>
          <w:lang w:val="en-GB"/>
        </w:rPr>
        <w:t>demonstrate</w:t>
      </w:r>
      <w:r w:rsidRPr="5FF0A1E2" w:rsidR="29D76915">
        <w:rPr>
          <w:rFonts w:ascii="Arial" w:hAnsi="Arial" w:eastAsia="Arial" w:cs="Arial"/>
          <w:noProof w:val="0"/>
          <w:sz w:val="22"/>
          <w:szCs w:val="22"/>
          <w:lang w:val="en-GB"/>
        </w:rPr>
        <w:t xml:space="preserve"> that inclusion is effective when implemented holistically, but detrimental when applied inconsistently or superficially.</w:t>
      </w:r>
    </w:p>
    <w:p w:rsidRPr="007063BA" w:rsidR="007063BA" w:rsidP="5FF0A1E2" w:rsidRDefault="007063BA" w14:paraId="6F12E895" w14:textId="77777777" w14:noSpellErr="1">
      <w:pPr>
        <w:pStyle w:val="Heading4"/>
        <w:spacing w:line="360" w:lineRule="auto"/>
        <w:rPr>
          <w:rFonts w:ascii="Arial" w:hAnsi="Arial" w:eastAsia="Arial" w:cs="Arial"/>
          <w:sz w:val="22"/>
          <w:szCs w:val="22"/>
        </w:rPr>
      </w:pPr>
      <w:r w:rsidRPr="5FF0A1E2" w:rsidR="00BEB5B3">
        <w:rPr>
          <w:rFonts w:ascii="Arial" w:hAnsi="Arial" w:eastAsia="Arial" w:cs="Arial"/>
          <w:sz w:val="22"/>
          <w:szCs w:val="22"/>
        </w:rPr>
        <w:t>Connections to Other Themes</w:t>
      </w:r>
    </w:p>
    <w:p w:rsidR="5FF0A1E2" w:rsidP="5FF0A1E2" w:rsidRDefault="5FF0A1E2" w14:paraId="4DB5FD0B" w14:textId="3B604CEB">
      <w:pPr>
        <w:spacing w:beforeAutospacing="on" w:afterAutospacing="on" w:line="360" w:lineRule="auto"/>
        <w:ind w:left="0"/>
        <w:jc w:val="left"/>
        <w:rPr>
          <w:rStyle w:val="Strong"/>
          <w:rFonts w:ascii="Arial" w:hAnsi="Arial" w:eastAsia="Arial" w:cs="Arial"/>
          <w:sz w:val="22"/>
          <w:szCs w:val="22"/>
        </w:rPr>
      </w:pPr>
    </w:p>
    <w:p w:rsidRPr="007063BA" w:rsidR="007063BA" w:rsidP="5FF0A1E2" w:rsidRDefault="007063BA" w14:paraId="43719B6F"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00BEB5B3">
        <w:rPr>
          <w:rStyle w:val="Strong"/>
          <w:rFonts w:ascii="Arial" w:hAnsi="Arial" w:eastAsia="Arial" w:cs="Arial"/>
          <w:sz w:val="22"/>
          <w:szCs w:val="22"/>
        </w:rPr>
        <w:t>Interconnections:</w:t>
      </w:r>
    </w:p>
    <w:p w:rsidR="70F884A0" w:rsidP="5FF0A1E2" w:rsidRDefault="70F884A0" w14:paraId="0A691A8C" w14:textId="43F5D438">
      <w:pPr>
        <w:spacing w:before="240" w:beforeAutospacing="off" w:after="240" w:afterAutospacing="off" w:line="360" w:lineRule="auto"/>
        <w:rPr>
          <w:rFonts w:ascii="Arial" w:hAnsi="Arial" w:eastAsia="Arial" w:cs="Arial"/>
          <w:noProof w:val="0"/>
          <w:sz w:val="22"/>
          <w:szCs w:val="22"/>
          <w:lang w:val="en-GB"/>
        </w:rPr>
      </w:pPr>
      <w:r w:rsidRPr="5FF0A1E2" w:rsidR="70F884A0">
        <w:rPr>
          <w:rFonts w:ascii="Arial" w:hAnsi="Arial" w:eastAsia="Arial" w:cs="Arial"/>
          <w:noProof w:val="0"/>
          <w:sz w:val="22"/>
          <w:szCs w:val="22"/>
          <w:lang w:val="en-GB"/>
        </w:rPr>
        <w:t>This theme links closely with:</w:t>
      </w:r>
    </w:p>
    <w:p w:rsidR="70F884A0" w:rsidP="5FF0A1E2" w:rsidRDefault="70F884A0" w14:paraId="090840D5" w14:textId="6DE79259">
      <w:pPr>
        <w:pStyle w:val="ListParagraph"/>
        <w:numPr>
          <w:ilvl w:val="0"/>
          <w:numId w:val="106"/>
        </w:numPr>
        <w:spacing w:before="240" w:beforeAutospacing="off" w:after="240" w:afterAutospacing="off" w:line="360" w:lineRule="auto"/>
        <w:rPr>
          <w:rFonts w:ascii="Arial" w:hAnsi="Arial" w:eastAsia="Arial" w:cs="Arial"/>
          <w:noProof w:val="0"/>
          <w:sz w:val="22"/>
          <w:szCs w:val="22"/>
          <w:lang w:val="en-GB"/>
        </w:rPr>
      </w:pPr>
      <w:r w:rsidRPr="5FF0A1E2" w:rsidR="70F884A0">
        <w:rPr>
          <w:rFonts w:ascii="Arial" w:hAnsi="Arial" w:eastAsia="Arial" w:cs="Arial"/>
          <w:b w:val="1"/>
          <w:bCs w:val="1"/>
          <w:noProof w:val="0"/>
          <w:sz w:val="22"/>
          <w:szCs w:val="22"/>
          <w:lang w:val="en-GB"/>
        </w:rPr>
        <w:t>Theme 2 – Collaboration between Education and Healthcare</w:t>
      </w:r>
      <w:r w:rsidRPr="5FF0A1E2" w:rsidR="70F884A0">
        <w:rPr>
          <w:rFonts w:ascii="Arial" w:hAnsi="Arial" w:eastAsia="Arial" w:cs="Arial"/>
          <w:noProof w:val="0"/>
          <w:sz w:val="22"/>
          <w:szCs w:val="22"/>
          <w:lang w:val="en-GB"/>
        </w:rPr>
        <w:t xml:space="preserve">: Inclusion relies on </w:t>
      </w:r>
      <w:r w:rsidRPr="5FF0A1E2" w:rsidR="70F884A0">
        <w:rPr>
          <w:rFonts w:ascii="Arial" w:hAnsi="Arial" w:eastAsia="Arial" w:cs="Arial"/>
          <w:noProof w:val="0"/>
          <w:sz w:val="22"/>
          <w:szCs w:val="22"/>
          <w:lang w:val="en-GB"/>
        </w:rPr>
        <w:t>strong communication</w:t>
      </w:r>
      <w:r w:rsidRPr="5FF0A1E2" w:rsidR="70F884A0">
        <w:rPr>
          <w:rFonts w:ascii="Arial" w:hAnsi="Arial" w:eastAsia="Arial" w:cs="Arial"/>
          <w:noProof w:val="0"/>
          <w:sz w:val="22"/>
          <w:szCs w:val="22"/>
          <w:lang w:val="en-GB"/>
        </w:rPr>
        <w:t xml:space="preserve"> with medical professionals.</w:t>
      </w:r>
    </w:p>
    <w:p w:rsidR="70F884A0" w:rsidP="5FF0A1E2" w:rsidRDefault="70F884A0" w14:paraId="2C268661" w14:textId="71C83D58">
      <w:pPr>
        <w:pStyle w:val="ListParagraph"/>
        <w:numPr>
          <w:ilvl w:val="0"/>
          <w:numId w:val="106"/>
        </w:numPr>
        <w:spacing w:before="240" w:beforeAutospacing="off" w:after="240" w:afterAutospacing="off" w:line="360" w:lineRule="auto"/>
        <w:rPr>
          <w:rFonts w:ascii="Arial" w:hAnsi="Arial" w:eastAsia="Arial" w:cs="Arial"/>
          <w:noProof w:val="0"/>
          <w:sz w:val="22"/>
          <w:szCs w:val="22"/>
          <w:lang w:val="en-GB"/>
        </w:rPr>
      </w:pPr>
      <w:r w:rsidRPr="5FF0A1E2" w:rsidR="70F884A0">
        <w:rPr>
          <w:rFonts w:ascii="Arial" w:hAnsi="Arial" w:eastAsia="Arial" w:cs="Arial"/>
          <w:b w:val="1"/>
          <w:bCs w:val="1"/>
          <w:noProof w:val="0"/>
          <w:sz w:val="22"/>
          <w:szCs w:val="22"/>
          <w:lang w:val="en-GB"/>
        </w:rPr>
        <w:t>Theme 3 – Teacher Training and Confidence</w:t>
      </w:r>
      <w:r w:rsidRPr="5FF0A1E2" w:rsidR="70F884A0">
        <w:rPr>
          <w:rFonts w:ascii="Arial" w:hAnsi="Arial" w:eastAsia="Arial" w:cs="Arial"/>
          <w:noProof w:val="0"/>
          <w:sz w:val="22"/>
          <w:szCs w:val="22"/>
          <w:lang w:val="en-GB"/>
        </w:rPr>
        <w:t>: Teachers’ understanding of chronic illness directly affects inclusive practice.</w:t>
      </w:r>
    </w:p>
    <w:p w:rsidR="70F884A0" w:rsidP="5FF0A1E2" w:rsidRDefault="70F884A0" w14:paraId="247EC88C" w14:textId="4F06EF65">
      <w:pPr>
        <w:pStyle w:val="ListParagraph"/>
        <w:numPr>
          <w:ilvl w:val="0"/>
          <w:numId w:val="106"/>
        </w:numPr>
        <w:spacing w:before="240" w:beforeAutospacing="off" w:after="240" w:afterAutospacing="off" w:line="360" w:lineRule="auto"/>
        <w:rPr>
          <w:rFonts w:ascii="Arial" w:hAnsi="Arial" w:eastAsia="Arial" w:cs="Arial"/>
          <w:noProof w:val="0"/>
          <w:sz w:val="22"/>
          <w:szCs w:val="22"/>
          <w:lang w:val="en-GB"/>
        </w:rPr>
      </w:pPr>
      <w:r w:rsidRPr="5FF0A1E2" w:rsidR="70F884A0">
        <w:rPr>
          <w:rFonts w:ascii="Arial" w:hAnsi="Arial" w:eastAsia="Arial" w:cs="Arial"/>
          <w:b w:val="1"/>
          <w:bCs w:val="1"/>
          <w:noProof w:val="0"/>
          <w:sz w:val="22"/>
          <w:szCs w:val="22"/>
          <w:lang w:val="en-GB"/>
        </w:rPr>
        <w:t>Theme 4 – Environmental and Curriculum Adaptations</w:t>
      </w:r>
      <w:r w:rsidRPr="5FF0A1E2" w:rsidR="70F884A0">
        <w:rPr>
          <w:rFonts w:ascii="Arial" w:hAnsi="Arial" w:eastAsia="Arial" w:cs="Arial"/>
          <w:noProof w:val="0"/>
          <w:sz w:val="22"/>
          <w:szCs w:val="22"/>
          <w:lang w:val="en-GB"/>
        </w:rPr>
        <w:t>: Adjustments are practical expressions of inclusion.</w:t>
      </w:r>
    </w:p>
    <w:p w:rsidR="6AA4D716" w:rsidP="5FF0A1E2" w:rsidRDefault="6AA4D716" w14:paraId="0B2DC646" w14:textId="054D7036">
      <w:pPr>
        <w:pStyle w:val="Normal"/>
        <w:spacing w:before="240" w:beforeAutospacing="off" w:after="240" w:afterAutospacing="off" w:line="360" w:lineRule="auto"/>
        <w:rPr>
          <w:rFonts w:ascii="Arial" w:hAnsi="Arial" w:eastAsia="Arial" w:cs="Arial"/>
          <w:noProof w:val="0"/>
          <w:sz w:val="22"/>
          <w:szCs w:val="22"/>
          <w:lang w:val="en-GB"/>
        </w:rPr>
      </w:pPr>
      <w:r w:rsidRPr="5FF0A1E2" w:rsidR="6AA4D716">
        <w:rPr>
          <w:rFonts w:ascii="Arial" w:hAnsi="Arial" w:eastAsia="Arial" w:cs="Arial"/>
          <w:noProof w:val="0"/>
          <w:sz w:val="22"/>
          <w:szCs w:val="22"/>
          <w:lang w:val="en-GB"/>
        </w:rPr>
        <w:t xml:space="preserve">This theme contributes to Objective 1 by examining how inclusive educational policies and practices </w:t>
      </w:r>
      <w:r w:rsidRPr="5FF0A1E2" w:rsidR="6AA4D716">
        <w:rPr>
          <w:rFonts w:ascii="Arial" w:hAnsi="Arial" w:eastAsia="Arial" w:cs="Arial"/>
          <w:noProof w:val="0"/>
          <w:sz w:val="22"/>
          <w:szCs w:val="22"/>
          <w:lang w:val="en-GB"/>
        </w:rPr>
        <w:t>impact</w:t>
      </w:r>
      <w:r w:rsidRPr="5FF0A1E2" w:rsidR="6AA4D716">
        <w:rPr>
          <w:rFonts w:ascii="Arial" w:hAnsi="Arial" w:eastAsia="Arial" w:cs="Arial"/>
          <w:noProof w:val="0"/>
          <w:sz w:val="22"/>
          <w:szCs w:val="22"/>
          <w:lang w:val="en-GB"/>
        </w:rPr>
        <w:t xml:space="preserve"> the participation and learning outcomes of children with chronic illnesses. It also addresses the overarching aim by highlighting the systemic supports and gaps that affect </w:t>
      </w:r>
      <w:r w:rsidRPr="5FF0A1E2" w:rsidR="6AA4D716">
        <w:rPr>
          <w:rFonts w:ascii="Arial" w:hAnsi="Arial" w:eastAsia="Arial" w:cs="Arial"/>
          <w:noProof w:val="0"/>
          <w:sz w:val="22"/>
          <w:szCs w:val="22"/>
          <w:lang w:val="en-GB"/>
        </w:rPr>
        <w:t>equitable</w:t>
      </w:r>
      <w:r w:rsidRPr="5FF0A1E2" w:rsidR="6AA4D716">
        <w:rPr>
          <w:rFonts w:ascii="Arial" w:hAnsi="Arial" w:eastAsia="Arial" w:cs="Arial"/>
          <w:noProof w:val="0"/>
          <w:sz w:val="22"/>
          <w:szCs w:val="22"/>
          <w:lang w:val="en-GB"/>
        </w:rPr>
        <w:t xml:space="preserve"> access to education for this population. </w:t>
      </w:r>
      <w:r w:rsidRPr="5FF0A1E2" w:rsidR="6AA4D716">
        <w:rPr>
          <w:rFonts w:ascii="Arial" w:hAnsi="Arial" w:eastAsia="Arial" w:cs="Arial"/>
          <w:noProof w:val="0"/>
          <w:sz w:val="22"/>
          <w:szCs w:val="22"/>
          <w:lang w:val="en-GB"/>
        </w:rPr>
        <w:t>Together, these themes build a comprehensive picture of how schools support children with chronic illnesses.</w:t>
      </w:r>
      <w:r w:rsidRPr="5FF0A1E2" w:rsidR="7F76AFA2">
        <w:rPr>
          <w:rFonts w:ascii="Arial" w:hAnsi="Arial" w:eastAsia="Arial" w:cs="Arial"/>
          <w:noProof w:val="0"/>
          <w:sz w:val="22"/>
          <w:szCs w:val="22"/>
          <w:lang w:val="en-GB"/>
        </w:rPr>
        <w:t xml:space="preserve"> </w:t>
      </w:r>
    </w:p>
    <w:p w:rsidR="7F76AFA2" w:rsidP="5FF0A1E2" w:rsidRDefault="7F76AFA2" w14:paraId="645FA591" w14:textId="7E8FB7FE">
      <w:pPr>
        <w:pStyle w:val="Normal"/>
        <w:spacing w:before="240" w:beforeAutospacing="off" w:after="240" w:afterAutospacing="off" w:line="360" w:lineRule="auto"/>
        <w:rPr>
          <w:rFonts w:ascii="Arial" w:hAnsi="Arial" w:eastAsia="Arial" w:cs="Arial"/>
          <w:noProof w:val="0"/>
          <w:sz w:val="22"/>
          <w:szCs w:val="22"/>
          <w:lang w:val="en-GB"/>
        </w:rPr>
      </w:pPr>
      <w:r w:rsidRPr="5FF0A1E2" w:rsidR="7F76AFA2">
        <w:rPr>
          <w:rFonts w:ascii="Arial" w:hAnsi="Arial" w:eastAsia="Arial" w:cs="Arial"/>
          <w:noProof w:val="0"/>
          <w:sz w:val="22"/>
          <w:szCs w:val="22"/>
          <w:lang w:val="en-GB"/>
        </w:rPr>
        <w:t>These challenges in achieving inclusive education for children with chronic illnesses connect closely to the technological and accessibility barriers explored in the next theme, highlighting how both policy and practical constraints influence learning outcomes.</w:t>
      </w:r>
    </w:p>
    <w:p w:rsidR="001C3AF6" w:rsidP="5FF0A1E2" w:rsidRDefault="001C3AF6" w14:paraId="620F671D" w14:textId="09129F01">
      <w:pPr>
        <w:pStyle w:val="Heading2"/>
        <w:spacing w:line="360" w:lineRule="auto"/>
        <w:rPr>
          <w:rFonts w:ascii="Arial" w:hAnsi="Arial" w:eastAsia="Arial" w:cs="Arial"/>
          <w:sz w:val="28"/>
          <w:szCs w:val="28"/>
        </w:rPr>
      </w:pPr>
      <w:bookmarkStart w:name="_Toc2082569910" w:id="53846054"/>
      <w:r w:rsidRPr="5FF0A1E2" w:rsidR="676686AE">
        <w:rPr>
          <w:rFonts w:ascii="Arial" w:hAnsi="Arial" w:eastAsia="Arial" w:cs="Arial"/>
          <w:sz w:val="28"/>
          <w:szCs w:val="28"/>
        </w:rPr>
        <w:t>4.4 – Theme 2</w:t>
      </w:r>
      <w:r w:rsidRPr="5FF0A1E2" w:rsidR="4714EBDC">
        <w:rPr>
          <w:rFonts w:ascii="Arial" w:hAnsi="Arial" w:eastAsia="Arial" w:cs="Arial"/>
          <w:sz w:val="28"/>
          <w:szCs w:val="28"/>
        </w:rPr>
        <w:t xml:space="preserve"> – Digital Inequity and Barr</w:t>
      </w:r>
      <w:r w:rsidRPr="5FF0A1E2" w:rsidR="4714EBDC">
        <w:rPr>
          <w:rFonts w:ascii="Arial" w:hAnsi="Arial" w:eastAsia="Arial" w:cs="Arial"/>
          <w:sz w:val="28"/>
          <w:szCs w:val="28"/>
        </w:rPr>
        <w:t>iers to Access</w:t>
      </w:r>
      <w:bookmarkEnd w:id="53846054"/>
    </w:p>
    <w:p w:rsidRPr="00636D9A" w:rsidR="00636D9A" w:rsidP="5FF0A1E2" w:rsidRDefault="00636D9A" w14:paraId="35C7BB28" w14:textId="77777777" w14:noSpellErr="1">
      <w:pPr>
        <w:pStyle w:val="Heading1"/>
        <w:spacing w:line="360" w:lineRule="auto"/>
        <w:rPr>
          <w:rFonts w:ascii="Arial" w:hAnsi="Arial" w:eastAsia="Arial" w:cs="Arial"/>
          <w:sz w:val="22"/>
          <w:szCs w:val="22"/>
        </w:rPr>
      </w:pPr>
    </w:p>
    <w:p w:rsidRPr="007063BA" w:rsidR="002865F5" w:rsidP="5FF0A1E2" w:rsidRDefault="002865F5" w14:paraId="1B877AEB"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 xml:space="preserve">Definition </w:t>
      </w:r>
    </w:p>
    <w:p w:rsidRPr="007063BA" w:rsidR="002865F5" w:rsidP="5FF0A1E2" w:rsidRDefault="002865F5" w14:paraId="378351AE"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Definition:</w:t>
      </w:r>
    </w:p>
    <w:p w:rsidR="40BF6023" w:rsidP="5FF0A1E2" w:rsidRDefault="40BF6023" w14:paraId="0356F150" w14:textId="7F35EC54">
      <w:pPr>
        <w:pStyle w:val="Normal"/>
        <w:spacing w:line="360" w:lineRule="auto"/>
        <w:rPr>
          <w:rFonts w:ascii="Arial" w:hAnsi="Arial" w:eastAsia="Arial" w:cs="Arial"/>
          <w:noProof w:val="0"/>
          <w:sz w:val="22"/>
          <w:szCs w:val="22"/>
          <w:lang w:val="en-GB"/>
        </w:rPr>
      </w:pPr>
      <w:r w:rsidRPr="5FF0A1E2" w:rsidR="40BF6023">
        <w:rPr>
          <w:rFonts w:ascii="Arial" w:hAnsi="Arial" w:eastAsia="Arial" w:cs="Arial"/>
          <w:noProof w:val="0"/>
          <w:sz w:val="22"/>
          <w:szCs w:val="22"/>
          <w:lang w:val="en-GB"/>
        </w:rPr>
        <w:t>Digital inequality refers to the uneven distribution of access, skills, and opportunities associated with digital technologies (Gunkel, 2021). It extends beyond simple device ownership to include disparities in broadband connectivity, digital literacy, and the ability to meaningfully engage with online resources. In the context of contemporary research, the term also captures structural issues such as socioeconomic disadvantage, geographical limitations, and institutional underinvestment (Robinson et al., 2020). These elements collectively shape individuals’ online participation, influencing how effectively they can access information, public services, or educational content.</w:t>
      </w:r>
    </w:p>
    <w:p w:rsidRPr="007063BA" w:rsidR="002865F5" w:rsidP="5FF0A1E2" w:rsidRDefault="002865F5" w14:paraId="5B010C35"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Background Information</w:t>
      </w:r>
    </w:p>
    <w:p w:rsidR="5FF0A1E2" w:rsidP="5FF0A1E2" w:rsidRDefault="5FF0A1E2" w14:paraId="6C9F6EAF" w14:textId="07414061">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523E2B70"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Historical/Contextual Background:</w:t>
      </w:r>
    </w:p>
    <w:p w:rsidR="5FF0A1E2" w:rsidP="5FF0A1E2" w:rsidRDefault="5FF0A1E2" w14:paraId="1FC0091B" w14:textId="497249AA">
      <w:pPr>
        <w:pStyle w:val="Normal"/>
        <w:spacing w:line="360" w:lineRule="auto"/>
        <w:rPr>
          <w:rFonts w:ascii="Arial" w:hAnsi="Arial" w:eastAsia="Arial" w:cs="Arial"/>
          <w:noProof w:val="0"/>
          <w:sz w:val="22"/>
          <w:szCs w:val="22"/>
          <w:lang w:val="en-GB"/>
        </w:rPr>
      </w:pPr>
    </w:p>
    <w:p w:rsidR="13EBFC07" w:rsidP="5FF0A1E2" w:rsidRDefault="13EBFC07" w14:paraId="3B4B709B" w14:textId="6B8500CF">
      <w:pPr>
        <w:pStyle w:val="Normal"/>
        <w:spacing w:line="360" w:lineRule="auto"/>
        <w:rPr>
          <w:rFonts w:ascii="Arial" w:hAnsi="Arial" w:eastAsia="Arial" w:cs="Arial"/>
          <w:noProof w:val="0"/>
          <w:sz w:val="22"/>
          <w:szCs w:val="22"/>
          <w:lang w:val="en-GB"/>
        </w:rPr>
      </w:pPr>
      <w:r w:rsidRPr="5FF0A1E2" w:rsidR="13EBFC07">
        <w:rPr>
          <w:rFonts w:ascii="Arial" w:hAnsi="Arial" w:eastAsia="Arial" w:cs="Arial"/>
          <w:noProof w:val="0"/>
          <w:sz w:val="22"/>
          <w:szCs w:val="22"/>
          <w:lang w:val="en-GB"/>
        </w:rPr>
        <w:t xml:space="preserve">The concept of digital inequality </w:t>
      </w:r>
      <w:r w:rsidRPr="5FF0A1E2" w:rsidR="13EBFC07">
        <w:rPr>
          <w:rFonts w:ascii="Arial" w:hAnsi="Arial" w:eastAsia="Arial" w:cs="Arial"/>
          <w:noProof w:val="0"/>
          <w:sz w:val="22"/>
          <w:szCs w:val="22"/>
          <w:lang w:val="en-GB"/>
        </w:rPr>
        <w:t>emerged</w:t>
      </w:r>
      <w:r w:rsidRPr="5FF0A1E2" w:rsidR="13EBFC07">
        <w:rPr>
          <w:rFonts w:ascii="Arial" w:hAnsi="Arial" w:eastAsia="Arial" w:cs="Arial"/>
          <w:noProof w:val="0"/>
          <w:sz w:val="22"/>
          <w:szCs w:val="22"/>
          <w:lang w:val="en-GB"/>
        </w:rPr>
        <w:t xml:space="preserve"> during the late 1990s as governments and scholars began recognising the social divide created by rapid technological advancement (Warschauer, 2004). Early debates centred on the “digital divide,” primarily understood as a gap in device ownership. Over time, researchers emphasised that access alone was insufficient; users also needed relevant skills and contexts to benefit (van Dijk, 2020). The evolution of public services into online platforms</w:t>
      </w:r>
      <w:r w:rsidRPr="5FF0A1E2" w:rsidR="15D6F7DC">
        <w:rPr>
          <w:rFonts w:ascii="Arial" w:hAnsi="Arial" w:eastAsia="Arial" w:cs="Arial"/>
          <w:noProof w:val="0"/>
          <w:sz w:val="22"/>
          <w:szCs w:val="22"/>
          <w:lang w:val="en-GB"/>
        </w:rPr>
        <w:t xml:space="preserve"> </w:t>
      </w:r>
      <w:r w:rsidRPr="5FF0A1E2" w:rsidR="13EBFC07">
        <w:rPr>
          <w:rFonts w:ascii="Arial" w:hAnsi="Arial" w:eastAsia="Arial" w:cs="Arial"/>
          <w:noProof w:val="0"/>
          <w:sz w:val="22"/>
          <w:szCs w:val="22"/>
          <w:lang w:val="en-GB"/>
        </w:rPr>
        <w:t>such as healthcare portals, education systems, and welfare applications</w:t>
      </w:r>
      <w:r w:rsidRPr="5FF0A1E2" w:rsidR="0954D606">
        <w:rPr>
          <w:rFonts w:ascii="Arial" w:hAnsi="Arial" w:eastAsia="Arial" w:cs="Arial"/>
          <w:noProof w:val="0"/>
          <w:sz w:val="22"/>
          <w:szCs w:val="22"/>
          <w:lang w:val="en-GB"/>
        </w:rPr>
        <w:t xml:space="preserve"> </w:t>
      </w:r>
      <w:r w:rsidRPr="5FF0A1E2" w:rsidR="13EBFC07">
        <w:rPr>
          <w:rFonts w:ascii="Arial" w:hAnsi="Arial" w:eastAsia="Arial" w:cs="Arial"/>
          <w:noProof w:val="0"/>
          <w:sz w:val="22"/>
          <w:szCs w:val="22"/>
          <w:lang w:val="en-GB"/>
        </w:rPr>
        <w:t>has intensified the impact of digital inequality, making digital participation increasingly essential for everyday life (Helsper, 2021).</w:t>
      </w:r>
    </w:p>
    <w:p w:rsidRPr="007063BA" w:rsidR="002865F5" w:rsidP="5FF0A1E2" w:rsidRDefault="002865F5" w14:paraId="1800EAD5"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Impact on Research Question</w:t>
      </w:r>
    </w:p>
    <w:p w:rsidR="5FF0A1E2" w:rsidP="5FF0A1E2" w:rsidRDefault="5FF0A1E2" w14:paraId="7119245A" w14:textId="38272DC3">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763DACB1"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Relevance to Title/Research Question:</w:t>
      </w:r>
    </w:p>
    <w:p w:rsidR="52DD4550" w:rsidP="5FF0A1E2" w:rsidRDefault="52DD4550" w14:paraId="52850B84" w14:textId="4DC20E44">
      <w:pPr>
        <w:pStyle w:val="Normal"/>
        <w:spacing w:line="360" w:lineRule="auto"/>
        <w:rPr>
          <w:rFonts w:ascii="Arial" w:hAnsi="Arial" w:eastAsia="Arial" w:cs="Arial"/>
          <w:noProof w:val="0"/>
          <w:sz w:val="22"/>
          <w:szCs w:val="22"/>
          <w:lang w:val="en-GB"/>
        </w:rPr>
      </w:pPr>
      <w:r w:rsidRPr="5FF0A1E2" w:rsidR="52DD4550">
        <w:rPr>
          <w:rFonts w:ascii="Arial" w:hAnsi="Arial" w:eastAsia="Arial" w:cs="Arial"/>
          <w:noProof w:val="0"/>
          <w:sz w:val="22"/>
          <w:szCs w:val="22"/>
          <w:lang w:val="en-GB"/>
        </w:rPr>
        <w:t xml:space="preserve">This theme has direct relevance to the research question because digital inequality affects individuals’ ability to engage with the phenomenon being studied. Whether the topic concerns young people, health users, vulnerable adults, or service access, unequal digital engagement shapes outcomes, behaviours, and experiences (Seifert et al., 2021). If the research question focuses on </w:t>
      </w:r>
      <w:r w:rsidRPr="5FF0A1E2" w:rsidR="52DD4550">
        <w:rPr>
          <w:rFonts w:ascii="Arial" w:hAnsi="Arial" w:eastAsia="Arial" w:cs="Arial"/>
          <w:noProof w:val="0"/>
          <w:sz w:val="22"/>
          <w:szCs w:val="22"/>
          <w:lang w:val="en-GB"/>
        </w:rPr>
        <w:t>perceptions</w:t>
      </w:r>
      <w:r w:rsidRPr="5FF0A1E2" w:rsidR="52DD4550">
        <w:rPr>
          <w:rFonts w:ascii="Arial" w:hAnsi="Arial" w:eastAsia="Arial" w:cs="Arial"/>
          <w:noProof w:val="0"/>
          <w:sz w:val="22"/>
          <w:szCs w:val="22"/>
          <w:lang w:val="en-GB"/>
        </w:rPr>
        <w:t>, barriers, or effectiveness of digital interventions, this theme is central in explaining why outcomes differ across demographic groups. Understanding digital barriers therefore helps clarify whether challenges arise from technology itself or from broader social and economic disparities.</w:t>
      </w:r>
    </w:p>
    <w:p w:rsidR="46CA9545" w:rsidP="5FF0A1E2" w:rsidRDefault="46CA9545" w14:paraId="7C0B03FC" w14:textId="51DB4099">
      <w:pPr>
        <w:pStyle w:val="Normal"/>
        <w:spacing w:line="360" w:lineRule="auto"/>
        <w:rPr>
          <w:rFonts w:ascii="Arial" w:hAnsi="Arial" w:eastAsia="Arial" w:cs="Arial"/>
          <w:noProof w:val="0"/>
          <w:sz w:val="22"/>
          <w:szCs w:val="22"/>
          <w:lang w:val="en-GB"/>
        </w:rPr>
      </w:pPr>
      <w:r w:rsidRPr="5FF0A1E2" w:rsidR="46CA9545">
        <w:rPr>
          <w:rFonts w:ascii="Arial" w:hAnsi="Arial" w:eastAsia="Arial" w:cs="Arial"/>
          <w:noProof w:val="0"/>
          <w:sz w:val="22"/>
          <w:szCs w:val="22"/>
          <w:lang w:val="en-GB"/>
        </w:rPr>
        <w:t xml:space="preserve">The implications for educational practice include the need for targeted interventions, such as providing devices, subsidised internet access, and digital skills training for both pupils and families. Schools must assess individual needs to ensure that chronically ill children can fully </w:t>
      </w:r>
      <w:r w:rsidRPr="5FF0A1E2" w:rsidR="46CA9545">
        <w:rPr>
          <w:rFonts w:ascii="Arial" w:hAnsi="Arial" w:eastAsia="Arial" w:cs="Arial"/>
          <w:noProof w:val="0"/>
          <w:sz w:val="22"/>
          <w:szCs w:val="22"/>
          <w:lang w:val="en-GB"/>
        </w:rPr>
        <w:t>participate</w:t>
      </w:r>
      <w:r w:rsidRPr="5FF0A1E2" w:rsidR="46CA9545">
        <w:rPr>
          <w:rFonts w:ascii="Arial" w:hAnsi="Arial" w:eastAsia="Arial" w:cs="Arial"/>
          <w:noProof w:val="0"/>
          <w:sz w:val="22"/>
          <w:szCs w:val="22"/>
          <w:lang w:val="en-GB"/>
        </w:rPr>
        <w:t xml:space="preserve"> in digital learning, thereby reducing inequalities in educational outcomes.</w:t>
      </w:r>
    </w:p>
    <w:p w:rsidRPr="007063BA" w:rsidR="002865F5" w:rsidP="5FF0A1E2" w:rsidRDefault="002865F5" w14:paraId="2CA6F7EB"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Statistical Information</w:t>
      </w:r>
    </w:p>
    <w:p w:rsidR="5FF0A1E2" w:rsidP="5FF0A1E2" w:rsidRDefault="5FF0A1E2" w14:paraId="34084C78" w14:textId="6CBCD7F8">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1C81AACB"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Data and Statistics:</w:t>
      </w:r>
    </w:p>
    <w:p w:rsidR="5FF0A1E2" w:rsidP="5FF0A1E2" w:rsidRDefault="5FF0A1E2" w14:paraId="326EE5FC" w14:textId="61F11EE1">
      <w:pPr>
        <w:pStyle w:val="Normal"/>
        <w:spacing w:line="360" w:lineRule="auto"/>
        <w:rPr>
          <w:rFonts w:ascii="Arial" w:hAnsi="Arial" w:eastAsia="Arial" w:cs="Arial"/>
          <w:noProof w:val="0"/>
          <w:sz w:val="22"/>
          <w:szCs w:val="22"/>
          <w:lang w:val="en-GB"/>
        </w:rPr>
      </w:pPr>
    </w:p>
    <w:p w:rsidR="182753FF" w:rsidP="5FF0A1E2" w:rsidRDefault="182753FF" w14:paraId="3728E84D" w14:textId="28B426E9">
      <w:pPr>
        <w:pStyle w:val="Normal"/>
        <w:spacing w:line="360" w:lineRule="auto"/>
        <w:rPr>
          <w:rFonts w:ascii="Arial" w:hAnsi="Arial" w:eastAsia="Arial" w:cs="Arial"/>
          <w:noProof w:val="0"/>
          <w:sz w:val="22"/>
          <w:szCs w:val="22"/>
          <w:lang w:val="en-GB"/>
        </w:rPr>
      </w:pPr>
      <w:r w:rsidRPr="5FF0A1E2" w:rsidR="182753FF">
        <w:rPr>
          <w:rFonts w:ascii="Arial" w:hAnsi="Arial" w:eastAsia="Arial" w:cs="Arial"/>
          <w:noProof w:val="0"/>
          <w:sz w:val="22"/>
          <w:szCs w:val="22"/>
          <w:lang w:val="en-GB"/>
        </w:rPr>
        <w:t xml:space="preserve">Recent statistics continue to </w:t>
      </w:r>
      <w:r w:rsidRPr="5FF0A1E2" w:rsidR="182753FF">
        <w:rPr>
          <w:rFonts w:ascii="Arial" w:hAnsi="Arial" w:eastAsia="Arial" w:cs="Arial"/>
          <w:noProof w:val="0"/>
          <w:sz w:val="22"/>
          <w:szCs w:val="22"/>
          <w:lang w:val="en-GB"/>
        </w:rPr>
        <w:t>demonstrate</w:t>
      </w:r>
      <w:r w:rsidRPr="5FF0A1E2" w:rsidR="182753FF">
        <w:rPr>
          <w:rFonts w:ascii="Arial" w:hAnsi="Arial" w:eastAsia="Arial" w:cs="Arial"/>
          <w:noProof w:val="0"/>
          <w:sz w:val="22"/>
          <w:szCs w:val="22"/>
          <w:lang w:val="en-GB"/>
        </w:rPr>
        <w:t xml:space="preserve"> the significance of digital inequality. For example, the UK Office for National Statistics reported that approximately </w:t>
      </w:r>
      <w:r w:rsidRPr="5FF0A1E2" w:rsidR="182753FF">
        <w:rPr>
          <w:rFonts w:ascii="Arial" w:hAnsi="Arial" w:eastAsia="Arial" w:cs="Arial"/>
          <w:b w:val="0"/>
          <w:bCs w:val="0"/>
          <w:noProof w:val="0"/>
          <w:sz w:val="22"/>
          <w:szCs w:val="22"/>
          <w:lang w:val="en-GB"/>
        </w:rPr>
        <w:t xml:space="preserve">6% of UK adults </w:t>
      </w:r>
      <w:r w:rsidRPr="5FF0A1E2" w:rsidR="182753FF">
        <w:rPr>
          <w:rFonts w:ascii="Arial" w:hAnsi="Arial" w:eastAsia="Arial" w:cs="Arial"/>
          <w:b w:val="0"/>
          <w:bCs w:val="0"/>
          <w:noProof w:val="0"/>
          <w:sz w:val="22"/>
          <w:szCs w:val="22"/>
          <w:lang w:val="en-GB"/>
        </w:rPr>
        <w:t>remain</w:t>
      </w:r>
      <w:r w:rsidRPr="5FF0A1E2" w:rsidR="182753FF">
        <w:rPr>
          <w:rFonts w:ascii="Arial" w:hAnsi="Arial" w:eastAsia="Arial" w:cs="Arial"/>
          <w:b w:val="0"/>
          <w:bCs w:val="0"/>
          <w:noProof w:val="0"/>
          <w:sz w:val="22"/>
          <w:szCs w:val="22"/>
          <w:lang w:val="en-GB"/>
        </w:rPr>
        <w:t xml:space="preserve"> non-internet users</w:t>
      </w:r>
      <w:r w:rsidRPr="5FF0A1E2" w:rsidR="182753FF">
        <w:rPr>
          <w:rFonts w:ascii="Arial" w:hAnsi="Arial" w:eastAsia="Arial" w:cs="Arial"/>
          <w:b w:val="0"/>
          <w:bCs w:val="0"/>
          <w:noProof w:val="0"/>
          <w:sz w:val="22"/>
          <w:szCs w:val="22"/>
          <w:lang w:val="en-GB"/>
        </w:rPr>
        <w:t>,</w:t>
      </w:r>
      <w:r w:rsidRPr="5FF0A1E2" w:rsidR="182753FF">
        <w:rPr>
          <w:rFonts w:ascii="Arial" w:hAnsi="Arial" w:eastAsia="Arial" w:cs="Arial"/>
          <w:noProof w:val="0"/>
          <w:sz w:val="22"/>
          <w:szCs w:val="22"/>
          <w:lang w:val="en-GB"/>
        </w:rPr>
        <w:t xml:space="preserve"> with higher rates found among low-income, older, or disabled groups (ONS, 2023). Additionally, households in the lowest income bracket are </w:t>
      </w:r>
      <w:r w:rsidRPr="5FF0A1E2" w:rsidR="182753FF">
        <w:rPr>
          <w:rFonts w:ascii="Arial" w:hAnsi="Arial" w:eastAsia="Arial" w:cs="Arial"/>
          <w:b w:val="0"/>
          <w:bCs w:val="0"/>
          <w:noProof w:val="0"/>
          <w:sz w:val="22"/>
          <w:szCs w:val="22"/>
          <w:lang w:val="en-GB"/>
        </w:rPr>
        <w:t>four times more likely</w:t>
      </w:r>
      <w:r w:rsidRPr="5FF0A1E2" w:rsidR="182753FF">
        <w:rPr>
          <w:rFonts w:ascii="Arial" w:hAnsi="Arial" w:eastAsia="Arial" w:cs="Arial"/>
          <w:noProof w:val="0"/>
          <w:sz w:val="22"/>
          <w:szCs w:val="22"/>
          <w:lang w:val="en-GB"/>
        </w:rPr>
        <w:t xml:space="preserve"> to experience digital exclusion compared to high-income households (Good Things Foundation, 2022). These figures highlight the persistence of structural inequality despite widespread digitalisation. Controversies arise around whether digital exclusion is a temporary generational issue or a long-term socioeconomic divide, with growing evidence supporting the latter view (</w:t>
      </w:r>
      <w:r w:rsidRPr="5FF0A1E2" w:rsidR="182753FF">
        <w:rPr>
          <w:rFonts w:ascii="Arial" w:hAnsi="Arial" w:eastAsia="Arial" w:cs="Arial"/>
          <w:noProof w:val="0"/>
          <w:sz w:val="22"/>
          <w:szCs w:val="22"/>
          <w:lang w:val="en-GB"/>
        </w:rPr>
        <w:t>Hargittai</w:t>
      </w:r>
      <w:r w:rsidRPr="5FF0A1E2" w:rsidR="182753FF">
        <w:rPr>
          <w:rFonts w:ascii="Arial" w:hAnsi="Arial" w:eastAsia="Arial" w:cs="Arial"/>
          <w:noProof w:val="0"/>
          <w:sz w:val="22"/>
          <w:szCs w:val="22"/>
          <w:lang w:val="en-GB"/>
        </w:rPr>
        <w:t xml:space="preserve"> et al., 2022).</w:t>
      </w:r>
    </w:p>
    <w:p w:rsidR="7E7065BA" w:rsidP="5FF0A1E2" w:rsidRDefault="7E7065BA" w14:paraId="6171B25C" w14:textId="541233B6">
      <w:pPr>
        <w:spacing w:before="240" w:beforeAutospacing="off" w:after="240" w:afterAutospacing="off" w:line="360" w:lineRule="auto"/>
        <w:rPr>
          <w:rFonts w:ascii="Arial" w:hAnsi="Arial" w:eastAsia="Arial" w:cs="Arial"/>
          <w:noProof w:val="0"/>
          <w:sz w:val="22"/>
          <w:szCs w:val="22"/>
          <w:lang w:val="en-GB"/>
        </w:rPr>
      </w:pPr>
      <w:r w:rsidRPr="5FF0A1E2" w:rsidR="7E7065BA">
        <w:rPr>
          <w:rFonts w:ascii="Arial" w:hAnsi="Arial" w:eastAsia="Arial" w:cs="Arial"/>
          <w:noProof w:val="0"/>
          <w:sz w:val="22"/>
          <w:szCs w:val="22"/>
          <w:lang w:val="en-GB"/>
        </w:rPr>
        <w:t xml:space="preserve">The COVID-19 pandemic highlighted and </w:t>
      </w:r>
      <w:r w:rsidRPr="5FF0A1E2" w:rsidR="7E7065BA">
        <w:rPr>
          <w:rFonts w:ascii="Arial" w:hAnsi="Arial" w:eastAsia="Arial" w:cs="Arial"/>
          <w:noProof w:val="0"/>
          <w:sz w:val="22"/>
          <w:szCs w:val="22"/>
          <w:lang w:val="en-GB"/>
        </w:rPr>
        <w:t>exacerbated</w:t>
      </w:r>
      <w:r w:rsidRPr="5FF0A1E2" w:rsidR="7E7065BA">
        <w:rPr>
          <w:rFonts w:ascii="Arial" w:hAnsi="Arial" w:eastAsia="Arial" w:cs="Arial"/>
          <w:noProof w:val="0"/>
          <w:sz w:val="22"/>
          <w:szCs w:val="22"/>
          <w:lang w:val="en-GB"/>
        </w:rPr>
        <w:t xml:space="preserve"> digital inequities, disproportionately affecting chronically ill children who rely on remote learning (Andrew et al., 2020; Good Things Foundation, 2022). While Greenhalgh, </w:t>
      </w:r>
      <w:r w:rsidRPr="5FF0A1E2" w:rsidR="7E7065BA">
        <w:rPr>
          <w:rFonts w:ascii="Arial" w:hAnsi="Arial" w:eastAsia="Arial" w:cs="Arial"/>
          <w:noProof w:val="0"/>
          <w:sz w:val="22"/>
          <w:szCs w:val="22"/>
          <w:lang w:val="en-GB"/>
        </w:rPr>
        <w:t>Wherton</w:t>
      </w:r>
      <w:r w:rsidRPr="5FF0A1E2" w:rsidR="7E7065BA">
        <w:rPr>
          <w:rFonts w:ascii="Arial" w:hAnsi="Arial" w:eastAsia="Arial" w:cs="Arial"/>
          <w:noProof w:val="0"/>
          <w:sz w:val="22"/>
          <w:szCs w:val="22"/>
          <w:lang w:val="en-GB"/>
        </w:rPr>
        <w:t xml:space="preserve"> and Shaw (2021) argue that digital learning offers flexibility and continuity, </w:t>
      </w:r>
      <w:r w:rsidRPr="5FF0A1E2" w:rsidR="7E7065BA">
        <w:rPr>
          <w:rFonts w:ascii="Arial" w:hAnsi="Arial" w:eastAsia="Arial" w:cs="Arial"/>
          <w:noProof w:val="0"/>
          <w:sz w:val="22"/>
          <w:szCs w:val="22"/>
          <w:lang w:val="en-GB"/>
        </w:rPr>
        <w:t>Hargittai</w:t>
      </w:r>
      <w:r w:rsidRPr="5FF0A1E2" w:rsidR="7E7065BA">
        <w:rPr>
          <w:rFonts w:ascii="Arial" w:hAnsi="Arial" w:eastAsia="Arial" w:cs="Arial"/>
          <w:noProof w:val="0"/>
          <w:sz w:val="22"/>
          <w:szCs w:val="22"/>
          <w:lang w:val="en-GB"/>
        </w:rPr>
        <w:t xml:space="preserve"> et al. (2022) contend that socio-economic factors, access to devices, and digital literacy significantly limit participation. This suggests that digital solutions alone cannot ensure equitable educational access.</w:t>
      </w:r>
    </w:p>
    <w:p w:rsidR="7E7065BA" w:rsidP="5FF0A1E2" w:rsidRDefault="7E7065BA" w14:paraId="1CFE35B2" w14:textId="16B7BD84">
      <w:pPr>
        <w:spacing w:before="240" w:beforeAutospacing="off" w:after="240" w:afterAutospacing="off" w:line="360" w:lineRule="auto"/>
        <w:rPr>
          <w:rFonts w:ascii="Arial" w:hAnsi="Arial" w:eastAsia="Arial" w:cs="Arial"/>
          <w:noProof w:val="0"/>
          <w:sz w:val="22"/>
          <w:szCs w:val="22"/>
          <w:lang w:val="en-GB"/>
        </w:rPr>
      </w:pPr>
      <w:r w:rsidRPr="5FF0A1E2" w:rsidR="7E7065BA">
        <w:rPr>
          <w:rFonts w:ascii="Arial" w:hAnsi="Arial" w:eastAsia="Arial" w:cs="Arial"/>
          <w:noProof w:val="0"/>
          <w:sz w:val="22"/>
          <w:szCs w:val="22"/>
          <w:lang w:val="en-GB"/>
        </w:rPr>
        <w:t xml:space="preserve">Authors largely agree that barriers are not purely technological; they are compounded by home support, school infrastructure, and the skills of teaching staff (Robinson et al., 2020; Helsper, 2021). However, some studies report conflicting perspectives on the severity of the impact: for example, Lloyds Bank (2023) highlights improvements in digital device provision, whereas ONS (2023) statistics reveal persistent gaps in connectivity and usage. This </w:t>
      </w:r>
      <w:r w:rsidRPr="5FF0A1E2" w:rsidR="7E7065BA">
        <w:rPr>
          <w:rFonts w:ascii="Arial" w:hAnsi="Arial" w:eastAsia="Arial" w:cs="Arial"/>
          <w:noProof w:val="0"/>
          <w:sz w:val="22"/>
          <w:szCs w:val="22"/>
          <w:lang w:val="en-GB"/>
        </w:rPr>
        <w:t>indicates</w:t>
      </w:r>
      <w:r w:rsidRPr="5FF0A1E2" w:rsidR="7E7065BA">
        <w:rPr>
          <w:rFonts w:ascii="Arial" w:hAnsi="Arial" w:eastAsia="Arial" w:cs="Arial"/>
          <w:noProof w:val="0"/>
          <w:sz w:val="22"/>
          <w:szCs w:val="22"/>
          <w:lang w:val="en-GB"/>
        </w:rPr>
        <w:t xml:space="preserve"> that initiatives aimed at closing the digital divide must consider both material resources and practical support for learners.</w:t>
      </w:r>
    </w:p>
    <w:p w:rsidRPr="007063BA" w:rsidR="002865F5" w:rsidP="5FF0A1E2" w:rsidRDefault="002865F5" w14:paraId="65CEAE38"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Theories, Policies, and Legislation</w:t>
      </w:r>
    </w:p>
    <w:p w:rsidR="5FF0A1E2" w:rsidP="5FF0A1E2" w:rsidRDefault="5FF0A1E2" w14:paraId="6AC3D0A1" w14:textId="3A780679">
      <w:pPr>
        <w:pStyle w:val="NormalWeb"/>
        <w:spacing w:line="360" w:lineRule="auto"/>
        <w:ind w:left="0"/>
        <w:rPr>
          <w:rStyle w:val="Strong"/>
          <w:rFonts w:ascii="Arial" w:hAnsi="Arial" w:eastAsia="Arial" w:cs="Arial"/>
          <w:sz w:val="22"/>
          <w:szCs w:val="22"/>
        </w:rPr>
      </w:pPr>
    </w:p>
    <w:p w:rsidRPr="007063BA" w:rsidR="002865F5" w:rsidP="5FF0A1E2" w:rsidRDefault="002865F5" w14:paraId="44FE8A36" w14:textId="77777777" w14:noSpellErr="1">
      <w:pPr>
        <w:pStyle w:val="NormalWeb"/>
        <w:spacing w:line="360" w:lineRule="auto"/>
        <w:ind w:left="0"/>
        <w:rPr>
          <w:rFonts w:ascii="Arial" w:hAnsi="Arial" w:eastAsia="Arial" w:cs="Arial"/>
          <w:sz w:val="22"/>
          <w:szCs w:val="22"/>
        </w:rPr>
      </w:pPr>
      <w:r w:rsidRPr="5FF0A1E2" w:rsidR="63A362F4">
        <w:rPr>
          <w:rStyle w:val="Strong"/>
          <w:rFonts w:ascii="Arial" w:hAnsi="Arial" w:eastAsia="Arial" w:cs="Arial"/>
          <w:sz w:val="22"/>
          <w:szCs w:val="22"/>
        </w:rPr>
        <w:t>Theoretical Framework:</w:t>
      </w:r>
    </w:p>
    <w:p w:rsidR="5FF0A1E2" w:rsidP="5FF0A1E2" w:rsidRDefault="5FF0A1E2" w14:paraId="3FA531F1" w14:textId="7C8A5FF2">
      <w:pPr>
        <w:pStyle w:val="NormalWeb"/>
        <w:spacing w:line="360" w:lineRule="auto"/>
        <w:ind w:left="0"/>
        <w:rPr>
          <w:rFonts w:ascii="Arial" w:hAnsi="Arial" w:eastAsia="Arial" w:cs="Arial"/>
          <w:noProof w:val="0"/>
          <w:sz w:val="22"/>
          <w:szCs w:val="22"/>
          <w:lang w:val="en-GB"/>
        </w:rPr>
      </w:pPr>
    </w:p>
    <w:p w:rsidR="03D3D132" w:rsidP="5FF0A1E2" w:rsidRDefault="03D3D132" w14:paraId="21C5D246" w14:textId="5C4136C6">
      <w:pPr>
        <w:pStyle w:val="NormalWeb"/>
        <w:spacing w:line="360" w:lineRule="auto"/>
        <w:ind w:left="0"/>
        <w:rPr>
          <w:rFonts w:ascii="Arial" w:hAnsi="Arial" w:eastAsia="Arial" w:cs="Arial"/>
          <w:noProof w:val="0"/>
          <w:sz w:val="22"/>
          <w:szCs w:val="22"/>
          <w:lang w:val="en-GB"/>
        </w:rPr>
      </w:pPr>
      <w:r w:rsidRPr="5FF0A1E2" w:rsidR="03D3D132">
        <w:rPr>
          <w:rFonts w:ascii="Arial" w:hAnsi="Arial" w:eastAsia="Arial" w:cs="Arial"/>
          <w:noProof w:val="0"/>
          <w:sz w:val="22"/>
          <w:szCs w:val="22"/>
          <w:lang w:val="en-GB"/>
        </w:rPr>
        <w:t xml:space="preserve">Van Dijk’s (2020) </w:t>
      </w:r>
      <w:r w:rsidRPr="5FF0A1E2" w:rsidR="03D3D132">
        <w:rPr>
          <w:rFonts w:ascii="Arial" w:hAnsi="Arial" w:eastAsia="Arial" w:cs="Arial"/>
          <w:b w:val="0"/>
          <w:bCs w:val="0"/>
          <w:noProof w:val="0"/>
          <w:sz w:val="22"/>
          <w:szCs w:val="22"/>
          <w:lang w:val="en-GB"/>
        </w:rPr>
        <w:t>Resources and Appropriation Theory</w:t>
      </w:r>
      <w:r w:rsidRPr="5FF0A1E2" w:rsidR="03D3D132">
        <w:rPr>
          <w:rFonts w:ascii="Arial" w:hAnsi="Arial" w:eastAsia="Arial" w:cs="Arial"/>
          <w:b w:val="0"/>
          <w:bCs w:val="0"/>
          <w:noProof w:val="0"/>
          <w:sz w:val="22"/>
          <w:szCs w:val="22"/>
          <w:lang w:val="en-GB"/>
        </w:rPr>
        <w:t xml:space="preserve"> </w:t>
      </w:r>
      <w:r w:rsidRPr="5FF0A1E2" w:rsidR="03D3D132">
        <w:rPr>
          <w:rFonts w:ascii="Arial" w:hAnsi="Arial" w:eastAsia="Arial" w:cs="Arial"/>
          <w:noProof w:val="0"/>
          <w:sz w:val="22"/>
          <w:szCs w:val="22"/>
          <w:lang w:val="en-GB"/>
        </w:rPr>
        <w:t>is highly relevant to this theme; it argues that digital inequality results from differences in personal, social, and positional resources. This theory helps explain how structural disadvantages intersect with digital access. Additionally</w:t>
      </w:r>
      <w:r w:rsidRPr="5FF0A1E2" w:rsidR="03D3D132">
        <w:rPr>
          <w:rFonts w:ascii="Arial" w:hAnsi="Arial" w:eastAsia="Arial" w:cs="Arial"/>
          <w:b w:val="0"/>
          <w:bCs w:val="0"/>
          <w:noProof w:val="0"/>
          <w:sz w:val="22"/>
          <w:szCs w:val="22"/>
          <w:lang w:val="en-GB"/>
        </w:rPr>
        <w:t xml:space="preserve">, </w:t>
      </w:r>
      <w:r w:rsidRPr="5FF0A1E2" w:rsidR="03D3D132">
        <w:rPr>
          <w:rFonts w:ascii="Arial" w:hAnsi="Arial" w:eastAsia="Arial" w:cs="Arial"/>
          <w:b w:val="0"/>
          <w:bCs w:val="0"/>
          <w:noProof w:val="0"/>
          <w:sz w:val="22"/>
          <w:szCs w:val="22"/>
          <w:lang w:val="en-GB"/>
        </w:rPr>
        <w:t>Social Capital Theory</w:t>
      </w:r>
      <w:r w:rsidRPr="5FF0A1E2" w:rsidR="03D3D132">
        <w:rPr>
          <w:rFonts w:ascii="Arial" w:hAnsi="Arial" w:eastAsia="Arial" w:cs="Arial"/>
          <w:noProof w:val="0"/>
          <w:sz w:val="22"/>
          <w:szCs w:val="22"/>
          <w:lang w:val="en-GB"/>
        </w:rPr>
        <w:t xml:space="preserve"> suggests that insufficient digital engagement restricts individuals’ ability to build networks, access information, and </w:t>
      </w:r>
      <w:r w:rsidRPr="5FF0A1E2" w:rsidR="03D3D132">
        <w:rPr>
          <w:rFonts w:ascii="Arial" w:hAnsi="Arial" w:eastAsia="Arial" w:cs="Arial"/>
          <w:noProof w:val="0"/>
          <w:sz w:val="22"/>
          <w:szCs w:val="22"/>
          <w:lang w:val="en-GB"/>
        </w:rPr>
        <w:t>participate</w:t>
      </w:r>
      <w:r w:rsidRPr="5FF0A1E2" w:rsidR="03D3D132">
        <w:rPr>
          <w:rFonts w:ascii="Arial" w:hAnsi="Arial" w:eastAsia="Arial" w:cs="Arial"/>
          <w:noProof w:val="0"/>
          <w:sz w:val="22"/>
          <w:szCs w:val="22"/>
          <w:lang w:val="en-GB"/>
        </w:rPr>
        <w:t xml:space="preserve"> in civic life (Putnam, 2000). These theories support the argument that digital inequality is deeply embedded in broader social structures, rather than being a purely technological issue.</w:t>
      </w:r>
    </w:p>
    <w:p w:rsidR="5FF0A1E2" w:rsidP="5FF0A1E2" w:rsidRDefault="5FF0A1E2" w14:paraId="5D7CD776" w14:textId="11207279">
      <w:pPr>
        <w:pStyle w:val="NormalWeb"/>
        <w:spacing w:line="360" w:lineRule="auto"/>
        <w:ind w:left="0"/>
        <w:rPr>
          <w:rStyle w:val="Strong"/>
          <w:rFonts w:ascii="Arial" w:hAnsi="Arial" w:eastAsia="Arial" w:cs="Arial"/>
          <w:sz w:val="22"/>
          <w:szCs w:val="22"/>
        </w:rPr>
      </w:pPr>
    </w:p>
    <w:p w:rsidRPr="007063BA" w:rsidR="002865F5" w:rsidP="5FF0A1E2" w:rsidRDefault="002865F5" w14:paraId="3A4B5435" w14:textId="77777777" w14:noSpellErr="1">
      <w:pPr>
        <w:pStyle w:val="NormalWeb"/>
        <w:spacing w:line="360" w:lineRule="auto"/>
        <w:ind w:left="0"/>
        <w:rPr>
          <w:rFonts w:ascii="Arial" w:hAnsi="Arial" w:eastAsia="Arial" w:cs="Arial"/>
          <w:sz w:val="22"/>
          <w:szCs w:val="22"/>
        </w:rPr>
      </w:pPr>
      <w:r w:rsidRPr="5FF0A1E2" w:rsidR="63A362F4">
        <w:rPr>
          <w:rStyle w:val="Strong"/>
          <w:rFonts w:ascii="Arial" w:hAnsi="Arial" w:eastAsia="Arial" w:cs="Arial"/>
          <w:sz w:val="22"/>
          <w:szCs w:val="22"/>
        </w:rPr>
        <w:t>Policy and Legislation:</w:t>
      </w:r>
    </w:p>
    <w:p w:rsidR="5FF0A1E2" w:rsidP="5FF0A1E2" w:rsidRDefault="5FF0A1E2" w14:paraId="2D87EEB7" w14:textId="09612C1B">
      <w:pPr>
        <w:pStyle w:val="Normal"/>
        <w:spacing w:line="360" w:lineRule="auto"/>
        <w:rPr>
          <w:rFonts w:ascii="Arial" w:hAnsi="Arial" w:eastAsia="Arial" w:cs="Arial"/>
          <w:noProof w:val="0"/>
          <w:sz w:val="22"/>
          <w:szCs w:val="22"/>
          <w:lang w:val="en-GB"/>
        </w:rPr>
      </w:pPr>
    </w:p>
    <w:p w:rsidR="13FBBC93" w:rsidP="5FF0A1E2" w:rsidRDefault="13FBBC93" w14:paraId="2499ACFB" w14:textId="14A91CED">
      <w:pPr>
        <w:pStyle w:val="Normal"/>
        <w:spacing w:line="360" w:lineRule="auto"/>
        <w:rPr>
          <w:rFonts w:ascii="Arial" w:hAnsi="Arial" w:eastAsia="Arial" w:cs="Arial"/>
          <w:noProof w:val="0"/>
          <w:sz w:val="22"/>
          <w:szCs w:val="22"/>
          <w:lang w:val="en-GB"/>
        </w:rPr>
      </w:pPr>
      <w:r w:rsidRPr="5FF0A1E2" w:rsidR="13FBBC93">
        <w:rPr>
          <w:rFonts w:ascii="Arial" w:hAnsi="Arial" w:eastAsia="Arial" w:cs="Arial"/>
          <w:noProof w:val="0"/>
          <w:sz w:val="22"/>
          <w:szCs w:val="22"/>
          <w:lang w:val="en-GB"/>
        </w:rPr>
        <w:t xml:space="preserve">In the UK, policies such as the </w:t>
      </w:r>
      <w:r w:rsidRPr="5FF0A1E2" w:rsidR="13FBBC93">
        <w:rPr>
          <w:rFonts w:ascii="Arial" w:hAnsi="Arial" w:eastAsia="Arial" w:cs="Arial"/>
          <w:b w:val="0"/>
          <w:bCs w:val="0"/>
          <w:noProof w:val="0"/>
          <w:sz w:val="22"/>
          <w:szCs w:val="22"/>
          <w:lang w:val="en-GB"/>
        </w:rPr>
        <w:t>Digital Skills Partnership (2017)</w:t>
      </w:r>
      <w:r w:rsidRPr="5FF0A1E2" w:rsidR="13FBBC93">
        <w:rPr>
          <w:rFonts w:ascii="Arial" w:hAnsi="Arial" w:eastAsia="Arial" w:cs="Arial"/>
          <w:b w:val="0"/>
          <w:bCs w:val="0"/>
          <w:noProof w:val="0"/>
          <w:sz w:val="22"/>
          <w:szCs w:val="22"/>
          <w:lang w:val="en-GB"/>
        </w:rPr>
        <w:t xml:space="preserve"> and the </w:t>
      </w:r>
      <w:r w:rsidRPr="5FF0A1E2" w:rsidR="13FBBC93">
        <w:rPr>
          <w:rFonts w:ascii="Arial" w:hAnsi="Arial" w:eastAsia="Arial" w:cs="Arial"/>
          <w:b w:val="0"/>
          <w:bCs w:val="0"/>
          <w:noProof w:val="0"/>
          <w:sz w:val="22"/>
          <w:szCs w:val="22"/>
          <w:lang w:val="en-GB"/>
        </w:rPr>
        <w:t>UK Digital Strategy (2021</w:t>
      </w:r>
      <w:r w:rsidRPr="5FF0A1E2" w:rsidR="13FBBC93">
        <w:rPr>
          <w:rFonts w:ascii="Arial" w:hAnsi="Arial" w:eastAsia="Arial" w:cs="Arial"/>
          <w:b w:val="1"/>
          <w:bCs w:val="1"/>
          <w:noProof w:val="0"/>
          <w:sz w:val="22"/>
          <w:szCs w:val="22"/>
          <w:lang w:val="en-GB"/>
        </w:rPr>
        <w:t>)</w:t>
      </w:r>
      <w:r w:rsidRPr="5FF0A1E2" w:rsidR="13FBBC93">
        <w:rPr>
          <w:rFonts w:ascii="Arial" w:hAnsi="Arial" w:eastAsia="Arial" w:cs="Arial"/>
          <w:noProof w:val="0"/>
          <w:sz w:val="22"/>
          <w:szCs w:val="22"/>
          <w:lang w:val="en-GB"/>
        </w:rPr>
        <w:t xml:space="preserve"> aim to reduce inequalities by improving broadband access and promoting essential digital skills. Legislation such as the </w:t>
      </w:r>
      <w:r w:rsidRPr="5FF0A1E2" w:rsidR="13FBBC93">
        <w:rPr>
          <w:rFonts w:ascii="Arial" w:hAnsi="Arial" w:eastAsia="Arial" w:cs="Arial"/>
          <w:b w:val="0"/>
          <w:bCs w:val="0"/>
          <w:noProof w:val="0"/>
          <w:sz w:val="22"/>
          <w:szCs w:val="22"/>
          <w:lang w:val="en-GB"/>
        </w:rPr>
        <w:t>Online Safety Act</w:t>
      </w:r>
      <w:r w:rsidRPr="5FF0A1E2" w:rsidR="13FBBC93">
        <w:rPr>
          <w:rFonts w:ascii="Arial" w:hAnsi="Arial" w:eastAsia="Arial" w:cs="Arial"/>
          <w:b w:val="0"/>
          <w:bCs w:val="0"/>
          <w:noProof w:val="0"/>
          <w:sz w:val="22"/>
          <w:szCs w:val="22"/>
          <w:lang w:val="en-GB"/>
        </w:rPr>
        <w:t xml:space="preserve"> and </w:t>
      </w:r>
      <w:r w:rsidRPr="5FF0A1E2" w:rsidR="13FBBC93">
        <w:rPr>
          <w:rFonts w:ascii="Arial" w:hAnsi="Arial" w:eastAsia="Arial" w:cs="Arial"/>
          <w:b w:val="0"/>
          <w:bCs w:val="0"/>
          <w:noProof w:val="0"/>
          <w:sz w:val="22"/>
          <w:szCs w:val="22"/>
          <w:lang w:val="en-GB"/>
        </w:rPr>
        <w:t>Equality Act 2010</w:t>
      </w:r>
      <w:r w:rsidRPr="5FF0A1E2" w:rsidR="13FBBC93">
        <w:rPr>
          <w:rFonts w:ascii="Arial" w:hAnsi="Arial" w:eastAsia="Arial" w:cs="Arial"/>
          <w:b w:val="0"/>
          <w:bCs w:val="0"/>
          <w:noProof w:val="0"/>
          <w:sz w:val="22"/>
          <w:szCs w:val="22"/>
          <w:lang w:val="en-GB"/>
        </w:rPr>
        <w:t xml:space="preserve"> i</w:t>
      </w:r>
      <w:r w:rsidRPr="5FF0A1E2" w:rsidR="13FBBC93">
        <w:rPr>
          <w:rFonts w:ascii="Arial" w:hAnsi="Arial" w:eastAsia="Arial" w:cs="Arial"/>
          <w:noProof w:val="0"/>
          <w:sz w:val="22"/>
          <w:szCs w:val="22"/>
          <w:lang w:val="en-GB"/>
        </w:rPr>
        <w:t xml:space="preserve">ndirectly affects digital participation by ensuring safer and more </w:t>
      </w:r>
      <w:r w:rsidRPr="5FF0A1E2" w:rsidR="13FBBC93">
        <w:rPr>
          <w:rFonts w:ascii="Arial" w:hAnsi="Arial" w:eastAsia="Arial" w:cs="Arial"/>
          <w:noProof w:val="0"/>
          <w:sz w:val="22"/>
          <w:szCs w:val="22"/>
          <w:lang w:val="en-GB"/>
        </w:rPr>
        <w:t>equitable</w:t>
      </w:r>
      <w:r w:rsidRPr="5FF0A1E2" w:rsidR="13FBBC93">
        <w:rPr>
          <w:rFonts w:ascii="Arial" w:hAnsi="Arial" w:eastAsia="Arial" w:cs="Arial"/>
          <w:noProof w:val="0"/>
          <w:sz w:val="22"/>
          <w:szCs w:val="22"/>
          <w:lang w:val="en-GB"/>
        </w:rPr>
        <w:t xml:space="preserve"> access to digital environments. However, critics argue that policy interventions often prioritise infrastructure over addressing deeper socioeconomic barriers, limiting their effectiveness (Lloyds Bank, 2023). This creates a policy gap where increased provision does not automatically translate into equal participation.</w:t>
      </w:r>
    </w:p>
    <w:p w:rsidRPr="007063BA" w:rsidR="002865F5" w:rsidP="5FF0A1E2" w:rsidRDefault="002865F5" w14:paraId="549E8E86"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Implications</w:t>
      </w:r>
    </w:p>
    <w:p w:rsidR="5FF0A1E2" w:rsidP="5FF0A1E2" w:rsidRDefault="5FF0A1E2" w14:paraId="2BDB23CC" w14:textId="20114DA8">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61CE84E4" w14:textId="77777777">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Positive and Negative Implications:</w:t>
      </w:r>
    </w:p>
    <w:p w:rsidR="5FF0A1E2" w:rsidP="5FF0A1E2" w:rsidRDefault="5FF0A1E2" w14:paraId="3676674F" w14:textId="46DE63A5">
      <w:pPr>
        <w:pStyle w:val="Normal"/>
        <w:spacing w:beforeAutospacing="on" w:afterAutospacing="on" w:line="360" w:lineRule="auto"/>
        <w:ind w:left="0"/>
        <w:jc w:val="left"/>
        <w:rPr>
          <w:rFonts w:ascii="Arial" w:hAnsi="Arial" w:eastAsia="Arial" w:cs="Arial"/>
          <w:noProof w:val="0"/>
          <w:sz w:val="22"/>
          <w:szCs w:val="22"/>
          <w:lang w:val="en-GB"/>
        </w:rPr>
      </w:pPr>
    </w:p>
    <w:p w:rsidR="2F5CEEAF" w:rsidP="5FF0A1E2" w:rsidRDefault="2F5CEEAF" w14:paraId="4A7388CD" w14:textId="2B097D09">
      <w:pPr>
        <w:pStyle w:val="Normal"/>
        <w:spacing w:beforeAutospacing="on" w:afterAutospacing="on" w:line="360" w:lineRule="auto"/>
        <w:ind w:left="0"/>
        <w:jc w:val="left"/>
        <w:rPr>
          <w:rFonts w:ascii="Arial" w:hAnsi="Arial" w:eastAsia="Arial" w:cs="Arial"/>
          <w:noProof w:val="0"/>
          <w:sz w:val="22"/>
          <w:szCs w:val="22"/>
          <w:lang w:val="en-GB"/>
        </w:rPr>
      </w:pPr>
      <w:r w:rsidRPr="5FF0A1E2" w:rsidR="2F5CEEAF">
        <w:rPr>
          <w:rFonts w:ascii="Arial" w:hAnsi="Arial" w:eastAsia="Arial" w:cs="Arial"/>
          <w:noProof w:val="0"/>
          <w:sz w:val="22"/>
          <w:szCs w:val="22"/>
          <w:lang w:val="en-GB"/>
        </w:rPr>
        <w:t>Reducing digital inequality can improve access to education, public services, employment opportunities, and social participation (Helsper, 2021). When individuals gain digital skills and reliable access, they are better able to navigate online systems, engage with digital platforms, and improve personal outcomes. In research contexts, understanding digital barriers allows for the development of more inclusive strategies and service interventions.</w:t>
      </w:r>
    </w:p>
    <w:p w:rsidR="5FF0A1E2" w:rsidP="5FF0A1E2" w:rsidRDefault="5FF0A1E2" w14:paraId="6A06F065" w14:textId="1F0BA1A2">
      <w:pPr>
        <w:pStyle w:val="Normal"/>
        <w:spacing w:beforeAutospacing="on" w:afterAutospacing="on" w:line="360" w:lineRule="auto"/>
        <w:ind w:left="0"/>
        <w:jc w:val="left"/>
        <w:rPr>
          <w:rFonts w:ascii="Arial" w:hAnsi="Arial" w:eastAsia="Arial" w:cs="Arial"/>
          <w:noProof w:val="0"/>
          <w:sz w:val="22"/>
          <w:szCs w:val="22"/>
          <w:lang w:val="en-GB"/>
        </w:rPr>
      </w:pPr>
    </w:p>
    <w:p w:rsidR="2F5CEEAF" w:rsidP="5FF0A1E2" w:rsidRDefault="2F5CEEAF" w14:paraId="2A6DA54C" w14:textId="121C7367">
      <w:pPr>
        <w:pStyle w:val="Normal"/>
        <w:spacing w:beforeAutospacing="on" w:afterAutospacing="on" w:line="360" w:lineRule="auto"/>
        <w:ind w:left="0"/>
        <w:jc w:val="left"/>
        <w:rPr>
          <w:rFonts w:ascii="Arial" w:hAnsi="Arial" w:eastAsia="Arial" w:cs="Arial"/>
          <w:noProof w:val="0"/>
          <w:sz w:val="22"/>
          <w:szCs w:val="22"/>
          <w:lang w:val="en-GB"/>
        </w:rPr>
      </w:pPr>
      <w:r w:rsidRPr="5FF0A1E2" w:rsidR="2F5CEEAF">
        <w:rPr>
          <w:rFonts w:ascii="Arial" w:hAnsi="Arial" w:eastAsia="Arial" w:cs="Arial"/>
          <w:noProof w:val="0"/>
          <w:sz w:val="22"/>
          <w:szCs w:val="22"/>
          <w:lang w:val="en-GB"/>
        </w:rPr>
        <w:t>On the other hand, persistent digital inequality can reinforce existing societal disadvantages. Those without adequate access or skills may face increased difficulty in accessing essential services, leading to poorer outcomes (Seifert et al., 2021). In research, failure to consider digital barriers could result in a skewed interpretation of findings, as digitally engaged populations may be overrepresented. This has implications for policy recommendations and intervention design.</w:t>
      </w:r>
    </w:p>
    <w:p w:rsidR="5FF0A1E2" w:rsidP="5FF0A1E2" w:rsidRDefault="5FF0A1E2" w14:paraId="4A3074D6" w14:textId="1E4CD1DA">
      <w:pPr>
        <w:pStyle w:val="Heading4"/>
        <w:spacing w:line="360" w:lineRule="auto"/>
        <w:rPr>
          <w:rFonts w:ascii="Arial" w:hAnsi="Arial" w:eastAsia="Arial" w:cs="Arial"/>
          <w:sz w:val="22"/>
          <w:szCs w:val="22"/>
        </w:rPr>
      </w:pPr>
    </w:p>
    <w:p w:rsidRPr="007063BA" w:rsidR="002865F5" w:rsidP="5FF0A1E2" w:rsidRDefault="002865F5" w14:paraId="1CDA4B37" w14:textId="64E42574">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Examples and Case Studies</w:t>
      </w:r>
    </w:p>
    <w:p w:rsidR="5FF0A1E2" w:rsidP="5FF0A1E2" w:rsidRDefault="5FF0A1E2" w14:paraId="617C59D6" w14:textId="681BF1F0">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7D84371F"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Illustrative Examples:</w:t>
      </w:r>
    </w:p>
    <w:p w:rsidR="5FF0A1E2" w:rsidP="5FF0A1E2" w:rsidRDefault="5FF0A1E2" w14:paraId="42D9F9FD" w14:textId="6AAAF242">
      <w:pPr>
        <w:pStyle w:val="Normal"/>
        <w:spacing w:line="360" w:lineRule="auto"/>
        <w:rPr>
          <w:rFonts w:ascii="Arial" w:hAnsi="Arial" w:eastAsia="Arial" w:cs="Arial"/>
          <w:noProof w:val="0"/>
          <w:sz w:val="22"/>
          <w:szCs w:val="22"/>
          <w:lang w:val="en-GB"/>
        </w:rPr>
      </w:pPr>
    </w:p>
    <w:p w:rsidR="73EA7FC2" w:rsidP="5FF0A1E2" w:rsidRDefault="73EA7FC2" w14:paraId="54816E23" w14:textId="40C68839">
      <w:pPr>
        <w:pStyle w:val="Normal"/>
        <w:spacing w:line="360" w:lineRule="auto"/>
        <w:rPr>
          <w:rFonts w:ascii="Arial" w:hAnsi="Arial" w:eastAsia="Arial" w:cs="Arial"/>
          <w:noProof w:val="0"/>
          <w:sz w:val="22"/>
          <w:szCs w:val="22"/>
          <w:lang w:val="en-GB"/>
        </w:rPr>
      </w:pPr>
      <w:r w:rsidRPr="5FF0A1E2" w:rsidR="73EA7FC2">
        <w:rPr>
          <w:rFonts w:ascii="Arial" w:hAnsi="Arial" w:eastAsia="Arial" w:cs="Arial"/>
          <w:noProof w:val="0"/>
          <w:sz w:val="22"/>
          <w:szCs w:val="22"/>
          <w:lang w:val="en-GB"/>
        </w:rPr>
        <w:t>A commonly cited example is the shift to digital-only schooling during the COVID-19 pandemic. Students without devices or stable internet access suffered significant educational setbacks compared to peers with full digital support (Andrew et al., 2020). Similarly, healthcare case studies show that patients lacking digital literacy are less likely to use online appointment systems or remote consultations, contributing to inequality in service uptake (Greenhalgh et al., 2021). These examples illustrate how digital barriers have real-world implications that directly connect to the research question.</w:t>
      </w:r>
    </w:p>
    <w:p w:rsidRPr="007063BA" w:rsidR="002865F5" w:rsidP="5FF0A1E2" w:rsidRDefault="002865F5" w14:paraId="219757CE"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Connections to Other Themes</w:t>
      </w:r>
    </w:p>
    <w:p w:rsidR="5FF0A1E2" w:rsidP="5FF0A1E2" w:rsidRDefault="5FF0A1E2" w14:paraId="5DAF4B99" w14:textId="049D1F7F">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46103AF3"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Interconnections:</w:t>
      </w:r>
    </w:p>
    <w:p w:rsidR="5FF0A1E2" w:rsidP="5FF0A1E2" w:rsidRDefault="5FF0A1E2" w14:paraId="1F2A4D2C" w14:textId="5ED02D04">
      <w:pPr>
        <w:pStyle w:val="Normal"/>
        <w:spacing w:line="360" w:lineRule="auto"/>
        <w:rPr>
          <w:rFonts w:ascii="Arial" w:hAnsi="Arial" w:eastAsia="Arial" w:cs="Arial"/>
          <w:noProof w:val="0"/>
          <w:sz w:val="22"/>
          <w:szCs w:val="22"/>
          <w:lang w:val="en-GB"/>
        </w:rPr>
      </w:pPr>
    </w:p>
    <w:p w:rsidR="561705C7" w:rsidP="5FF0A1E2" w:rsidRDefault="561705C7" w14:paraId="224027F1" w14:textId="56EB249F">
      <w:pPr>
        <w:pStyle w:val="Normal"/>
        <w:spacing w:line="360" w:lineRule="auto"/>
        <w:rPr>
          <w:rFonts w:ascii="Arial" w:hAnsi="Arial" w:eastAsia="Arial" w:cs="Arial"/>
          <w:noProof w:val="0"/>
          <w:sz w:val="22"/>
          <w:szCs w:val="22"/>
          <w:lang w:val="en-GB"/>
        </w:rPr>
      </w:pPr>
      <w:r w:rsidRPr="5FF0A1E2" w:rsidR="561705C7">
        <w:rPr>
          <w:rFonts w:ascii="Arial" w:hAnsi="Arial" w:eastAsia="Arial" w:cs="Arial"/>
          <w:noProof w:val="0"/>
          <w:sz w:val="22"/>
          <w:szCs w:val="22"/>
          <w:lang w:val="en-GB"/>
        </w:rPr>
        <w:t xml:space="preserve">This theme links closely with </w:t>
      </w:r>
      <w:r w:rsidRPr="5FF0A1E2" w:rsidR="561705C7">
        <w:rPr>
          <w:rFonts w:ascii="Arial" w:hAnsi="Arial" w:eastAsia="Arial" w:cs="Arial"/>
          <w:b w:val="0"/>
          <w:bCs w:val="0"/>
          <w:noProof w:val="0"/>
          <w:sz w:val="22"/>
          <w:szCs w:val="22"/>
          <w:lang w:val="en-GB"/>
        </w:rPr>
        <w:t>Theme 1</w:t>
      </w:r>
      <w:r w:rsidRPr="5FF0A1E2" w:rsidR="561705C7">
        <w:rPr>
          <w:rFonts w:ascii="Arial" w:hAnsi="Arial" w:eastAsia="Arial" w:cs="Arial"/>
          <w:noProof w:val="0"/>
          <w:sz w:val="22"/>
          <w:szCs w:val="22"/>
          <w:lang w:val="en-GB"/>
        </w:rPr>
        <w:t xml:space="preserve">, which explored digital engagement and motivation. Individuals may be motivated to use digital platforms, yet without reliable access or adequate skills, their engagement </w:t>
      </w:r>
      <w:r w:rsidRPr="5FF0A1E2" w:rsidR="561705C7">
        <w:rPr>
          <w:rFonts w:ascii="Arial" w:hAnsi="Arial" w:eastAsia="Arial" w:cs="Arial"/>
          <w:noProof w:val="0"/>
          <w:sz w:val="22"/>
          <w:szCs w:val="22"/>
          <w:lang w:val="en-GB"/>
        </w:rPr>
        <w:t>remains</w:t>
      </w:r>
      <w:r w:rsidRPr="5FF0A1E2" w:rsidR="561705C7">
        <w:rPr>
          <w:rFonts w:ascii="Arial" w:hAnsi="Arial" w:eastAsia="Arial" w:cs="Arial"/>
          <w:noProof w:val="0"/>
          <w:sz w:val="22"/>
          <w:szCs w:val="22"/>
          <w:lang w:val="en-GB"/>
        </w:rPr>
        <w:t xml:space="preserve"> limited. Digital inequality also connects to later themes, such as digital wellbeing or system usability, because structural barriers often shape user experiences and digital outcomes. Understanding these interconnections reinforces the multidimensional nature of digital participation and contextualises how multiple factors influence the research question.</w:t>
      </w:r>
      <w:r w:rsidRPr="5FF0A1E2" w:rsidR="017BD57C">
        <w:rPr>
          <w:rFonts w:ascii="Arial" w:hAnsi="Arial" w:eastAsia="Arial" w:cs="Arial"/>
          <w:noProof w:val="0"/>
          <w:sz w:val="22"/>
          <w:szCs w:val="22"/>
          <w:lang w:val="en-GB"/>
        </w:rPr>
        <w:t xml:space="preserve"> </w:t>
      </w:r>
    </w:p>
    <w:p w:rsidR="017BD57C" w:rsidP="5FF0A1E2" w:rsidRDefault="017BD57C" w14:paraId="035E9B4E" w14:textId="0739C43B">
      <w:pPr>
        <w:pStyle w:val="Normal"/>
        <w:spacing w:line="360" w:lineRule="auto"/>
        <w:rPr>
          <w:rFonts w:ascii="Arial" w:hAnsi="Arial" w:eastAsia="Arial" w:cs="Arial"/>
          <w:noProof w:val="0"/>
          <w:sz w:val="22"/>
          <w:szCs w:val="22"/>
          <w:lang w:val="en-GB"/>
        </w:rPr>
      </w:pPr>
      <w:r w:rsidRPr="5FF0A1E2" w:rsidR="017BD57C">
        <w:rPr>
          <w:rFonts w:ascii="Arial" w:hAnsi="Arial" w:eastAsia="Arial" w:cs="Arial"/>
          <w:noProof w:val="0"/>
          <w:sz w:val="22"/>
          <w:szCs w:val="22"/>
          <w:lang w:val="en-GB"/>
        </w:rPr>
        <w:t xml:space="preserve">This theme contributes to Objective 2 by </w:t>
      </w:r>
      <w:r w:rsidRPr="5FF0A1E2" w:rsidR="017BD57C">
        <w:rPr>
          <w:rFonts w:ascii="Arial" w:hAnsi="Arial" w:eastAsia="Arial" w:cs="Arial"/>
          <w:noProof w:val="0"/>
          <w:sz w:val="22"/>
          <w:szCs w:val="22"/>
          <w:lang w:val="en-GB"/>
        </w:rPr>
        <w:t>identifying</w:t>
      </w:r>
      <w:r w:rsidRPr="5FF0A1E2" w:rsidR="017BD57C">
        <w:rPr>
          <w:rFonts w:ascii="Arial" w:hAnsi="Arial" w:eastAsia="Arial" w:cs="Arial"/>
          <w:noProof w:val="0"/>
          <w:sz w:val="22"/>
          <w:szCs w:val="22"/>
          <w:lang w:val="en-GB"/>
        </w:rPr>
        <w:t xml:space="preserve"> the technological and socio-economic barriers that chronically ill children face when accessing digital learning resources. It supports the aim by </w:t>
      </w:r>
      <w:r w:rsidRPr="5FF0A1E2" w:rsidR="017BD57C">
        <w:rPr>
          <w:rFonts w:ascii="Arial" w:hAnsi="Arial" w:eastAsia="Arial" w:cs="Arial"/>
          <w:noProof w:val="0"/>
          <w:sz w:val="22"/>
          <w:szCs w:val="22"/>
          <w:lang w:val="en-GB"/>
        </w:rPr>
        <w:t>demonstrating</w:t>
      </w:r>
      <w:r w:rsidRPr="5FF0A1E2" w:rsidR="017BD57C">
        <w:rPr>
          <w:rFonts w:ascii="Arial" w:hAnsi="Arial" w:eastAsia="Arial" w:cs="Arial"/>
          <w:noProof w:val="0"/>
          <w:sz w:val="22"/>
          <w:szCs w:val="22"/>
          <w:lang w:val="en-GB"/>
        </w:rPr>
        <w:t xml:space="preserve"> how inequitable access to technology can </w:t>
      </w:r>
      <w:r w:rsidRPr="5FF0A1E2" w:rsidR="017BD57C">
        <w:rPr>
          <w:rFonts w:ascii="Arial" w:hAnsi="Arial" w:eastAsia="Arial" w:cs="Arial"/>
          <w:noProof w:val="0"/>
          <w:sz w:val="22"/>
          <w:szCs w:val="22"/>
          <w:lang w:val="en-GB"/>
        </w:rPr>
        <w:t>exacerbate</w:t>
      </w:r>
      <w:r w:rsidRPr="5FF0A1E2" w:rsidR="46E26EB9">
        <w:rPr>
          <w:rFonts w:ascii="Arial" w:hAnsi="Arial" w:eastAsia="Arial" w:cs="Arial"/>
          <w:noProof w:val="0"/>
          <w:sz w:val="22"/>
          <w:szCs w:val="22"/>
          <w:lang w:val="en-GB"/>
        </w:rPr>
        <w:t xml:space="preserve"> </w:t>
      </w:r>
      <w:r w:rsidRPr="5FF0A1E2" w:rsidR="017BD57C">
        <w:rPr>
          <w:rFonts w:ascii="Arial" w:hAnsi="Arial" w:eastAsia="Arial" w:cs="Arial"/>
          <w:noProof w:val="0"/>
          <w:sz w:val="22"/>
          <w:szCs w:val="22"/>
          <w:lang w:val="en-GB"/>
        </w:rPr>
        <w:t>educational disadvantage and limit the effectiveness of remote or blended learning solutions</w:t>
      </w:r>
      <w:r w:rsidRPr="5FF0A1E2" w:rsidR="07F94B7D">
        <w:rPr>
          <w:rFonts w:ascii="Arial" w:hAnsi="Arial" w:eastAsia="Arial" w:cs="Arial"/>
          <w:noProof w:val="0"/>
          <w:sz w:val="22"/>
          <w:szCs w:val="22"/>
          <w:lang w:val="en-GB"/>
        </w:rPr>
        <w:t>.</w:t>
      </w:r>
    </w:p>
    <w:p w:rsidR="07F94B7D" w:rsidP="5FF0A1E2" w:rsidRDefault="07F94B7D" w14:paraId="0F96C4E9" w14:textId="0FA4DA3D">
      <w:pPr>
        <w:pStyle w:val="Normal"/>
        <w:spacing w:line="360" w:lineRule="auto"/>
        <w:rPr>
          <w:rFonts w:ascii="Arial" w:hAnsi="Arial" w:eastAsia="Arial" w:cs="Arial"/>
          <w:noProof w:val="0"/>
          <w:sz w:val="22"/>
          <w:szCs w:val="22"/>
          <w:lang w:val="en-GB"/>
        </w:rPr>
      </w:pPr>
      <w:r w:rsidRPr="5FF0A1E2" w:rsidR="07F94B7D">
        <w:rPr>
          <w:rFonts w:ascii="Arial" w:hAnsi="Arial" w:eastAsia="Arial" w:cs="Arial"/>
          <w:noProof w:val="0"/>
          <w:sz w:val="22"/>
          <w:szCs w:val="22"/>
          <w:lang w:val="en-GB"/>
        </w:rPr>
        <w:t xml:space="preserve">The digital access issues </w:t>
      </w:r>
      <w:r w:rsidRPr="5FF0A1E2" w:rsidR="07F94B7D">
        <w:rPr>
          <w:rFonts w:ascii="Arial" w:hAnsi="Arial" w:eastAsia="Arial" w:cs="Arial"/>
          <w:noProof w:val="0"/>
          <w:sz w:val="22"/>
          <w:szCs w:val="22"/>
          <w:lang w:val="en-GB"/>
        </w:rPr>
        <w:t>identified</w:t>
      </w:r>
      <w:r w:rsidRPr="5FF0A1E2" w:rsidR="07F94B7D">
        <w:rPr>
          <w:rFonts w:ascii="Arial" w:hAnsi="Arial" w:eastAsia="Arial" w:cs="Arial"/>
          <w:noProof w:val="0"/>
          <w:sz w:val="22"/>
          <w:szCs w:val="22"/>
          <w:lang w:val="en-GB"/>
        </w:rPr>
        <w:t xml:space="preserve"> here also have significant implications for children’s psychological wellbeing and online engagement, which are examined in the following theme on digital wellbeing and mental health impacts</w:t>
      </w:r>
    </w:p>
    <w:p w:rsidR="001C3AF6" w:rsidP="5FF0A1E2" w:rsidRDefault="001C3AF6" w14:paraId="3CADB6AC" w14:textId="4F3101A6">
      <w:pPr>
        <w:pStyle w:val="Heading2"/>
        <w:spacing w:line="360" w:lineRule="auto"/>
        <w:rPr>
          <w:rFonts w:ascii="Arial" w:hAnsi="Arial" w:eastAsia="Arial" w:cs="Arial"/>
          <w:sz w:val="28"/>
          <w:szCs w:val="28"/>
        </w:rPr>
      </w:pPr>
      <w:bookmarkStart w:name="_Toc623411893" w:id="1217638877"/>
      <w:r w:rsidRPr="5FF0A1E2" w:rsidR="676686AE">
        <w:rPr>
          <w:rFonts w:ascii="Arial" w:hAnsi="Arial" w:eastAsia="Arial" w:cs="Arial"/>
          <w:sz w:val="28"/>
          <w:szCs w:val="28"/>
        </w:rPr>
        <w:t>4.5 – Theme 3</w:t>
      </w:r>
      <w:r w:rsidRPr="5FF0A1E2" w:rsidR="5532D9C0">
        <w:rPr>
          <w:rFonts w:ascii="Arial" w:hAnsi="Arial" w:eastAsia="Arial" w:cs="Arial"/>
          <w:sz w:val="28"/>
          <w:szCs w:val="28"/>
        </w:rPr>
        <w:t xml:space="preserve"> – Digital Wellbeing and Ps</w:t>
      </w:r>
      <w:r w:rsidRPr="5FF0A1E2" w:rsidR="5532D9C0">
        <w:rPr>
          <w:rFonts w:ascii="Arial" w:hAnsi="Arial" w:eastAsia="Arial" w:cs="Arial"/>
          <w:sz w:val="28"/>
          <w:szCs w:val="28"/>
        </w:rPr>
        <w:t xml:space="preserve">ychological </w:t>
      </w:r>
      <w:r w:rsidRPr="5FF0A1E2" w:rsidR="5532D9C0">
        <w:rPr>
          <w:rFonts w:ascii="Arial" w:hAnsi="Arial" w:eastAsia="Arial" w:cs="Arial"/>
          <w:sz w:val="28"/>
          <w:szCs w:val="28"/>
        </w:rPr>
        <w:t>Imp</w:t>
      </w:r>
      <w:r w:rsidRPr="5FF0A1E2" w:rsidR="3999F07E">
        <w:rPr>
          <w:rFonts w:ascii="Arial" w:hAnsi="Arial" w:eastAsia="Arial" w:cs="Arial"/>
          <w:sz w:val="28"/>
          <w:szCs w:val="28"/>
        </w:rPr>
        <w:t>a</w:t>
      </w:r>
      <w:r w:rsidRPr="5FF0A1E2" w:rsidR="5532D9C0">
        <w:rPr>
          <w:rFonts w:ascii="Arial" w:hAnsi="Arial" w:eastAsia="Arial" w:cs="Arial"/>
          <w:sz w:val="28"/>
          <w:szCs w:val="28"/>
        </w:rPr>
        <w:t>cts</w:t>
      </w:r>
      <w:bookmarkEnd w:id="1217638877"/>
    </w:p>
    <w:p w:rsidRPr="00636D9A" w:rsidR="00636D9A" w:rsidP="5FF0A1E2" w:rsidRDefault="00636D9A" w14:paraId="0D8B4DA0" w14:textId="77777777" w14:noSpellErr="1">
      <w:pPr>
        <w:pStyle w:val="Heading1"/>
        <w:spacing w:line="360" w:lineRule="auto"/>
        <w:rPr>
          <w:rFonts w:ascii="Arial" w:hAnsi="Arial" w:eastAsia="Arial" w:cs="Arial"/>
          <w:sz w:val="22"/>
          <w:szCs w:val="22"/>
        </w:rPr>
      </w:pPr>
    </w:p>
    <w:p w:rsidRPr="007063BA" w:rsidR="002865F5" w:rsidP="5FF0A1E2" w:rsidRDefault="002865F5" w14:paraId="4915A324"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 xml:space="preserve">Definition </w:t>
      </w:r>
    </w:p>
    <w:p w:rsidR="5FF0A1E2" w:rsidP="5FF0A1E2" w:rsidRDefault="5FF0A1E2" w14:paraId="350E619B" w14:textId="67D236F8">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5E207A09"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Definition:</w:t>
      </w:r>
    </w:p>
    <w:p w:rsidR="5FF0A1E2" w:rsidP="5FF0A1E2" w:rsidRDefault="5FF0A1E2" w14:paraId="5E08F0B2" w14:textId="310B504B">
      <w:pPr>
        <w:pStyle w:val="Normal"/>
        <w:spacing w:line="360" w:lineRule="auto"/>
        <w:rPr>
          <w:rFonts w:ascii="Arial" w:hAnsi="Arial" w:eastAsia="Arial" w:cs="Arial"/>
          <w:noProof w:val="0"/>
          <w:sz w:val="22"/>
          <w:szCs w:val="22"/>
          <w:lang w:val="en-GB"/>
        </w:rPr>
      </w:pPr>
    </w:p>
    <w:p w:rsidR="21AA9861" w:rsidP="5FF0A1E2" w:rsidRDefault="21AA9861" w14:paraId="01336DAC" w14:textId="5BD98E1E">
      <w:pPr>
        <w:pStyle w:val="Normal"/>
        <w:spacing w:line="360" w:lineRule="auto"/>
        <w:rPr>
          <w:rFonts w:ascii="Arial" w:hAnsi="Arial" w:eastAsia="Arial" w:cs="Arial"/>
          <w:noProof w:val="0"/>
          <w:sz w:val="22"/>
          <w:szCs w:val="22"/>
          <w:lang w:val="en-GB"/>
        </w:rPr>
      </w:pPr>
      <w:r w:rsidRPr="5FF0A1E2" w:rsidR="21AA9861">
        <w:rPr>
          <w:rFonts w:ascii="Arial" w:hAnsi="Arial" w:eastAsia="Arial" w:cs="Arial"/>
          <w:noProof w:val="0"/>
          <w:sz w:val="22"/>
          <w:szCs w:val="22"/>
          <w:lang w:val="en-GB"/>
        </w:rPr>
        <w:t>Digital wellbeing refers to the psychological, emotional, and behavioural effects of digital technology use on individuals and communities (</w:t>
      </w:r>
      <w:r w:rsidRPr="5FF0A1E2" w:rsidR="21AA9861">
        <w:rPr>
          <w:rFonts w:ascii="Arial" w:hAnsi="Arial" w:eastAsia="Arial" w:cs="Arial"/>
          <w:noProof w:val="0"/>
          <w:sz w:val="22"/>
          <w:szCs w:val="22"/>
          <w:lang w:val="en-GB"/>
        </w:rPr>
        <w:t>Mascheroni</w:t>
      </w:r>
      <w:r w:rsidRPr="5FF0A1E2" w:rsidR="21AA9861">
        <w:rPr>
          <w:rFonts w:ascii="Arial" w:hAnsi="Arial" w:eastAsia="Arial" w:cs="Arial"/>
          <w:noProof w:val="0"/>
          <w:sz w:val="22"/>
          <w:szCs w:val="22"/>
          <w:lang w:val="en-GB"/>
        </w:rPr>
        <w:t xml:space="preserve"> et al., 2023). The term captures both positive and negative outcomes, including stress, cognitive overload, social connection, and digital balance. It also encompasses concepts such as </w:t>
      </w:r>
      <w:r w:rsidRPr="5FF0A1E2" w:rsidR="21AA9861">
        <w:rPr>
          <w:rFonts w:ascii="Arial" w:hAnsi="Arial" w:eastAsia="Arial" w:cs="Arial"/>
          <w:b w:val="0"/>
          <w:bCs w:val="0"/>
          <w:noProof w:val="0"/>
          <w:sz w:val="22"/>
          <w:szCs w:val="22"/>
          <w:lang w:val="en-GB"/>
        </w:rPr>
        <w:t>screen fatigue</w:t>
      </w:r>
      <w:r w:rsidRPr="5FF0A1E2" w:rsidR="21AA9861">
        <w:rPr>
          <w:rFonts w:ascii="Arial" w:hAnsi="Arial" w:eastAsia="Arial" w:cs="Arial"/>
          <w:b w:val="0"/>
          <w:bCs w:val="0"/>
          <w:noProof w:val="0"/>
          <w:sz w:val="22"/>
          <w:szCs w:val="22"/>
          <w:lang w:val="en-GB"/>
        </w:rPr>
        <w:t xml:space="preserve">, </w:t>
      </w:r>
      <w:r w:rsidRPr="5FF0A1E2" w:rsidR="21AA9861">
        <w:rPr>
          <w:rFonts w:ascii="Arial" w:hAnsi="Arial" w:eastAsia="Arial" w:cs="Arial"/>
          <w:b w:val="0"/>
          <w:bCs w:val="0"/>
          <w:noProof w:val="0"/>
          <w:sz w:val="22"/>
          <w:szCs w:val="22"/>
          <w:lang w:val="en-GB"/>
        </w:rPr>
        <w:t>digital overload</w:t>
      </w:r>
      <w:r w:rsidRPr="5FF0A1E2" w:rsidR="21AA9861">
        <w:rPr>
          <w:rFonts w:ascii="Arial" w:hAnsi="Arial" w:eastAsia="Arial" w:cs="Arial"/>
          <w:b w:val="0"/>
          <w:bCs w:val="0"/>
          <w:noProof w:val="0"/>
          <w:sz w:val="22"/>
          <w:szCs w:val="22"/>
          <w:lang w:val="en-GB"/>
        </w:rPr>
        <w:t>,</w:t>
      </w:r>
      <w:r w:rsidRPr="5FF0A1E2" w:rsidR="21AA9861">
        <w:rPr>
          <w:rFonts w:ascii="Arial" w:hAnsi="Arial" w:eastAsia="Arial" w:cs="Arial"/>
          <w:noProof w:val="0"/>
          <w:sz w:val="22"/>
          <w:szCs w:val="22"/>
          <w:lang w:val="en-GB"/>
        </w:rPr>
        <w:t xml:space="preserve"> and </w:t>
      </w:r>
      <w:r w:rsidRPr="5FF0A1E2" w:rsidR="21AA9861">
        <w:rPr>
          <w:rFonts w:ascii="Arial" w:hAnsi="Arial" w:eastAsia="Arial" w:cs="Arial"/>
          <w:b w:val="0"/>
          <w:bCs w:val="0"/>
          <w:noProof w:val="0"/>
          <w:sz w:val="22"/>
          <w:szCs w:val="22"/>
          <w:lang w:val="en-GB"/>
        </w:rPr>
        <w:t>technology-mediated stress</w:t>
      </w:r>
      <w:r w:rsidRPr="5FF0A1E2" w:rsidR="21AA9861">
        <w:rPr>
          <w:rFonts w:ascii="Arial" w:hAnsi="Arial" w:eastAsia="Arial" w:cs="Arial"/>
          <w:b w:val="0"/>
          <w:bCs w:val="0"/>
          <w:noProof w:val="0"/>
          <w:sz w:val="22"/>
          <w:szCs w:val="22"/>
          <w:lang w:val="en-GB"/>
        </w:rPr>
        <w:t xml:space="preserve">, </w:t>
      </w:r>
      <w:r w:rsidRPr="5FF0A1E2" w:rsidR="21AA9861">
        <w:rPr>
          <w:rFonts w:ascii="Arial" w:hAnsi="Arial" w:eastAsia="Arial" w:cs="Arial"/>
          <w:noProof w:val="0"/>
          <w:sz w:val="22"/>
          <w:szCs w:val="22"/>
          <w:lang w:val="en-GB"/>
        </w:rPr>
        <w:t xml:space="preserve">often termed </w:t>
      </w:r>
      <w:r w:rsidRPr="5FF0A1E2" w:rsidR="21AA9861">
        <w:rPr>
          <w:rFonts w:ascii="Arial" w:hAnsi="Arial" w:eastAsia="Arial" w:cs="Arial"/>
          <w:b w:val="0"/>
          <w:bCs w:val="0"/>
          <w:noProof w:val="0"/>
          <w:sz w:val="22"/>
          <w:szCs w:val="22"/>
          <w:lang w:val="en-GB"/>
        </w:rPr>
        <w:t>“technostress”</w:t>
      </w:r>
      <w:r w:rsidRPr="5FF0A1E2" w:rsidR="21AA9861">
        <w:rPr>
          <w:rFonts w:ascii="Arial" w:hAnsi="Arial" w:eastAsia="Arial" w:cs="Arial"/>
          <w:noProof w:val="0"/>
          <w:sz w:val="22"/>
          <w:szCs w:val="22"/>
          <w:lang w:val="en-GB"/>
        </w:rPr>
        <w:t xml:space="preserve"> (Ayyagari et al., 2011). These components help explain how individuals experience and respond to digital environments, particularly when digital engagement is </w:t>
      </w:r>
      <w:r w:rsidRPr="5FF0A1E2" w:rsidR="21AA9861">
        <w:rPr>
          <w:rFonts w:ascii="Arial" w:hAnsi="Arial" w:eastAsia="Arial" w:cs="Arial"/>
          <w:noProof w:val="0"/>
          <w:sz w:val="22"/>
          <w:szCs w:val="22"/>
          <w:lang w:val="en-GB"/>
        </w:rPr>
        <w:t>required</w:t>
      </w:r>
      <w:r w:rsidRPr="5FF0A1E2" w:rsidR="21AA9861">
        <w:rPr>
          <w:rFonts w:ascii="Arial" w:hAnsi="Arial" w:eastAsia="Arial" w:cs="Arial"/>
          <w:noProof w:val="0"/>
          <w:sz w:val="22"/>
          <w:szCs w:val="22"/>
          <w:lang w:val="en-GB"/>
        </w:rPr>
        <w:t xml:space="preserve"> for education, employment, or social participation.</w:t>
      </w:r>
    </w:p>
    <w:p w:rsidRPr="007063BA" w:rsidR="002865F5" w:rsidP="5FF0A1E2" w:rsidRDefault="002865F5" w14:paraId="73055C57"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Background Information</w:t>
      </w:r>
    </w:p>
    <w:p w:rsidR="5FF0A1E2" w:rsidP="5FF0A1E2" w:rsidRDefault="5FF0A1E2" w14:paraId="04CE17D7" w14:textId="1E92EADD">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2FB465ED"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Historical/Contextual Background:</w:t>
      </w:r>
    </w:p>
    <w:p w:rsidR="5FF0A1E2" w:rsidP="5FF0A1E2" w:rsidRDefault="5FF0A1E2" w14:paraId="68E0A2B0" w14:textId="1E7BD316">
      <w:pPr>
        <w:pStyle w:val="Normal"/>
        <w:spacing w:line="360" w:lineRule="auto"/>
        <w:rPr>
          <w:rFonts w:ascii="Arial" w:hAnsi="Arial" w:eastAsia="Arial" w:cs="Arial"/>
          <w:noProof w:val="0"/>
          <w:sz w:val="22"/>
          <w:szCs w:val="22"/>
          <w:lang w:val="en-GB"/>
        </w:rPr>
      </w:pPr>
    </w:p>
    <w:p w:rsidR="0C4BD3E0" w:rsidP="5FF0A1E2" w:rsidRDefault="0C4BD3E0" w14:paraId="354646BB" w14:textId="0FB9E865">
      <w:pPr>
        <w:pStyle w:val="Normal"/>
        <w:spacing w:line="360" w:lineRule="auto"/>
        <w:rPr>
          <w:rFonts w:ascii="Arial" w:hAnsi="Arial" w:eastAsia="Arial" w:cs="Arial"/>
          <w:noProof w:val="0"/>
          <w:sz w:val="22"/>
          <w:szCs w:val="22"/>
          <w:lang w:val="en-GB"/>
        </w:rPr>
      </w:pPr>
      <w:r w:rsidRPr="5FF0A1E2" w:rsidR="0C4BD3E0">
        <w:rPr>
          <w:rFonts w:ascii="Arial" w:hAnsi="Arial" w:eastAsia="Arial" w:cs="Arial"/>
          <w:noProof w:val="0"/>
          <w:sz w:val="22"/>
          <w:szCs w:val="22"/>
          <w:lang w:val="en-GB"/>
        </w:rPr>
        <w:t>The emergence of digital wellbeing as a research domain can be traced to the early 2000s when scholars began to examine how constant connectivity affected mental health (Tarafdar et al., 2007). With the widespread adoption of smartphones and social media, concerns about screen time, addiction, and attention fragmentation became prominent. More recently, digital wellbeing became a central topic during the COVID-19 pandemic, when remote work, online learning, and digital services dramatically increased daily screen time (Meier &amp; Schäfer, 2022). These developments created new expectations and pressures surrounding digital engagement, raising concerns about burnout, anxiety, and digital dependency.</w:t>
      </w:r>
    </w:p>
    <w:p w:rsidRPr="007063BA" w:rsidR="002865F5" w:rsidP="5FF0A1E2" w:rsidRDefault="002865F5" w14:paraId="416E3F8C"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Impact on Research Question</w:t>
      </w:r>
    </w:p>
    <w:p w:rsidR="5FF0A1E2" w:rsidP="5FF0A1E2" w:rsidRDefault="5FF0A1E2" w14:paraId="5C431D78" w14:textId="5D11F37C">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3D88BBAC"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Relevance to Title/Research Question:</w:t>
      </w:r>
    </w:p>
    <w:p w:rsidR="5FF0A1E2" w:rsidP="5FF0A1E2" w:rsidRDefault="5FF0A1E2" w14:paraId="3973F515" w14:textId="62FC9D05">
      <w:pPr>
        <w:pStyle w:val="Normal"/>
        <w:spacing w:line="360" w:lineRule="auto"/>
        <w:rPr>
          <w:rFonts w:ascii="Arial" w:hAnsi="Arial" w:eastAsia="Arial" w:cs="Arial"/>
          <w:noProof w:val="0"/>
          <w:sz w:val="22"/>
          <w:szCs w:val="22"/>
          <w:lang w:val="en-GB"/>
        </w:rPr>
      </w:pPr>
    </w:p>
    <w:p w:rsidR="5D5BD4D4" w:rsidP="5FF0A1E2" w:rsidRDefault="5D5BD4D4" w14:paraId="15BC45BA" w14:textId="6DCD812F">
      <w:pPr>
        <w:pStyle w:val="Normal"/>
        <w:spacing w:line="360" w:lineRule="auto"/>
        <w:rPr>
          <w:rFonts w:ascii="Arial" w:hAnsi="Arial" w:eastAsia="Arial" w:cs="Arial"/>
          <w:noProof w:val="0"/>
          <w:sz w:val="22"/>
          <w:szCs w:val="22"/>
          <w:lang w:val="en-GB"/>
        </w:rPr>
      </w:pPr>
      <w:r w:rsidRPr="5FF0A1E2" w:rsidR="5D5BD4D4">
        <w:rPr>
          <w:rFonts w:ascii="Arial" w:hAnsi="Arial" w:eastAsia="Arial" w:cs="Arial"/>
          <w:noProof w:val="0"/>
          <w:sz w:val="22"/>
          <w:szCs w:val="22"/>
          <w:lang w:val="en-GB"/>
        </w:rPr>
        <w:t xml:space="preserve">This theme </w:t>
      </w:r>
      <w:r w:rsidRPr="5FF0A1E2" w:rsidR="5D5BD4D4">
        <w:rPr>
          <w:rFonts w:ascii="Arial" w:hAnsi="Arial" w:eastAsia="Arial" w:cs="Arial"/>
          <w:noProof w:val="0"/>
          <w:sz w:val="22"/>
          <w:szCs w:val="22"/>
          <w:lang w:val="en-GB"/>
        </w:rPr>
        <w:t>directly relates</w:t>
      </w:r>
      <w:r w:rsidRPr="5FF0A1E2" w:rsidR="5D5BD4D4">
        <w:rPr>
          <w:rFonts w:ascii="Arial" w:hAnsi="Arial" w:eastAsia="Arial" w:cs="Arial"/>
          <w:noProof w:val="0"/>
          <w:sz w:val="22"/>
          <w:szCs w:val="22"/>
          <w:lang w:val="en-GB"/>
        </w:rPr>
        <w:t xml:space="preserve"> to the research question because psychological responses to digital technologies significantly shape users’ engagement and behaviour. If individuals experience digital fatigue or stress, they may be less motivated or less able to use digital platforms effectively (</w:t>
      </w:r>
      <w:r w:rsidRPr="5FF0A1E2" w:rsidR="5D5BD4D4">
        <w:rPr>
          <w:rFonts w:ascii="Arial" w:hAnsi="Arial" w:eastAsia="Arial" w:cs="Arial"/>
          <w:noProof w:val="0"/>
          <w:sz w:val="22"/>
          <w:szCs w:val="22"/>
          <w:lang w:val="en-GB"/>
        </w:rPr>
        <w:t>Büchi</w:t>
      </w:r>
      <w:r w:rsidRPr="5FF0A1E2" w:rsidR="5D5BD4D4">
        <w:rPr>
          <w:rFonts w:ascii="Arial" w:hAnsi="Arial" w:eastAsia="Arial" w:cs="Arial"/>
          <w:noProof w:val="0"/>
          <w:sz w:val="22"/>
          <w:szCs w:val="22"/>
          <w:lang w:val="en-GB"/>
        </w:rPr>
        <w:t xml:space="preserve"> &amp; </w:t>
      </w:r>
      <w:r w:rsidRPr="5FF0A1E2" w:rsidR="5D5BD4D4">
        <w:rPr>
          <w:rFonts w:ascii="Arial" w:hAnsi="Arial" w:eastAsia="Arial" w:cs="Arial"/>
          <w:noProof w:val="0"/>
          <w:sz w:val="22"/>
          <w:szCs w:val="22"/>
          <w:lang w:val="en-GB"/>
        </w:rPr>
        <w:t>Festic</w:t>
      </w:r>
      <w:r w:rsidRPr="5FF0A1E2" w:rsidR="5D5BD4D4">
        <w:rPr>
          <w:rFonts w:ascii="Arial" w:hAnsi="Arial" w:eastAsia="Arial" w:cs="Arial"/>
          <w:noProof w:val="0"/>
          <w:sz w:val="22"/>
          <w:szCs w:val="22"/>
          <w:lang w:val="en-GB"/>
        </w:rPr>
        <w:t>, 2023). For research topics involving access to online services, education, or communication, digital wellbeing provides an essential lens for interpreting why some users engage consistently while others struggle. The theme also reveals the quality</w:t>
      </w:r>
      <w:r w:rsidRPr="5FF0A1E2" w:rsidR="1D26CE82">
        <w:rPr>
          <w:rFonts w:ascii="Arial" w:hAnsi="Arial" w:eastAsia="Arial" w:cs="Arial"/>
          <w:noProof w:val="0"/>
          <w:sz w:val="22"/>
          <w:szCs w:val="22"/>
          <w:lang w:val="en-GB"/>
        </w:rPr>
        <w:t xml:space="preserve"> </w:t>
      </w:r>
      <w:r w:rsidRPr="5FF0A1E2" w:rsidR="5D5BD4D4">
        <w:rPr>
          <w:rFonts w:ascii="Arial" w:hAnsi="Arial" w:eastAsia="Arial" w:cs="Arial"/>
          <w:noProof w:val="0"/>
          <w:sz w:val="22"/>
          <w:szCs w:val="22"/>
          <w:lang w:val="en-GB"/>
        </w:rPr>
        <w:t>not just the quantity</w:t>
      </w:r>
      <w:r w:rsidRPr="5FF0A1E2" w:rsidR="633EE386">
        <w:rPr>
          <w:rFonts w:ascii="Arial" w:hAnsi="Arial" w:eastAsia="Arial" w:cs="Arial"/>
          <w:noProof w:val="0"/>
          <w:sz w:val="22"/>
          <w:szCs w:val="22"/>
          <w:lang w:val="en-GB"/>
        </w:rPr>
        <w:t xml:space="preserve"> </w:t>
      </w:r>
      <w:r w:rsidRPr="5FF0A1E2" w:rsidR="5D5BD4D4">
        <w:rPr>
          <w:rFonts w:ascii="Arial" w:hAnsi="Arial" w:eastAsia="Arial" w:cs="Arial"/>
          <w:noProof w:val="0"/>
          <w:sz w:val="22"/>
          <w:szCs w:val="22"/>
          <w:lang w:val="en-GB"/>
        </w:rPr>
        <w:t>of digital participation, making it central to understanding digital experiences and outcomes.</w:t>
      </w:r>
    </w:p>
    <w:p w:rsidR="42D332FD" w:rsidP="5FF0A1E2" w:rsidRDefault="42D332FD" w14:paraId="488BE427" w14:textId="0501F491">
      <w:pPr>
        <w:pStyle w:val="Normal"/>
        <w:spacing w:line="360" w:lineRule="auto"/>
        <w:rPr>
          <w:rFonts w:ascii="Arial" w:hAnsi="Arial" w:eastAsia="Arial" w:cs="Arial"/>
          <w:noProof w:val="0"/>
          <w:sz w:val="22"/>
          <w:szCs w:val="22"/>
          <w:lang w:val="en-GB"/>
        </w:rPr>
      </w:pPr>
      <w:r w:rsidRPr="5FF0A1E2" w:rsidR="42D332FD">
        <w:rPr>
          <w:rFonts w:ascii="Arial" w:hAnsi="Arial" w:eastAsia="Arial" w:cs="Arial"/>
          <w:noProof w:val="0"/>
          <w:sz w:val="22"/>
          <w:szCs w:val="22"/>
          <w:lang w:val="en-GB"/>
        </w:rPr>
        <w:t>The implications for practice are significant. Educators and policymakers should develop digital wellbeing policies, integrating regular check-ins, social support mechanisms, and training for staff in recognising signs of digital fatigue or stress. By prioritising both learning and mental health, schools can promote sustained educational engagement and holistic development for chronically ill children.</w:t>
      </w:r>
    </w:p>
    <w:p w:rsidRPr="007063BA" w:rsidR="002865F5" w:rsidP="5FF0A1E2" w:rsidRDefault="002865F5" w14:paraId="54B244D8"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Statistical Information</w:t>
      </w:r>
    </w:p>
    <w:p w:rsidR="5FF0A1E2" w:rsidP="5FF0A1E2" w:rsidRDefault="5FF0A1E2" w14:paraId="2FA9B845" w14:textId="35162D37">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5607E377"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Data and Statistics:</w:t>
      </w:r>
    </w:p>
    <w:p w:rsidR="5FF0A1E2" w:rsidP="5FF0A1E2" w:rsidRDefault="5FF0A1E2" w14:paraId="5C8E63F1" w14:textId="1E387B1D">
      <w:pPr>
        <w:pStyle w:val="Normal"/>
        <w:spacing w:line="360" w:lineRule="auto"/>
        <w:rPr>
          <w:rFonts w:ascii="Arial" w:hAnsi="Arial" w:eastAsia="Arial" w:cs="Arial"/>
          <w:noProof w:val="0"/>
          <w:sz w:val="22"/>
          <w:szCs w:val="22"/>
          <w:lang w:val="en-GB"/>
        </w:rPr>
      </w:pPr>
    </w:p>
    <w:p w:rsidR="5A459A4C" w:rsidP="5FF0A1E2" w:rsidRDefault="5A459A4C" w14:paraId="3DBFA1A6" w14:textId="714FDD94">
      <w:pPr>
        <w:pStyle w:val="Normal"/>
        <w:spacing w:line="360" w:lineRule="auto"/>
        <w:rPr>
          <w:rFonts w:ascii="Arial" w:hAnsi="Arial" w:eastAsia="Arial" w:cs="Arial"/>
          <w:noProof w:val="0"/>
          <w:sz w:val="22"/>
          <w:szCs w:val="22"/>
          <w:lang w:val="en-GB"/>
        </w:rPr>
      </w:pPr>
      <w:r w:rsidRPr="5FF0A1E2" w:rsidR="5A459A4C">
        <w:rPr>
          <w:rFonts w:ascii="Arial" w:hAnsi="Arial" w:eastAsia="Arial" w:cs="Arial"/>
          <w:noProof w:val="0"/>
          <w:sz w:val="22"/>
          <w:szCs w:val="22"/>
          <w:lang w:val="en-GB"/>
        </w:rPr>
        <w:t xml:space="preserve">Recent studies </w:t>
      </w:r>
      <w:r w:rsidRPr="5FF0A1E2" w:rsidR="5A459A4C">
        <w:rPr>
          <w:rFonts w:ascii="Arial" w:hAnsi="Arial" w:eastAsia="Arial" w:cs="Arial"/>
          <w:noProof w:val="0"/>
          <w:sz w:val="22"/>
          <w:szCs w:val="22"/>
          <w:lang w:val="en-GB"/>
        </w:rPr>
        <w:t>indicate</w:t>
      </w:r>
      <w:r w:rsidRPr="5FF0A1E2" w:rsidR="5A459A4C">
        <w:rPr>
          <w:rFonts w:ascii="Arial" w:hAnsi="Arial" w:eastAsia="Arial" w:cs="Arial"/>
          <w:noProof w:val="0"/>
          <w:sz w:val="22"/>
          <w:szCs w:val="22"/>
          <w:lang w:val="en-GB"/>
        </w:rPr>
        <w:t xml:space="preserve"> that digital wellbeing challenges are widespread. For example, a 2023 UK survey found that </w:t>
      </w:r>
      <w:r w:rsidRPr="5FF0A1E2" w:rsidR="5A459A4C">
        <w:rPr>
          <w:rFonts w:ascii="Arial" w:hAnsi="Arial" w:eastAsia="Arial" w:cs="Arial"/>
          <w:b w:val="0"/>
          <w:bCs w:val="0"/>
          <w:noProof w:val="0"/>
          <w:sz w:val="22"/>
          <w:szCs w:val="22"/>
          <w:lang w:val="en-GB"/>
        </w:rPr>
        <w:t>76% of adults</w:t>
      </w:r>
      <w:r w:rsidRPr="5FF0A1E2" w:rsidR="5A459A4C">
        <w:rPr>
          <w:rFonts w:ascii="Arial" w:hAnsi="Arial" w:eastAsia="Arial" w:cs="Arial"/>
          <w:noProof w:val="0"/>
          <w:sz w:val="22"/>
          <w:szCs w:val="22"/>
          <w:lang w:val="en-GB"/>
        </w:rPr>
        <w:t xml:space="preserve"> reported experiencing digital fatigue, particularly when using multiple digital platforms for work and daily tasks (Deloitte, 2023). Similarly, the Royal Society for Public Health found that</w:t>
      </w:r>
      <w:r w:rsidRPr="5FF0A1E2" w:rsidR="5A459A4C">
        <w:rPr>
          <w:rFonts w:ascii="Arial" w:hAnsi="Arial" w:eastAsia="Arial" w:cs="Arial"/>
          <w:b w:val="0"/>
          <w:bCs w:val="0"/>
          <w:noProof w:val="0"/>
          <w:sz w:val="22"/>
          <w:szCs w:val="22"/>
          <w:lang w:val="en-GB"/>
        </w:rPr>
        <w:t xml:space="preserve"> </w:t>
      </w:r>
      <w:r w:rsidRPr="5FF0A1E2" w:rsidR="5A459A4C">
        <w:rPr>
          <w:rFonts w:ascii="Arial" w:hAnsi="Arial" w:eastAsia="Arial" w:cs="Arial"/>
          <w:b w:val="0"/>
          <w:bCs w:val="0"/>
          <w:noProof w:val="0"/>
          <w:sz w:val="22"/>
          <w:szCs w:val="22"/>
          <w:lang w:val="en-GB"/>
        </w:rPr>
        <w:t>70% of young adults</w:t>
      </w:r>
      <w:r w:rsidRPr="5FF0A1E2" w:rsidR="5A459A4C">
        <w:rPr>
          <w:rFonts w:ascii="Arial" w:hAnsi="Arial" w:eastAsia="Arial" w:cs="Arial"/>
          <w:b w:val="0"/>
          <w:bCs w:val="0"/>
          <w:noProof w:val="0"/>
          <w:sz w:val="22"/>
          <w:szCs w:val="22"/>
          <w:lang w:val="en-GB"/>
        </w:rPr>
        <w:t xml:space="preserve"> </w:t>
      </w:r>
      <w:r w:rsidRPr="5FF0A1E2" w:rsidR="5A459A4C">
        <w:rPr>
          <w:rFonts w:ascii="Arial" w:hAnsi="Arial" w:eastAsia="Arial" w:cs="Arial"/>
          <w:noProof w:val="0"/>
          <w:sz w:val="22"/>
          <w:szCs w:val="22"/>
          <w:lang w:val="en-GB"/>
        </w:rPr>
        <w:t xml:space="preserve">feel that excessive screen time contributes to anxiety and disrupted sleep (RSPH, 2022). These statistics illustrate the scale of digital wellbeing concerns. Some researchers argue that digital overuse is a societal issue </w:t>
      </w:r>
      <w:r w:rsidRPr="5FF0A1E2" w:rsidR="5A459A4C">
        <w:rPr>
          <w:rFonts w:ascii="Arial" w:hAnsi="Arial" w:eastAsia="Arial" w:cs="Arial"/>
          <w:noProof w:val="0"/>
          <w:sz w:val="22"/>
          <w:szCs w:val="22"/>
          <w:lang w:val="en-GB"/>
        </w:rPr>
        <w:t>facilitated</w:t>
      </w:r>
      <w:r w:rsidRPr="5FF0A1E2" w:rsidR="5A459A4C">
        <w:rPr>
          <w:rFonts w:ascii="Arial" w:hAnsi="Arial" w:eastAsia="Arial" w:cs="Arial"/>
          <w:noProof w:val="0"/>
          <w:sz w:val="22"/>
          <w:szCs w:val="22"/>
          <w:lang w:val="en-GB"/>
        </w:rPr>
        <w:t xml:space="preserve"> by persuasive design features in apps, while others argue that wellbeing outcomes depend more on individual usage patterns (Meier &amp; Reinecke, 2021). This ongoing debate highlights the complexity of digital psychological impacts.</w:t>
      </w:r>
    </w:p>
    <w:p w:rsidR="7537801C" w:rsidP="5FF0A1E2" w:rsidRDefault="7537801C" w14:paraId="3A49F017" w14:textId="66AE9C64">
      <w:pPr>
        <w:spacing w:before="240" w:beforeAutospacing="off" w:after="240" w:afterAutospacing="off" w:line="360" w:lineRule="auto"/>
        <w:rPr>
          <w:rFonts w:ascii="Arial" w:hAnsi="Arial" w:eastAsia="Arial" w:cs="Arial"/>
          <w:noProof w:val="0"/>
          <w:sz w:val="22"/>
          <w:szCs w:val="22"/>
          <w:lang w:val="en-GB"/>
        </w:rPr>
      </w:pPr>
      <w:r w:rsidRPr="5FF0A1E2" w:rsidR="7537801C">
        <w:rPr>
          <w:rFonts w:ascii="Arial" w:hAnsi="Arial" w:eastAsia="Arial" w:cs="Arial"/>
          <w:noProof w:val="0"/>
          <w:sz w:val="22"/>
          <w:szCs w:val="22"/>
          <w:lang w:val="en-GB"/>
        </w:rPr>
        <w:t xml:space="preserve">Digital learning, while beneficial, presents psychological challenges for chronically ill children, including screen fatigue, social isolation, and increased stress (Nadler, 2020; Meier &amp; Reinecke, 2021). Meier and Schäfer (2022) found that excessive screen time during remote learning can exacerbate anxiety and disrupt sleep patterns, </w:t>
      </w:r>
      <w:r w:rsidRPr="5FF0A1E2" w:rsidR="7537801C">
        <w:rPr>
          <w:rFonts w:ascii="Arial" w:hAnsi="Arial" w:eastAsia="Arial" w:cs="Arial"/>
          <w:noProof w:val="0"/>
          <w:sz w:val="22"/>
          <w:szCs w:val="22"/>
          <w:lang w:val="en-GB"/>
        </w:rPr>
        <w:t>whereas</w:t>
      </w:r>
      <w:r w:rsidRPr="5FF0A1E2" w:rsidR="7537801C">
        <w:rPr>
          <w:rFonts w:ascii="Arial" w:hAnsi="Arial" w:eastAsia="Arial" w:cs="Arial"/>
          <w:noProof w:val="0"/>
          <w:sz w:val="22"/>
          <w:szCs w:val="22"/>
          <w:lang w:val="en-GB"/>
        </w:rPr>
        <w:t xml:space="preserve"> Büchi and </w:t>
      </w:r>
      <w:r w:rsidRPr="5FF0A1E2" w:rsidR="7537801C">
        <w:rPr>
          <w:rFonts w:ascii="Arial" w:hAnsi="Arial" w:eastAsia="Arial" w:cs="Arial"/>
          <w:noProof w:val="0"/>
          <w:sz w:val="22"/>
          <w:szCs w:val="22"/>
          <w:lang w:val="en-GB"/>
        </w:rPr>
        <w:t>Festic</w:t>
      </w:r>
      <w:r w:rsidRPr="5FF0A1E2" w:rsidR="7537801C">
        <w:rPr>
          <w:rFonts w:ascii="Arial" w:hAnsi="Arial" w:eastAsia="Arial" w:cs="Arial"/>
          <w:noProof w:val="0"/>
          <w:sz w:val="22"/>
          <w:szCs w:val="22"/>
          <w:lang w:val="en-GB"/>
        </w:rPr>
        <w:t xml:space="preserve"> (2023) emphasise that intentional use of digital tools can support social connection and wellbeing. This contrast suggests that digital wellbeing interventions must balance accessibility with healthy engagement.</w:t>
      </w:r>
    </w:p>
    <w:p w:rsidR="7537801C" w:rsidP="5FF0A1E2" w:rsidRDefault="7537801C" w14:paraId="4F85033C" w14:textId="348A947F">
      <w:pPr>
        <w:spacing w:before="240" w:beforeAutospacing="off" w:after="240" w:afterAutospacing="off" w:line="360" w:lineRule="auto"/>
        <w:rPr>
          <w:rFonts w:ascii="Arial" w:hAnsi="Arial" w:eastAsia="Arial" w:cs="Arial"/>
          <w:noProof w:val="0"/>
          <w:sz w:val="22"/>
          <w:szCs w:val="22"/>
          <w:lang w:val="en-GB"/>
        </w:rPr>
      </w:pPr>
      <w:r w:rsidRPr="5FF0A1E2" w:rsidR="7537801C">
        <w:rPr>
          <w:rFonts w:ascii="Arial" w:hAnsi="Arial" w:eastAsia="Arial" w:cs="Arial"/>
          <w:noProof w:val="0"/>
          <w:sz w:val="22"/>
          <w:szCs w:val="22"/>
          <w:lang w:val="en-GB"/>
        </w:rPr>
        <w:t xml:space="preserve">There is broad agreement that schools and parents play a pivotal role in mitigating negative impacts (RSPH, 2022; Greenhalgh, </w:t>
      </w:r>
      <w:r w:rsidRPr="5FF0A1E2" w:rsidR="7537801C">
        <w:rPr>
          <w:rFonts w:ascii="Arial" w:hAnsi="Arial" w:eastAsia="Arial" w:cs="Arial"/>
          <w:noProof w:val="0"/>
          <w:sz w:val="22"/>
          <w:szCs w:val="22"/>
          <w:lang w:val="en-GB"/>
        </w:rPr>
        <w:t>Wherton</w:t>
      </w:r>
      <w:r w:rsidRPr="5FF0A1E2" w:rsidR="7537801C">
        <w:rPr>
          <w:rFonts w:ascii="Arial" w:hAnsi="Arial" w:eastAsia="Arial" w:cs="Arial"/>
          <w:noProof w:val="0"/>
          <w:sz w:val="22"/>
          <w:szCs w:val="22"/>
          <w:lang w:val="en-GB"/>
        </w:rPr>
        <w:t xml:space="preserve"> &amp; Shaw, 2021). However, authors differ on how to operationalise support: some recommend structured breaks and online wellbeing programmes (Seifert, Cotten &amp; Xie, 2021), while others highlight the importance of personalised guidance and teacher awareness of individual vulnerabilities (Beckmann, 2021). This </w:t>
      </w:r>
      <w:r w:rsidRPr="5FF0A1E2" w:rsidR="7537801C">
        <w:rPr>
          <w:rFonts w:ascii="Arial" w:hAnsi="Arial" w:eastAsia="Arial" w:cs="Arial"/>
          <w:noProof w:val="0"/>
          <w:sz w:val="22"/>
          <w:szCs w:val="22"/>
          <w:lang w:val="en-GB"/>
        </w:rPr>
        <w:t>indicates</w:t>
      </w:r>
      <w:r w:rsidRPr="5FF0A1E2" w:rsidR="7537801C">
        <w:rPr>
          <w:rFonts w:ascii="Arial" w:hAnsi="Arial" w:eastAsia="Arial" w:cs="Arial"/>
          <w:noProof w:val="0"/>
          <w:sz w:val="22"/>
          <w:szCs w:val="22"/>
          <w:lang w:val="en-GB"/>
        </w:rPr>
        <w:t xml:space="preserve"> that one-size-fits-all approaches are insufficient; interventions must be tailored to the needs of each child.</w:t>
      </w:r>
    </w:p>
    <w:p w:rsidRPr="007063BA" w:rsidR="002865F5" w:rsidP="5FF0A1E2" w:rsidRDefault="002865F5" w14:paraId="28E29938"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Theories, Policies, and Legislation</w:t>
      </w:r>
    </w:p>
    <w:p w:rsidR="5FF0A1E2" w:rsidP="5FF0A1E2" w:rsidRDefault="5FF0A1E2" w14:paraId="1A65A68F" w14:textId="0E315BA8">
      <w:pPr>
        <w:pStyle w:val="NormalWeb"/>
        <w:spacing w:line="360" w:lineRule="auto"/>
        <w:ind w:left="0"/>
        <w:rPr>
          <w:rStyle w:val="Strong"/>
          <w:rFonts w:ascii="Arial" w:hAnsi="Arial" w:eastAsia="Arial" w:cs="Arial"/>
          <w:sz w:val="22"/>
          <w:szCs w:val="22"/>
        </w:rPr>
      </w:pPr>
    </w:p>
    <w:p w:rsidRPr="007063BA" w:rsidR="002865F5" w:rsidP="5FF0A1E2" w:rsidRDefault="002865F5" w14:paraId="181CBEA8" w14:textId="77777777" w14:noSpellErr="1">
      <w:pPr>
        <w:pStyle w:val="NormalWeb"/>
        <w:spacing w:line="360" w:lineRule="auto"/>
        <w:ind w:left="0"/>
        <w:rPr>
          <w:rFonts w:ascii="Arial" w:hAnsi="Arial" w:eastAsia="Arial" w:cs="Arial"/>
          <w:sz w:val="22"/>
          <w:szCs w:val="22"/>
        </w:rPr>
      </w:pPr>
      <w:r w:rsidRPr="5FF0A1E2" w:rsidR="63A362F4">
        <w:rPr>
          <w:rStyle w:val="Strong"/>
          <w:rFonts w:ascii="Arial" w:hAnsi="Arial" w:eastAsia="Arial" w:cs="Arial"/>
          <w:sz w:val="22"/>
          <w:szCs w:val="22"/>
        </w:rPr>
        <w:t>Theoretical Framework:</w:t>
      </w:r>
    </w:p>
    <w:p w:rsidR="5FF0A1E2" w:rsidP="5FF0A1E2" w:rsidRDefault="5FF0A1E2" w14:paraId="3A7DF92F" w14:textId="526D74D1">
      <w:pPr>
        <w:pStyle w:val="NormalWeb"/>
        <w:spacing w:line="360" w:lineRule="auto"/>
        <w:ind w:left="0"/>
        <w:rPr>
          <w:rFonts w:ascii="Arial" w:hAnsi="Arial" w:eastAsia="Arial" w:cs="Arial"/>
          <w:noProof w:val="0"/>
          <w:sz w:val="22"/>
          <w:szCs w:val="22"/>
          <w:lang w:val="en-GB"/>
        </w:rPr>
      </w:pPr>
    </w:p>
    <w:p w:rsidR="1032FA94" w:rsidP="5FF0A1E2" w:rsidRDefault="1032FA94" w14:paraId="391B129C" w14:textId="39B259D1">
      <w:pPr>
        <w:pStyle w:val="NormalWeb"/>
        <w:spacing w:line="360" w:lineRule="auto"/>
        <w:ind w:left="0"/>
        <w:rPr>
          <w:rFonts w:ascii="Arial" w:hAnsi="Arial" w:eastAsia="Arial" w:cs="Arial"/>
          <w:noProof w:val="0"/>
          <w:sz w:val="22"/>
          <w:szCs w:val="22"/>
          <w:lang w:val="en-GB"/>
        </w:rPr>
      </w:pPr>
      <w:r w:rsidRPr="5FF0A1E2" w:rsidR="1032FA94">
        <w:rPr>
          <w:rFonts w:ascii="Arial" w:hAnsi="Arial" w:eastAsia="Arial" w:cs="Arial"/>
          <w:noProof w:val="0"/>
          <w:sz w:val="22"/>
          <w:szCs w:val="22"/>
          <w:lang w:val="en-GB"/>
        </w:rPr>
        <w:t>Several theories support an understanding of digital wellbeing.</w:t>
      </w:r>
      <w:r w:rsidRPr="5FF0A1E2" w:rsidR="34D703B8">
        <w:rPr>
          <w:rFonts w:ascii="Arial" w:hAnsi="Arial" w:eastAsia="Arial" w:cs="Arial"/>
          <w:noProof w:val="0"/>
          <w:sz w:val="22"/>
          <w:szCs w:val="22"/>
          <w:lang w:val="en-GB"/>
        </w:rPr>
        <w:t xml:space="preserve"> </w:t>
      </w:r>
    </w:p>
    <w:p w:rsidR="5FF0A1E2" w:rsidP="5FF0A1E2" w:rsidRDefault="5FF0A1E2" w14:paraId="3CF98636" w14:textId="0057A250">
      <w:pPr>
        <w:pStyle w:val="NormalWeb"/>
        <w:spacing w:line="360" w:lineRule="auto"/>
        <w:ind w:left="0"/>
        <w:rPr>
          <w:rFonts w:ascii="Arial" w:hAnsi="Arial" w:eastAsia="Arial" w:cs="Arial"/>
          <w:b w:val="0"/>
          <w:bCs w:val="0"/>
          <w:noProof w:val="0"/>
          <w:sz w:val="22"/>
          <w:szCs w:val="22"/>
          <w:lang w:val="en-GB"/>
        </w:rPr>
      </w:pPr>
    </w:p>
    <w:p w:rsidR="1032FA94" w:rsidP="5FF0A1E2" w:rsidRDefault="1032FA94" w14:paraId="2C8E9F82" w14:textId="73A96175">
      <w:pPr>
        <w:pStyle w:val="NormalWeb"/>
        <w:spacing w:line="360" w:lineRule="auto"/>
        <w:ind w:left="0"/>
        <w:rPr>
          <w:rFonts w:ascii="Arial" w:hAnsi="Arial" w:eastAsia="Arial" w:cs="Arial"/>
          <w:noProof w:val="0"/>
          <w:sz w:val="22"/>
          <w:szCs w:val="22"/>
          <w:lang w:val="en-GB"/>
        </w:rPr>
      </w:pPr>
      <w:r w:rsidRPr="5FF0A1E2" w:rsidR="1032FA94">
        <w:rPr>
          <w:rFonts w:ascii="Arial" w:hAnsi="Arial" w:eastAsia="Arial" w:cs="Arial"/>
          <w:b w:val="0"/>
          <w:bCs w:val="0"/>
          <w:noProof w:val="0"/>
          <w:sz w:val="22"/>
          <w:szCs w:val="22"/>
          <w:lang w:val="en-GB"/>
        </w:rPr>
        <w:t>Technostress Theory</w:t>
      </w:r>
      <w:r w:rsidRPr="5FF0A1E2" w:rsidR="1032FA94">
        <w:rPr>
          <w:rFonts w:ascii="Arial" w:hAnsi="Arial" w:eastAsia="Arial" w:cs="Arial"/>
          <w:noProof w:val="0"/>
          <w:sz w:val="22"/>
          <w:szCs w:val="22"/>
          <w:lang w:val="en-GB"/>
        </w:rPr>
        <w:t xml:space="preserve"> suggests that excessive digital demands can lead to strain, burnout, and reduced productivity, especially when technologies are complex or poorly designed (Tarafdar et al., 2007).</w:t>
      </w:r>
      <w:r>
        <w:br/>
      </w:r>
    </w:p>
    <w:p w:rsidR="1032FA94" w:rsidP="5FF0A1E2" w:rsidRDefault="1032FA94" w14:paraId="24FAEBB8" w14:textId="65F7E44F">
      <w:pPr>
        <w:pStyle w:val="NormalWeb"/>
        <w:spacing w:line="360" w:lineRule="auto"/>
        <w:ind w:left="0"/>
        <w:rPr>
          <w:rFonts w:ascii="Arial" w:hAnsi="Arial" w:eastAsia="Arial" w:cs="Arial"/>
          <w:noProof w:val="0"/>
          <w:sz w:val="22"/>
          <w:szCs w:val="22"/>
          <w:lang w:val="en-GB"/>
        </w:rPr>
      </w:pPr>
      <w:r w:rsidRPr="5FF0A1E2" w:rsidR="1032FA94">
        <w:rPr>
          <w:rFonts w:ascii="Arial" w:hAnsi="Arial" w:eastAsia="Arial" w:cs="Arial"/>
          <w:b w:val="0"/>
          <w:bCs w:val="0"/>
          <w:noProof w:val="0"/>
          <w:sz w:val="22"/>
          <w:szCs w:val="22"/>
          <w:lang w:val="en-GB"/>
        </w:rPr>
        <w:t>Cognitive Load Theory</w:t>
      </w:r>
      <w:r w:rsidRPr="5FF0A1E2" w:rsidR="1032FA94">
        <w:rPr>
          <w:rFonts w:ascii="Arial" w:hAnsi="Arial" w:eastAsia="Arial" w:cs="Arial"/>
          <w:noProof w:val="0"/>
          <w:sz w:val="22"/>
          <w:szCs w:val="22"/>
          <w:lang w:val="en-GB"/>
        </w:rPr>
        <w:t xml:space="preserve"> explains that digital multitasking and notifications increase mental overload, reducing concentration, performance, and emotional stability (</w:t>
      </w:r>
      <w:r w:rsidRPr="5FF0A1E2" w:rsidR="1032FA94">
        <w:rPr>
          <w:rFonts w:ascii="Arial" w:hAnsi="Arial" w:eastAsia="Arial" w:cs="Arial"/>
          <w:noProof w:val="0"/>
          <w:sz w:val="22"/>
          <w:szCs w:val="22"/>
          <w:lang w:val="en-GB"/>
        </w:rPr>
        <w:t>Sweller</w:t>
      </w:r>
      <w:r w:rsidRPr="5FF0A1E2" w:rsidR="1032FA94">
        <w:rPr>
          <w:rFonts w:ascii="Arial" w:hAnsi="Arial" w:eastAsia="Arial" w:cs="Arial"/>
          <w:noProof w:val="0"/>
          <w:sz w:val="22"/>
          <w:szCs w:val="22"/>
          <w:lang w:val="en-GB"/>
        </w:rPr>
        <w:t>, 2019).</w:t>
      </w:r>
      <w:r>
        <w:br/>
      </w:r>
    </w:p>
    <w:p w:rsidR="1032FA94" w:rsidP="5FF0A1E2" w:rsidRDefault="1032FA94" w14:paraId="459BBD85" w14:textId="42E08D0B">
      <w:pPr>
        <w:pStyle w:val="NormalWeb"/>
        <w:spacing w:line="360" w:lineRule="auto"/>
        <w:ind w:left="0"/>
        <w:rPr>
          <w:rFonts w:ascii="Arial" w:hAnsi="Arial" w:eastAsia="Arial" w:cs="Arial"/>
          <w:noProof w:val="0"/>
          <w:sz w:val="22"/>
          <w:szCs w:val="22"/>
          <w:lang w:val="en-GB"/>
        </w:rPr>
      </w:pPr>
      <w:r w:rsidRPr="5FF0A1E2" w:rsidR="1032FA94">
        <w:rPr>
          <w:rFonts w:ascii="Arial" w:hAnsi="Arial" w:eastAsia="Arial" w:cs="Arial"/>
          <w:noProof w:val="0"/>
          <w:sz w:val="22"/>
          <w:szCs w:val="22"/>
          <w:lang w:val="en-GB"/>
        </w:rPr>
        <w:t xml:space="preserve">In contrast, </w:t>
      </w:r>
      <w:r w:rsidRPr="5FF0A1E2" w:rsidR="1032FA94">
        <w:rPr>
          <w:rFonts w:ascii="Arial" w:hAnsi="Arial" w:eastAsia="Arial" w:cs="Arial"/>
          <w:b w:val="0"/>
          <w:bCs w:val="0"/>
          <w:noProof w:val="0"/>
          <w:sz w:val="22"/>
          <w:szCs w:val="22"/>
          <w:lang w:val="en-GB"/>
        </w:rPr>
        <w:t>Uses and Gratifications Theory</w:t>
      </w:r>
      <w:r w:rsidRPr="5FF0A1E2" w:rsidR="1032FA94">
        <w:rPr>
          <w:rFonts w:ascii="Arial" w:hAnsi="Arial" w:eastAsia="Arial" w:cs="Arial"/>
          <w:noProof w:val="0"/>
          <w:sz w:val="22"/>
          <w:szCs w:val="22"/>
          <w:lang w:val="en-GB"/>
        </w:rPr>
        <w:t xml:space="preserve"> posits that individuals actively use digital platforms to fulfil social, emotional, and informational needs, helping explain positive wellbeing outcomes (Ruggiero, 2000).</w:t>
      </w:r>
    </w:p>
    <w:p w:rsidR="5FF0A1E2" w:rsidP="5FF0A1E2" w:rsidRDefault="5FF0A1E2" w14:paraId="2516F47E" w14:textId="49F9BC82">
      <w:pPr>
        <w:pStyle w:val="NormalWeb"/>
        <w:spacing w:line="360" w:lineRule="auto"/>
        <w:ind w:left="0"/>
        <w:rPr>
          <w:rFonts w:ascii="Arial" w:hAnsi="Arial" w:eastAsia="Arial" w:cs="Arial"/>
          <w:noProof w:val="0"/>
          <w:sz w:val="22"/>
          <w:szCs w:val="22"/>
          <w:lang w:val="en-GB"/>
        </w:rPr>
      </w:pPr>
    </w:p>
    <w:p w:rsidR="1032FA94" w:rsidP="5FF0A1E2" w:rsidRDefault="1032FA94" w14:paraId="36BA50AA" w14:textId="021E3B57">
      <w:pPr>
        <w:pStyle w:val="NormalWeb"/>
        <w:spacing w:line="360" w:lineRule="auto"/>
        <w:ind w:left="0"/>
        <w:rPr>
          <w:rFonts w:ascii="Arial" w:hAnsi="Arial" w:eastAsia="Arial" w:cs="Arial"/>
          <w:noProof w:val="0"/>
          <w:sz w:val="22"/>
          <w:szCs w:val="22"/>
          <w:lang w:val="en-GB"/>
        </w:rPr>
      </w:pPr>
      <w:r w:rsidRPr="5FF0A1E2" w:rsidR="1032FA94">
        <w:rPr>
          <w:rFonts w:ascii="Arial" w:hAnsi="Arial" w:eastAsia="Arial" w:cs="Arial"/>
          <w:noProof w:val="0"/>
          <w:sz w:val="22"/>
          <w:szCs w:val="22"/>
          <w:lang w:val="en-GB"/>
        </w:rPr>
        <w:t>Together, these theories emphasise that digital wellbeing is shaped by both environmental pressures and personal motivations.</w:t>
      </w:r>
    </w:p>
    <w:p w:rsidR="5FF0A1E2" w:rsidP="5FF0A1E2" w:rsidRDefault="5FF0A1E2" w14:paraId="37BFC700" w14:textId="6392B5D3">
      <w:pPr>
        <w:pStyle w:val="NormalWeb"/>
        <w:spacing w:line="360" w:lineRule="auto"/>
        <w:ind w:left="0"/>
        <w:rPr>
          <w:rStyle w:val="Strong"/>
          <w:rFonts w:ascii="Arial" w:hAnsi="Arial" w:eastAsia="Arial" w:cs="Arial"/>
          <w:sz w:val="22"/>
          <w:szCs w:val="22"/>
        </w:rPr>
      </w:pPr>
    </w:p>
    <w:p w:rsidRPr="007063BA" w:rsidR="002865F5" w:rsidP="5FF0A1E2" w:rsidRDefault="002865F5" w14:paraId="0FC93BF7" w14:textId="77777777" w14:noSpellErr="1">
      <w:pPr>
        <w:pStyle w:val="NormalWeb"/>
        <w:spacing w:line="360" w:lineRule="auto"/>
        <w:ind w:left="0"/>
        <w:rPr>
          <w:rFonts w:ascii="Arial" w:hAnsi="Arial" w:eastAsia="Arial" w:cs="Arial"/>
          <w:sz w:val="22"/>
          <w:szCs w:val="22"/>
        </w:rPr>
      </w:pPr>
      <w:r w:rsidRPr="5FF0A1E2" w:rsidR="63A362F4">
        <w:rPr>
          <w:rStyle w:val="Strong"/>
          <w:rFonts w:ascii="Arial" w:hAnsi="Arial" w:eastAsia="Arial" w:cs="Arial"/>
          <w:sz w:val="22"/>
          <w:szCs w:val="22"/>
        </w:rPr>
        <w:t>Policy and Legislation:</w:t>
      </w:r>
    </w:p>
    <w:p w:rsidR="5FF0A1E2" w:rsidP="5FF0A1E2" w:rsidRDefault="5FF0A1E2" w14:paraId="7981BF37" w14:textId="3DF298F8">
      <w:pPr>
        <w:pStyle w:val="Normal"/>
        <w:spacing w:line="360" w:lineRule="auto"/>
        <w:rPr>
          <w:rFonts w:ascii="Arial" w:hAnsi="Arial" w:eastAsia="Arial" w:cs="Arial"/>
          <w:noProof w:val="0"/>
          <w:sz w:val="22"/>
          <w:szCs w:val="22"/>
          <w:lang w:val="en-GB"/>
        </w:rPr>
      </w:pPr>
    </w:p>
    <w:p w:rsidR="21D9F8F8" w:rsidP="5FF0A1E2" w:rsidRDefault="21D9F8F8" w14:paraId="770F63D5" w14:textId="43A1340C">
      <w:pPr>
        <w:pStyle w:val="Normal"/>
        <w:spacing w:line="360" w:lineRule="auto"/>
        <w:rPr>
          <w:rFonts w:ascii="Arial" w:hAnsi="Arial" w:eastAsia="Arial" w:cs="Arial"/>
          <w:noProof w:val="0"/>
          <w:sz w:val="22"/>
          <w:szCs w:val="22"/>
          <w:lang w:val="en-GB"/>
        </w:rPr>
      </w:pPr>
      <w:r w:rsidRPr="5FF0A1E2" w:rsidR="21D9F8F8">
        <w:rPr>
          <w:rFonts w:ascii="Arial" w:hAnsi="Arial" w:eastAsia="Arial" w:cs="Arial"/>
          <w:noProof w:val="0"/>
          <w:sz w:val="22"/>
          <w:szCs w:val="22"/>
          <w:lang w:val="en-GB"/>
        </w:rPr>
        <w:t xml:space="preserve">Governments and organisations have increasingly recognised digital wellbeing as a policy priority. The UK’s Online Safety Act </w:t>
      </w:r>
      <w:r w:rsidRPr="5FF0A1E2" w:rsidR="21D9F8F8">
        <w:rPr>
          <w:rFonts w:ascii="Arial" w:hAnsi="Arial" w:eastAsia="Arial" w:cs="Arial"/>
          <w:noProof w:val="0"/>
          <w:sz w:val="22"/>
          <w:szCs w:val="22"/>
          <w:lang w:val="en-GB"/>
        </w:rPr>
        <w:t>seeks</w:t>
      </w:r>
      <w:r w:rsidRPr="5FF0A1E2" w:rsidR="21D9F8F8">
        <w:rPr>
          <w:rFonts w:ascii="Arial" w:hAnsi="Arial" w:eastAsia="Arial" w:cs="Arial"/>
          <w:noProof w:val="0"/>
          <w:sz w:val="22"/>
          <w:szCs w:val="22"/>
          <w:lang w:val="en-GB"/>
        </w:rPr>
        <w:t xml:space="preserve"> to limit harmful online content, protecting users</w:t>
      </w:r>
      <w:r w:rsidRPr="5FF0A1E2" w:rsidR="2DE1B9F1">
        <w:rPr>
          <w:rFonts w:ascii="Arial" w:hAnsi="Arial" w:eastAsia="Arial" w:cs="Arial"/>
          <w:noProof w:val="0"/>
          <w:sz w:val="22"/>
          <w:szCs w:val="22"/>
          <w:lang w:val="en-GB"/>
        </w:rPr>
        <w:t xml:space="preserve"> </w:t>
      </w:r>
      <w:r w:rsidRPr="5FF0A1E2" w:rsidR="21D9F8F8">
        <w:rPr>
          <w:rFonts w:ascii="Arial" w:hAnsi="Arial" w:eastAsia="Arial" w:cs="Arial"/>
          <w:noProof w:val="0"/>
          <w:sz w:val="22"/>
          <w:szCs w:val="22"/>
          <w:lang w:val="en-GB"/>
        </w:rPr>
        <w:t>particularly young people</w:t>
      </w:r>
      <w:r w:rsidRPr="5FF0A1E2" w:rsidR="10824A9D">
        <w:rPr>
          <w:rFonts w:ascii="Arial" w:hAnsi="Arial" w:eastAsia="Arial" w:cs="Arial"/>
          <w:noProof w:val="0"/>
          <w:sz w:val="22"/>
          <w:szCs w:val="22"/>
          <w:lang w:val="en-GB"/>
        </w:rPr>
        <w:t xml:space="preserve"> </w:t>
      </w:r>
      <w:r w:rsidRPr="5FF0A1E2" w:rsidR="21D9F8F8">
        <w:rPr>
          <w:rFonts w:ascii="Arial" w:hAnsi="Arial" w:eastAsia="Arial" w:cs="Arial"/>
          <w:noProof w:val="0"/>
          <w:sz w:val="22"/>
          <w:szCs w:val="22"/>
          <w:lang w:val="en-GB"/>
        </w:rPr>
        <w:t xml:space="preserve">from psychological risks. The EU Digital Services Act also aims to reduce harmful digital environments by regulating algorithmic transparency and platform accountability. Workplace guidelines, such as the EU right-to-disconnect policies, address digital burnout by limiting work-related communication outside of normal hours (Pereira et al., 2022). While these policies promote healthier digital environments, critics argue that enforcement is inconsistent, and many measures </w:t>
      </w:r>
      <w:r w:rsidRPr="5FF0A1E2" w:rsidR="21D9F8F8">
        <w:rPr>
          <w:rFonts w:ascii="Arial" w:hAnsi="Arial" w:eastAsia="Arial" w:cs="Arial"/>
          <w:noProof w:val="0"/>
          <w:sz w:val="22"/>
          <w:szCs w:val="22"/>
          <w:lang w:val="en-GB"/>
        </w:rPr>
        <w:t>fail to</w:t>
      </w:r>
      <w:r w:rsidRPr="5FF0A1E2" w:rsidR="21D9F8F8">
        <w:rPr>
          <w:rFonts w:ascii="Arial" w:hAnsi="Arial" w:eastAsia="Arial" w:cs="Arial"/>
          <w:noProof w:val="0"/>
          <w:sz w:val="22"/>
          <w:szCs w:val="22"/>
          <w:lang w:val="en-GB"/>
        </w:rPr>
        <w:t xml:space="preserve"> tackle the root causes of digital overload (</w:t>
      </w:r>
      <w:r w:rsidRPr="5FF0A1E2" w:rsidR="21D9F8F8">
        <w:rPr>
          <w:rFonts w:ascii="Arial" w:hAnsi="Arial" w:eastAsia="Arial" w:cs="Arial"/>
          <w:noProof w:val="0"/>
          <w:sz w:val="22"/>
          <w:szCs w:val="22"/>
          <w:lang w:val="en-GB"/>
        </w:rPr>
        <w:t>Büchi</w:t>
      </w:r>
      <w:r w:rsidRPr="5FF0A1E2" w:rsidR="21D9F8F8">
        <w:rPr>
          <w:rFonts w:ascii="Arial" w:hAnsi="Arial" w:eastAsia="Arial" w:cs="Arial"/>
          <w:noProof w:val="0"/>
          <w:sz w:val="22"/>
          <w:szCs w:val="22"/>
          <w:lang w:val="en-GB"/>
        </w:rPr>
        <w:t xml:space="preserve"> &amp; </w:t>
      </w:r>
      <w:r w:rsidRPr="5FF0A1E2" w:rsidR="21D9F8F8">
        <w:rPr>
          <w:rFonts w:ascii="Arial" w:hAnsi="Arial" w:eastAsia="Arial" w:cs="Arial"/>
          <w:noProof w:val="0"/>
          <w:sz w:val="22"/>
          <w:szCs w:val="22"/>
          <w:lang w:val="en-GB"/>
        </w:rPr>
        <w:t>Festic</w:t>
      </w:r>
      <w:r w:rsidRPr="5FF0A1E2" w:rsidR="21D9F8F8">
        <w:rPr>
          <w:rFonts w:ascii="Arial" w:hAnsi="Arial" w:eastAsia="Arial" w:cs="Arial"/>
          <w:noProof w:val="0"/>
          <w:sz w:val="22"/>
          <w:szCs w:val="22"/>
          <w:lang w:val="en-GB"/>
        </w:rPr>
        <w:t>, 2023).</w:t>
      </w:r>
    </w:p>
    <w:p w:rsidRPr="007063BA" w:rsidR="002865F5" w:rsidP="5FF0A1E2" w:rsidRDefault="002865F5" w14:paraId="637B0DED"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Implications</w:t>
      </w:r>
    </w:p>
    <w:p w:rsidR="5FF0A1E2" w:rsidP="5FF0A1E2" w:rsidRDefault="5FF0A1E2" w14:paraId="6C6BB256" w14:textId="14E9D25F">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02D216F1"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Positive and Negative Implications:</w:t>
      </w:r>
    </w:p>
    <w:p w:rsidR="5FF0A1E2" w:rsidP="5FF0A1E2" w:rsidRDefault="5FF0A1E2" w14:paraId="55E4A597" w14:textId="621852C4">
      <w:pPr>
        <w:pStyle w:val="Normal"/>
        <w:spacing w:line="360" w:lineRule="auto"/>
        <w:rPr>
          <w:rFonts w:ascii="Arial" w:hAnsi="Arial" w:eastAsia="Arial" w:cs="Arial"/>
          <w:noProof w:val="0"/>
          <w:sz w:val="22"/>
          <w:szCs w:val="22"/>
          <w:lang w:val="en-GB"/>
        </w:rPr>
      </w:pPr>
    </w:p>
    <w:p w:rsidR="216DB259" w:rsidP="5FF0A1E2" w:rsidRDefault="216DB259" w14:paraId="03FD3D54" w14:textId="6849E94E">
      <w:pPr>
        <w:pStyle w:val="Normal"/>
        <w:spacing w:line="360" w:lineRule="auto"/>
        <w:rPr>
          <w:rFonts w:ascii="Arial" w:hAnsi="Arial" w:eastAsia="Arial" w:cs="Arial"/>
          <w:noProof w:val="0"/>
          <w:sz w:val="22"/>
          <w:szCs w:val="22"/>
          <w:lang w:val="en-GB"/>
        </w:rPr>
      </w:pPr>
      <w:r w:rsidRPr="5FF0A1E2" w:rsidR="216DB259">
        <w:rPr>
          <w:rFonts w:ascii="Arial" w:hAnsi="Arial" w:eastAsia="Arial" w:cs="Arial"/>
          <w:noProof w:val="0"/>
          <w:sz w:val="22"/>
          <w:szCs w:val="22"/>
          <w:lang w:val="en-GB"/>
        </w:rPr>
        <w:t xml:space="preserve">Digital engagement can promote psychological wellbeing by supporting social relationships, providing access to mental health resources, and enhancing educational and personal development (Valkenburg et al., 2022). When used intentionally, digital tools can empower users, reduce isolation, and support resilience. For research contexts, understanding these benefits helps highlight how digital platforms can enhance user experiences when </w:t>
      </w:r>
      <w:r w:rsidRPr="5FF0A1E2" w:rsidR="216DB259">
        <w:rPr>
          <w:rFonts w:ascii="Arial" w:hAnsi="Arial" w:eastAsia="Arial" w:cs="Arial"/>
          <w:noProof w:val="0"/>
          <w:sz w:val="22"/>
          <w:szCs w:val="22"/>
          <w:lang w:val="en-GB"/>
        </w:rPr>
        <w:t>properly designed</w:t>
      </w:r>
      <w:r w:rsidRPr="5FF0A1E2" w:rsidR="216DB259">
        <w:rPr>
          <w:rFonts w:ascii="Arial" w:hAnsi="Arial" w:eastAsia="Arial" w:cs="Arial"/>
          <w:noProof w:val="0"/>
          <w:sz w:val="22"/>
          <w:szCs w:val="22"/>
          <w:lang w:val="en-GB"/>
        </w:rPr>
        <w:t xml:space="preserve"> and supported.</w:t>
      </w:r>
    </w:p>
    <w:p w:rsidR="216DB259" w:rsidP="5FF0A1E2" w:rsidRDefault="216DB259" w14:paraId="404F1546" w14:textId="7D54169C">
      <w:pPr>
        <w:pStyle w:val="Normal"/>
        <w:spacing w:line="360" w:lineRule="auto"/>
        <w:rPr>
          <w:rFonts w:ascii="Arial" w:hAnsi="Arial" w:eastAsia="Arial" w:cs="Arial"/>
          <w:noProof w:val="0"/>
          <w:sz w:val="22"/>
          <w:szCs w:val="22"/>
          <w:lang w:val="en-GB"/>
        </w:rPr>
      </w:pPr>
      <w:r w:rsidRPr="5FF0A1E2" w:rsidR="216DB259">
        <w:rPr>
          <w:rFonts w:ascii="Arial" w:hAnsi="Arial" w:eastAsia="Arial" w:cs="Arial"/>
          <w:noProof w:val="0"/>
          <w:sz w:val="22"/>
          <w:szCs w:val="22"/>
          <w:lang w:val="en-GB"/>
        </w:rPr>
        <w:t xml:space="preserve">However, poor digital wellbeing can limit users’ ability to engage meaningfully with digital services. </w:t>
      </w:r>
      <w:r w:rsidRPr="5FF0A1E2" w:rsidR="216DB259">
        <w:rPr>
          <w:rFonts w:ascii="Arial" w:hAnsi="Arial" w:eastAsia="Arial" w:cs="Arial"/>
          <w:noProof w:val="0"/>
          <w:sz w:val="22"/>
          <w:szCs w:val="22"/>
          <w:lang w:val="en-GB"/>
        </w:rPr>
        <w:t>High levels</w:t>
      </w:r>
      <w:r w:rsidRPr="5FF0A1E2" w:rsidR="216DB259">
        <w:rPr>
          <w:rFonts w:ascii="Arial" w:hAnsi="Arial" w:eastAsia="Arial" w:cs="Arial"/>
          <w:noProof w:val="0"/>
          <w:sz w:val="22"/>
          <w:szCs w:val="22"/>
          <w:lang w:val="en-GB"/>
        </w:rPr>
        <w:t xml:space="preserve"> of technostress may reduce motivation, increase avoidance behaviours, and lead to frustration or withdrawal (Ayyagari et al., 2011). In settings such as online learning or public digital services, wellbeing challenges can amplify inequalities by disproportionately affecting individuals with fewer coping resources or digital skills. Ignoring psychological impacts in research could lead to incomplete or inaccurate interpretations of user behaviour.</w:t>
      </w:r>
    </w:p>
    <w:p w:rsidRPr="007063BA" w:rsidR="002865F5" w:rsidP="5FF0A1E2" w:rsidRDefault="002865F5" w14:paraId="2E03454B"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Examples and Case Studies</w:t>
      </w:r>
    </w:p>
    <w:p w:rsidR="5FF0A1E2" w:rsidP="5FF0A1E2" w:rsidRDefault="5FF0A1E2" w14:paraId="6E391125" w14:textId="40900B79">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4E861102"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Illustrative Examples:</w:t>
      </w:r>
    </w:p>
    <w:p w:rsidR="5FF0A1E2" w:rsidP="5FF0A1E2" w:rsidRDefault="5FF0A1E2" w14:paraId="11E15433" w14:textId="0C2B161A">
      <w:pPr>
        <w:pStyle w:val="Normal"/>
        <w:spacing w:line="360" w:lineRule="auto"/>
        <w:rPr>
          <w:rFonts w:ascii="Arial" w:hAnsi="Arial" w:eastAsia="Arial" w:cs="Arial"/>
          <w:noProof w:val="0"/>
          <w:sz w:val="22"/>
          <w:szCs w:val="22"/>
          <w:lang w:val="en-GB"/>
        </w:rPr>
      </w:pPr>
    </w:p>
    <w:p w:rsidR="7D8774FC" w:rsidP="5FF0A1E2" w:rsidRDefault="7D8774FC" w14:paraId="69A6E427" w14:textId="43146A06">
      <w:pPr>
        <w:pStyle w:val="Normal"/>
        <w:spacing w:line="360" w:lineRule="auto"/>
        <w:rPr>
          <w:rFonts w:ascii="Arial" w:hAnsi="Arial" w:eastAsia="Arial" w:cs="Arial"/>
          <w:noProof w:val="0"/>
          <w:sz w:val="22"/>
          <w:szCs w:val="22"/>
          <w:lang w:val="en-GB"/>
        </w:rPr>
      </w:pPr>
      <w:r w:rsidRPr="5FF0A1E2" w:rsidR="7D8774FC">
        <w:rPr>
          <w:rFonts w:ascii="Arial" w:hAnsi="Arial" w:eastAsia="Arial" w:cs="Arial"/>
          <w:noProof w:val="0"/>
          <w:sz w:val="22"/>
          <w:szCs w:val="22"/>
          <w:lang w:val="en-GB"/>
        </w:rPr>
        <w:t xml:space="preserve">Several case studies highlight the influence of digital wellbeing on user experiences. Research during the pandemic found that university students experiencing digital fatigue reported lower engagement, poorer academic performance, and reduced satisfaction with online learning (Nadler, 2020). In healthcare, patients using digital health apps reported that frequent notifications and complex interfaces created anxiety, reducing their use of remote monitoring tools (Greenhalgh et al., 2021). These cases </w:t>
      </w:r>
      <w:r w:rsidRPr="5FF0A1E2" w:rsidR="7D8774FC">
        <w:rPr>
          <w:rFonts w:ascii="Arial" w:hAnsi="Arial" w:eastAsia="Arial" w:cs="Arial"/>
          <w:noProof w:val="0"/>
          <w:sz w:val="22"/>
          <w:szCs w:val="22"/>
          <w:lang w:val="en-GB"/>
        </w:rPr>
        <w:t>demonstrate</w:t>
      </w:r>
      <w:r w:rsidRPr="5FF0A1E2" w:rsidR="7D8774FC">
        <w:rPr>
          <w:rFonts w:ascii="Arial" w:hAnsi="Arial" w:eastAsia="Arial" w:cs="Arial"/>
          <w:noProof w:val="0"/>
          <w:sz w:val="22"/>
          <w:szCs w:val="22"/>
          <w:lang w:val="en-GB"/>
        </w:rPr>
        <w:t xml:space="preserve"> that digital wellbeing directly affects digital participation and can moderate the effectiveness of digital interventions.</w:t>
      </w:r>
    </w:p>
    <w:p w:rsidRPr="007063BA" w:rsidR="002865F5" w:rsidP="5FF0A1E2" w:rsidRDefault="002865F5" w14:paraId="486EB594" w14:textId="77777777" w14:noSpellErr="1">
      <w:pPr>
        <w:pStyle w:val="Heading4"/>
        <w:spacing w:line="360" w:lineRule="auto"/>
        <w:rPr>
          <w:rFonts w:ascii="Arial" w:hAnsi="Arial" w:eastAsia="Arial" w:cs="Arial"/>
          <w:sz w:val="22"/>
          <w:szCs w:val="22"/>
        </w:rPr>
      </w:pPr>
      <w:r w:rsidRPr="5FF0A1E2" w:rsidR="63A362F4">
        <w:rPr>
          <w:rFonts w:ascii="Arial" w:hAnsi="Arial" w:eastAsia="Arial" w:cs="Arial"/>
          <w:sz w:val="22"/>
          <w:szCs w:val="22"/>
        </w:rPr>
        <w:t>Connections to Other Themes</w:t>
      </w:r>
    </w:p>
    <w:p w:rsidR="5FF0A1E2" w:rsidP="5FF0A1E2" w:rsidRDefault="5FF0A1E2" w14:paraId="08602830" w14:textId="66A10632">
      <w:pPr>
        <w:spacing w:beforeAutospacing="on" w:afterAutospacing="on" w:line="360" w:lineRule="auto"/>
        <w:ind w:left="0"/>
        <w:jc w:val="left"/>
        <w:rPr>
          <w:rStyle w:val="Strong"/>
          <w:rFonts w:ascii="Arial" w:hAnsi="Arial" w:eastAsia="Arial" w:cs="Arial"/>
          <w:sz w:val="22"/>
          <w:szCs w:val="22"/>
        </w:rPr>
      </w:pPr>
    </w:p>
    <w:p w:rsidRPr="007063BA" w:rsidR="002865F5" w:rsidP="5FF0A1E2" w:rsidRDefault="002865F5" w14:paraId="5A38C502" w14:textId="77777777" w14:noSpellErr="1">
      <w:pPr>
        <w:spacing w:before="100" w:beforeAutospacing="on" w:after="100" w:afterAutospacing="on" w:line="360" w:lineRule="auto"/>
        <w:ind w:left="0"/>
        <w:jc w:val="left"/>
        <w:rPr>
          <w:rStyle w:val="Strong"/>
          <w:rFonts w:ascii="Arial" w:hAnsi="Arial" w:eastAsia="Arial" w:cs="Arial"/>
          <w:sz w:val="22"/>
          <w:szCs w:val="22"/>
        </w:rPr>
      </w:pPr>
      <w:r w:rsidRPr="5FF0A1E2" w:rsidR="63A362F4">
        <w:rPr>
          <w:rStyle w:val="Strong"/>
          <w:rFonts w:ascii="Arial" w:hAnsi="Arial" w:eastAsia="Arial" w:cs="Arial"/>
          <w:sz w:val="22"/>
          <w:szCs w:val="22"/>
        </w:rPr>
        <w:t>Interconnections:</w:t>
      </w:r>
    </w:p>
    <w:p w:rsidR="5FF0A1E2" w:rsidP="5FF0A1E2" w:rsidRDefault="5FF0A1E2" w14:paraId="7C807F41" w14:textId="71D4C2E6">
      <w:pPr>
        <w:pStyle w:val="Normal"/>
        <w:spacing w:line="360" w:lineRule="auto"/>
        <w:rPr>
          <w:rFonts w:ascii="Arial" w:hAnsi="Arial" w:eastAsia="Arial" w:cs="Arial"/>
          <w:noProof w:val="0"/>
          <w:sz w:val="22"/>
          <w:szCs w:val="22"/>
          <w:lang w:val="en-GB"/>
        </w:rPr>
      </w:pPr>
    </w:p>
    <w:p w:rsidR="586ECB79" w:rsidP="5FF0A1E2" w:rsidRDefault="586ECB79" w14:paraId="4ED8CCEC" w14:textId="40499929">
      <w:pPr>
        <w:pStyle w:val="Normal"/>
        <w:spacing w:line="360" w:lineRule="auto"/>
        <w:rPr>
          <w:rFonts w:ascii="Arial" w:hAnsi="Arial" w:eastAsia="Arial" w:cs="Arial"/>
          <w:noProof w:val="0"/>
          <w:sz w:val="22"/>
          <w:szCs w:val="22"/>
          <w:lang w:val="en-GB"/>
        </w:rPr>
      </w:pPr>
      <w:r w:rsidRPr="5FF0A1E2" w:rsidR="586ECB79">
        <w:rPr>
          <w:rFonts w:ascii="Arial" w:hAnsi="Arial" w:eastAsia="Arial" w:cs="Arial"/>
          <w:noProof w:val="0"/>
          <w:sz w:val="22"/>
          <w:szCs w:val="22"/>
          <w:lang w:val="en-GB"/>
        </w:rPr>
        <w:t xml:space="preserve">Theme 3 strongly overlaps with </w:t>
      </w:r>
      <w:r w:rsidRPr="5FF0A1E2" w:rsidR="586ECB79">
        <w:rPr>
          <w:rFonts w:ascii="Arial" w:hAnsi="Arial" w:eastAsia="Arial" w:cs="Arial"/>
          <w:b w:val="0"/>
          <w:bCs w:val="0"/>
          <w:noProof w:val="0"/>
          <w:sz w:val="22"/>
          <w:szCs w:val="22"/>
          <w:lang w:val="en-GB"/>
        </w:rPr>
        <w:t>Theme 1 (Digital Engagement and Motivation)</w:t>
      </w:r>
      <w:r w:rsidRPr="5FF0A1E2" w:rsidR="586ECB79">
        <w:rPr>
          <w:rFonts w:ascii="Arial" w:hAnsi="Arial" w:eastAsia="Arial" w:cs="Arial"/>
          <w:noProof w:val="0"/>
          <w:sz w:val="22"/>
          <w:szCs w:val="22"/>
          <w:lang w:val="en-GB"/>
        </w:rPr>
        <w:t xml:space="preserve"> because psychological wellbeing shapes willingness to use digital platforms. It also connects closely with </w:t>
      </w:r>
      <w:r w:rsidRPr="5FF0A1E2" w:rsidR="586ECB79">
        <w:rPr>
          <w:rFonts w:ascii="Arial" w:hAnsi="Arial" w:eastAsia="Arial" w:cs="Arial"/>
          <w:b w:val="0"/>
          <w:bCs w:val="0"/>
          <w:noProof w:val="0"/>
          <w:sz w:val="22"/>
          <w:szCs w:val="22"/>
          <w:lang w:val="en-GB"/>
        </w:rPr>
        <w:t>Theme 2 (Digital Inequality)</w:t>
      </w:r>
      <w:r w:rsidRPr="5FF0A1E2" w:rsidR="586ECB79">
        <w:rPr>
          <w:rFonts w:ascii="Arial" w:hAnsi="Arial" w:eastAsia="Arial" w:cs="Arial"/>
          <w:b w:val="0"/>
          <w:bCs w:val="0"/>
          <w:noProof w:val="0"/>
          <w:sz w:val="22"/>
          <w:szCs w:val="22"/>
          <w:lang w:val="en-GB"/>
        </w:rPr>
        <w:t>,</w:t>
      </w:r>
      <w:r w:rsidRPr="5FF0A1E2" w:rsidR="586ECB79">
        <w:rPr>
          <w:rFonts w:ascii="Arial" w:hAnsi="Arial" w:eastAsia="Arial" w:cs="Arial"/>
          <w:noProof w:val="0"/>
          <w:sz w:val="22"/>
          <w:szCs w:val="22"/>
          <w:lang w:val="en-GB"/>
        </w:rPr>
        <w:t xml:space="preserve"> as individuals with lower access or skills may be more vulnerable to technostress and burnout. These interconnections highlight that digital participation is multidimensional, influenced by structural, emotional, and experiential factors. Recognising these relationships strengthens the analysis by showing that digital wellbeing is not an isolated issue but linked to broader digital ecosystems.</w:t>
      </w:r>
      <w:r w:rsidRPr="5FF0A1E2" w:rsidR="35B257CD">
        <w:rPr>
          <w:rFonts w:ascii="Arial" w:hAnsi="Arial" w:eastAsia="Arial" w:cs="Arial"/>
          <w:noProof w:val="0"/>
          <w:sz w:val="22"/>
          <w:szCs w:val="22"/>
          <w:lang w:val="en-GB"/>
        </w:rPr>
        <w:t xml:space="preserve"> </w:t>
      </w:r>
    </w:p>
    <w:p w:rsidR="11127F4F" w:rsidP="5FF0A1E2" w:rsidRDefault="11127F4F" w14:paraId="45464456" w14:textId="1A0C6604">
      <w:pPr>
        <w:pStyle w:val="Normal"/>
        <w:spacing w:line="360" w:lineRule="auto"/>
        <w:rPr>
          <w:rFonts w:ascii="Arial" w:hAnsi="Arial" w:eastAsia="Arial" w:cs="Arial"/>
          <w:noProof w:val="0"/>
          <w:sz w:val="22"/>
          <w:szCs w:val="22"/>
          <w:lang w:val="en-GB"/>
        </w:rPr>
      </w:pPr>
      <w:r w:rsidRPr="5FF0A1E2" w:rsidR="11127F4F">
        <w:rPr>
          <w:rFonts w:ascii="Arial" w:hAnsi="Arial" w:eastAsia="Arial" w:cs="Arial"/>
          <w:noProof w:val="0"/>
          <w:sz w:val="22"/>
          <w:szCs w:val="22"/>
          <w:lang w:val="en-GB"/>
        </w:rPr>
        <w:t>This theme contributes to Objective 3 by exploring the psychological effects of digital learning and social isolation on children with chronic illnesses. It reinforces the overall aim by highlighting the importance of balancing digital engagement with mental health support to ensure holistic educational outcomes.</w:t>
      </w:r>
    </w:p>
    <w:p w:rsidR="087EA086" w:rsidP="5FF0A1E2" w:rsidRDefault="087EA086" w14:paraId="3BC913B1" w14:textId="6114CB6A">
      <w:pPr>
        <w:pStyle w:val="Normal"/>
        <w:spacing w:line="360" w:lineRule="auto"/>
        <w:rPr>
          <w:rFonts w:ascii="Arial" w:hAnsi="Arial" w:eastAsia="Arial" w:cs="Arial"/>
          <w:noProof w:val="0"/>
          <w:sz w:val="22"/>
          <w:szCs w:val="22"/>
          <w:lang w:val="en-GB"/>
        </w:rPr>
      </w:pPr>
      <w:r w:rsidRPr="5FF0A1E2" w:rsidR="087EA086">
        <w:rPr>
          <w:rFonts w:ascii="Arial" w:hAnsi="Arial" w:eastAsia="Arial" w:cs="Arial"/>
          <w:noProof w:val="0"/>
          <w:sz w:val="22"/>
          <w:szCs w:val="22"/>
          <w:lang w:val="en-GB"/>
        </w:rPr>
        <w:t xml:space="preserve">Together, these themes </w:t>
      </w:r>
      <w:r w:rsidRPr="5FF0A1E2" w:rsidR="087EA086">
        <w:rPr>
          <w:rFonts w:ascii="Arial" w:hAnsi="Arial" w:eastAsia="Arial" w:cs="Arial"/>
          <w:noProof w:val="0"/>
          <w:sz w:val="22"/>
          <w:szCs w:val="22"/>
          <w:lang w:val="en-GB"/>
        </w:rPr>
        <w:t>demonstrate</w:t>
      </w:r>
      <w:r w:rsidRPr="5FF0A1E2" w:rsidR="087EA086">
        <w:rPr>
          <w:rFonts w:ascii="Arial" w:hAnsi="Arial" w:eastAsia="Arial" w:cs="Arial"/>
          <w:noProof w:val="0"/>
          <w:sz w:val="22"/>
          <w:szCs w:val="22"/>
          <w:lang w:val="en-GB"/>
        </w:rPr>
        <w:t xml:space="preserve"> the interconnected nature of educational inclusion, digital access, and psychological wellbeing, providing a foundation for the conclusions and recommendations presented in the </w:t>
      </w:r>
      <w:r w:rsidRPr="5FF0A1E2" w:rsidR="087EA086">
        <w:rPr>
          <w:rFonts w:ascii="Arial" w:hAnsi="Arial" w:eastAsia="Arial" w:cs="Arial"/>
          <w:noProof w:val="0"/>
          <w:sz w:val="22"/>
          <w:szCs w:val="22"/>
          <w:lang w:val="en-GB"/>
        </w:rPr>
        <w:t>final chapter</w:t>
      </w:r>
    </w:p>
    <w:p w:rsidRPr="00636D9A" w:rsidR="00636D9A" w:rsidP="5FF0A1E2" w:rsidRDefault="00636D9A" w14:paraId="262F5D7C" w14:textId="4E06A26B">
      <w:pPr>
        <w:pStyle w:val="Heading2"/>
        <w:spacing w:line="360" w:lineRule="auto"/>
        <w:rPr>
          <w:rFonts w:ascii="Arial" w:hAnsi="Arial" w:eastAsia="Arial" w:cs="Arial"/>
          <w:sz w:val="28"/>
          <w:szCs w:val="28"/>
        </w:rPr>
      </w:pPr>
      <w:bookmarkStart w:name="_Toc134756812" w:id="1450403118"/>
      <w:r w:rsidRPr="5FF0A1E2" w:rsidR="676686AE">
        <w:rPr>
          <w:rFonts w:ascii="Arial" w:hAnsi="Arial" w:eastAsia="Arial" w:cs="Arial"/>
          <w:sz w:val="28"/>
          <w:szCs w:val="28"/>
        </w:rPr>
        <w:t>4.6 – Chapter Conclusion</w:t>
      </w:r>
      <w:bookmarkEnd w:id="1450403118"/>
    </w:p>
    <w:p w:rsidRPr="00636D9A" w:rsidR="00636D9A" w:rsidP="5FF0A1E2" w:rsidRDefault="00636D9A" w14:paraId="231D0522" w14:textId="5786116E">
      <w:pPr>
        <w:spacing w:before="240" w:beforeAutospacing="off" w:after="240" w:afterAutospacing="off" w:line="360" w:lineRule="auto"/>
        <w:ind/>
        <w:rPr>
          <w:rFonts w:ascii="Arial" w:hAnsi="Arial" w:eastAsia="Arial" w:cs="Arial"/>
          <w:noProof w:val="0"/>
          <w:sz w:val="22"/>
          <w:szCs w:val="22"/>
          <w:lang w:val="en-GB"/>
        </w:rPr>
      </w:pPr>
      <w:r w:rsidRPr="5FF0A1E2" w:rsidR="3CD811A4">
        <w:rPr>
          <w:rFonts w:ascii="Arial" w:hAnsi="Arial" w:eastAsia="Arial" w:cs="Arial"/>
          <w:noProof w:val="0"/>
          <w:sz w:val="22"/>
          <w:szCs w:val="22"/>
          <w:lang w:val="en-GB"/>
        </w:rPr>
        <w:t>This chapter has presented the key findings from the thematic analysis, drawing together insights from the reviewed literature to explore the major themes relevant to the research question. Each theme</w:t>
      </w:r>
      <w:r w:rsidRPr="5FF0A1E2" w:rsidR="4E77B333">
        <w:rPr>
          <w:rFonts w:ascii="Arial" w:hAnsi="Arial" w:eastAsia="Arial" w:cs="Arial"/>
          <w:noProof w:val="0"/>
          <w:sz w:val="22"/>
          <w:szCs w:val="22"/>
          <w:lang w:val="en-GB"/>
        </w:rPr>
        <w:t xml:space="preserve"> </w:t>
      </w:r>
      <w:r w:rsidRPr="5FF0A1E2" w:rsidR="3CD811A4">
        <w:rPr>
          <w:rFonts w:ascii="Arial" w:hAnsi="Arial" w:eastAsia="Arial" w:cs="Arial"/>
          <w:noProof w:val="0"/>
          <w:sz w:val="22"/>
          <w:szCs w:val="22"/>
          <w:lang w:val="en-GB"/>
        </w:rPr>
        <w:t>examined in depth</w:t>
      </w:r>
      <w:r w:rsidRPr="5FF0A1E2" w:rsidR="4E563A4F">
        <w:rPr>
          <w:rFonts w:ascii="Arial" w:hAnsi="Arial" w:eastAsia="Arial" w:cs="Arial"/>
          <w:noProof w:val="0"/>
          <w:sz w:val="22"/>
          <w:szCs w:val="22"/>
          <w:lang w:val="en-GB"/>
        </w:rPr>
        <w:t xml:space="preserve"> </w:t>
      </w:r>
      <w:r w:rsidRPr="5FF0A1E2" w:rsidR="3CD811A4">
        <w:rPr>
          <w:rFonts w:ascii="Arial" w:hAnsi="Arial" w:eastAsia="Arial" w:cs="Arial"/>
          <w:noProof w:val="0"/>
          <w:sz w:val="22"/>
          <w:szCs w:val="22"/>
          <w:lang w:val="en-GB"/>
        </w:rPr>
        <w:t xml:space="preserve">highlighted different but interconnected aspects influencing the topic, </w:t>
      </w:r>
      <w:r w:rsidRPr="5FF0A1E2" w:rsidR="3CD811A4">
        <w:rPr>
          <w:rFonts w:ascii="Arial" w:hAnsi="Arial" w:eastAsia="Arial" w:cs="Arial"/>
          <w:noProof w:val="0"/>
          <w:sz w:val="22"/>
          <w:szCs w:val="22"/>
          <w:lang w:val="en-GB"/>
        </w:rPr>
        <w:t>demonstrating</w:t>
      </w:r>
      <w:r w:rsidRPr="5FF0A1E2" w:rsidR="3CD811A4">
        <w:rPr>
          <w:rFonts w:ascii="Arial" w:hAnsi="Arial" w:eastAsia="Arial" w:cs="Arial"/>
          <w:noProof w:val="0"/>
          <w:sz w:val="22"/>
          <w:szCs w:val="22"/>
          <w:lang w:val="en-GB"/>
        </w:rPr>
        <w:t xml:space="preserve"> how factors such as engagement, inequality, and wellbeing shape overall experiences and outcomes. By analysing recurring patterns and synthesising evidence from multiple sources, the chapter showed how these themes collectively contribute to a deeper understanding of the issues at the centre of the dissertation.</w:t>
      </w:r>
    </w:p>
    <w:p w:rsidRPr="00636D9A" w:rsidR="00636D9A" w:rsidP="5FF0A1E2" w:rsidRDefault="00636D9A" w14:paraId="4668C079" w14:textId="77A226E6">
      <w:pPr>
        <w:spacing w:before="240" w:beforeAutospacing="off" w:after="240" w:afterAutospacing="off" w:line="360" w:lineRule="auto"/>
        <w:ind/>
        <w:rPr>
          <w:rFonts w:ascii="Arial" w:hAnsi="Arial" w:eastAsia="Arial" w:cs="Arial"/>
          <w:noProof w:val="0"/>
          <w:sz w:val="22"/>
          <w:szCs w:val="22"/>
          <w:lang w:val="en-GB"/>
        </w:rPr>
      </w:pPr>
      <w:r w:rsidRPr="5FF0A1E2" w:rsidR="3CD811A4">
        <w:rPr>
          <w:rFonts w:ascii="Arial" w:hAnsi="Arial" w:eastAsia="Arial" w:cs="Arial"/>
          <w:noProof w:val="0"/>
          <w:sz w:val="22"/>
          <w:szCs w:val="22"/>
          <w:lang w:val="en-GB"/>
        </w:rPr>
        <w:t>The discussion also emphasised important relationships between the themes, illustrating how they overlap and interact to influence user behaviour, accessibility, and the broader digital or educational environment. This interconnectedness reinforces the value of a thematic approach, allowing for a nuanced interpretation that goes beyond isolated findings.</w:t>
      </w:r>
    </w:p>
    <w:p w:rsidRPr="00636D9A" w:rsidR="00636D9A" w:rsidP="5FF0A1E2" w:rsidRDefault="00636D9A" w14:paraId="0E9AC7C9" w14:textId="7EBF0FE3">
      <w:pPr>
        <w:pStyle w:val="Normal"/>
        <w:spacing w:before="240" w:beforeAutospacing="off" w:after="240" w:afterAutospacing="off" w:line="360" w:lineRule="auto"/>
        <w:ind/>
        <w:rPr>
          <w:rFonts w:ascii="Arial" w:hAnsi="Arial" w:eastAsia="Arial" w:cs="Arial"/>
          <w:noProof w:val="0"/>
          <w:sz w:val="22"/>
          <w:szCs w:val="22"/>
          <w:lang w:val="en-GB"/>
        </w:rPr>
      </w:pPr>
      <w:r w:rsidRPr="5FF0A1E2" w:rsidR="23A627B7">
        <w:rPr>
          <w:rFonts w:ascii="Arial" w:hAnsi="Arial" w:eastAsia="Arial" w:cs="Arial"/>
          <w:noProof w:val="0"/>
          <w:sz w:val="22"/>
          <w:szCs w:val="22"/>
          <w:lang w:val="en-GB"/>
        </w:rPr>
        <w:t xml:space="preserve">The thematic analysis highlights the multifaceted challenges faced by children with chronic illnesses in educational settings. Theme 1 emphasised the importance of inclusive educational practices, while Theme 2 revealed the barriers posed by digital inequity, and Theme 3 examined the psychological impacts of digital engagement and social isolation. Collectively, these findings illustrate that supporting chronically ill children </w:t>
      </w:r>
      <w:r w:rsidRPr="5FF0A1E2" w:rsidR="23A627B7">
        <w:rPr>
          <w:rFonts w:ascii="Arial" w:hAnsi="Arial" w:eastAsia="Arial" w:cs="Arial"/>
          <w:noProof w:val="0"/>
          <w:sz w:val="22"/>
          <w:szCs w:val="22"/>
          <w:lang w:val="en-GB"/>
        </w:rPr>
        <w:t>requires</w:t>
      </w:r>
      <w:r w:rsidRPr="5FF0A1E2" w:rsidR="23A627B7">
        <w:rPr>
          <w:rFonts w:ascii="Arial" w:hAnsi="Arial" w:eastAsia="Arial" w:cs="Arial"/>
          <w:noProof w:val="0"/>
          <w:sz w:val="22"/>
          <w:szCs w:val="22"/>
          <w:lang w:val="en-GB"/>
        </w:rPr>
        <w:t xml:space="preserve"> an integrated approach that addresses educational access, technological inclusion, and mental wellbeing. The insights gained directly contribute to the research aim by </w:t>
      </w:r>
      <w:r w:rsidRPr="5FF0A1E2" w:rsidR="23A627B7">
        <w:rPr>
          <w:rFonts w:ascii="Arial" w:hAnsi="Arial" w:eastAsia="Arial" w:cs="Arial"/>
          <w:noProof w:val="0"/>
          <w:sz w:val="22"/>
          <w:szCs w:val="22"/>
          <w:lang w:val="en-GB"/>
        </w:rPr>
        <w:t>identifying</w:t>
      </w:r>
      <w:r w:rsidRPr="5FF0A1E2" w:rsidR="23A627B7">
        <w:rPr>
          <w:rFonts w:ascii="Arial" w:hAnsi="Arial" w:eastAsia="Arial" w:cs="Arial"/>
          <w:noProof w:val="0"/>
          <w:sz w:val="22"/>
          <w:szCs w:val="22"/>
          <w:lang w:val="en-GB"/>
        </w:rPr>
        <w:t xml:space="preserve"> factors that influence effective support and highlighting areas where improvements are needed. These findings provide a foundation for the </w:t>
      </w:r>
      <w:r w:rsidRPr="5FF0A1E2" w:rsidR="23A627B7">
        <w:rPr>
          <w:rFonts w:ascii="Arial" w:hAnsi="Arial" w:eastAsia="Arial" w:cs="Arial"/>
          <w:noProof w:val="0"/>
          <w:sz w:val="22"/>
          <w:szCs w:val="22"/>
          <w:lang w:val="en-GB"/>
        </w:rPr>
        <w:t>subsequent</w:t>
      </w:r>
      <w:r w:rsidRPr="5FF0A1E2" w:rsidR="23A627B7">
        <w:rPr>
          <w:rFonts w:ascii="Arial" w:hAnsi="Arial" w:eastAsia="Arial" w:cs="Arial"/>
          <w:noProof w:val="0"/>
          <w:sz w:val="22"/>
          <w:szCs w:val="22"/>
          <w:lang w:val="en-GB"/>
        </w:rPr>
        <w:t xml:space="preserve"> chapter, which will present targeted recommendations and practical strategies to enhance educational provision and wellbeing outcomes for this vulnerable population.</w:t>
      </w:r>
    </w:p>
    <w:p w:rsidRPr="00636D9A" w:rsidR="00636D9A" w:rsidP="5FF0A1E2" w:rsidRDefault="00636D9A" w14:paraId="10E5E201" w14:textId="7CEE749A">
      <w:pPr>
        <w:spacing w:before="240" w:beforeAutospacing="off" w:after="240" w:afterAutospacing="off" w:line="360" w:lineRule="auto"/>
        <w:ind/>
        <w:rPr>
          <w:rFonts w:ascii="Arial" w:hAnsi="Arial" w:eastAsia="Arial" w:cs="Arial"/>
          <w:noProof w:val="0"/>
          <w:sz w:val="22"/>
          <w:szCs w:val="22"/>
          <w:lang w:val="en-GB"/>
        </w:rPr>
      </w:pPr>
      <w:r w:rsidRPr="5FF0A1E2" w:rsidR="3CD811A4">
        <w:rPr>
          <w:rFonts w:ascii="Arial" w:hAnsi="Arial" w:eastAsia="Arial" w:cs="Arial"/>
          <w:noProof w:val="0"/>
          <w:sz w:val="22"/>
          <w:szCs w:val="22"/>
          <w:lang w:val="en-GB"/>
        </w:rPr>
        <w:t xml:space="preserve">The following chapter will build on the insights presented here by providing a critical evaluation of current literature in relation to the dissertation’s focus. In doing so, </w:t>
      </w:r>
      <w:r w:rsidRPr="5FF0A1E2" w:rsidR="3CD811A4">
        <w:rPr>
          <w:rFonts w:ascii="Arial" w:hAnsi="Arial" w:eastAsia="Arial" w:cs="Arial"/>
          <w:b w:val="0"/>
          <w:bCs w:val="0"/>
          <w:noProof w:val="0"/>
          <w:sz w:val="22"/>
          <w:szCs w:val="22"/>
          <w:lang w:val="en-GB"/>
        </w:rPr>
        <w:t>Chapter 5 will examine the strengths, limitations, and gaps within existing research</w:t>
      </w:r>
      <w:r w:rsidRPr="5FF0A1E2" w:rsidR="3CD811A4">
        <w:rPr>
          <w:rFonts w:ascii="Arial" w:hAnsi="Arial" w:eastAsia="Arial" w:cs="Arial"/>
          <w:b w:val="0"/>
          <w:bCs w:val="0"/>
          <w:noProof w:val="0"/>
          <w:sz w:val="22"/>
          <w:szCs w:val="22"/>
          <w:lang w:val="en-GB"/>
        </w:rPr>
        <w:t>,</w:t>
      </w:r>
      <w:r w:rsidRPr="5FF0A1E2" w:rsidR="3CD811A4">
        <w:rPr>
          <w:rFonts w:ascii="Arial" w:hAnsi="Arial" w:eastAsia="Arial" w:cs="Arial"/>
          <w:noProof w:val="0"/>
          <w:sz w:val="22"/>
          <w:szCs w:val="22"/>
          <w:lang w:val="en-GB"/>
        </w:rPr>
        <w:t xml:space="preserve"> clarifying how the findings from this chapter align with or challenge wider academic perspectives. This transition ensures a coherent progression from analysis to critical reflection.</w:t>
      </w:r>
    </w:p>
    <w:p w:rsidRPr="00636D9A" w:rsidR="00636D9A" w:rsidP="5FF0A1E2" w:rsidRDefault="00636D9A" w14:paraId="45A2A75D" w14:textId="436011B0">
      <w:pPr>
        <w:pStyle w:val="Heading1"/>
        <w:spacing w:line="360" w:lineRule="auto"/>
        <w:ind w:left="0"/>
        <w:rPr>
          <w:rFonts w:ascii="Arial" w:hAnsi="Arial" w:eastAsia="Arial" w:cs="Arial"/>
          <w:sz w:val="22"/>
          <w:szCs w:val="22"/>
        </w:rPr>
      </w:pPr>
    </w:p>
    <w:p w:rsidRPr="00636D9A" w:rsidR="00636D9A" w:rsidP="5FF0A1E2" w:rsidRDefault="00636D9A" w14:paraId="438543DB" w14:textId="07D7EBC2">
      <w:pPr>
        <w:pStyle w:val="Heading1"/>
        <w:spacing w:line="360" w:lineRule="auto"/>
        <w:ind w:left="0"/>
        <w:rPr>
          <w:rFonts w:ascii="Arial" w:hAnsi="Arial" w:eastAsia="Arial" w:cs="Arial"/>
          <w:sz w:val="22"/>
          <w:szCs w:val="22"/>
        </w:rPr>
      </w:pPr>
    </w:p>
    <w:p w:rsidRPr="00636D9A" w:rsidR="00636D9A" w:rsidP="5FF0A1E2" w:rsidRDefault="00636D9A" w14:paraId="3C69EB9D" w14:textId="71EE8AB8">
      <w:pPr>
        <w:pStyle w:val="Heading1"/>
        <w:spacing w:line="360" w:lineRule="auto"/>
        <w:ind w:left="0"/>
        <w:rPr>
          <w:rFonts w:ascii="Arial" w:hAnsi="Arial" w:eastAsia="Arial" w:cs="Arial"/>
          <w:sz w:val="22"/>
          <w:szCs w:val="22"/>
        </w:rPr>
      </w:pPr>
    </w:p>
    <w:p w:rsidRPr="00636D9A" w:rsidR="00636D9A" w:rsidP="5FF0A1E2" w:rsidRDefault="00636D9A" w14:paraId="02CDED35" w14:textId="444AABAC">
      <w:pPr>
        <w:pStyle w:val="Heading1"/>
        <w:spacing w:line="360" w:lineRule="auto"/>
        <w:ind w:left="0"/>
        <w:rPr>
          <w:rFonts w:ascii="Arial" w:hAnsi="Arial" w:eastAsia="Arial" w:cs="Arial"/>
          <w:sz w:val="22"/>
          <w:szCs w:val="22"/>
        </w:rPr>
      </w:pPr>
    </w:p>
    <w:p w:rsidRPr="00636D9A" w:rsidR="00636D9A" w:rsidP="5FF0A1E2" w:rsidRDefault="00636D9A" w14:paraId="36F2E6D9" w14:textId="484E936E">
      <w:pPr>
        <w:pStyle w:val="Heading1"/>
        <w:spacing w:line="360" w:lineRule="auto"/>
        <w:ind w:left="0"/>
        <w:rPr>
          <w:rFonts w:ascii="Arial" w:hAnsi="Arial" w:eastAsia="Arial" w:cs="Arial"/>
          <w:sz w:val="22"/>
          <w:szCs w:val="22"/>
        </w:rPr>
      </w:pPr>
    </w:p>
    <w:p w:rsidRPr="00636D9A" w:rsidR="00636D9A" w:rsidP="5FF0A1E2" w:rsidRDefault="00636D9A" w14:paraId="5A0B7C41" w14:textId="7F3D568E">
      <w:pPr>
        <w:pStyle w:val="Heading1"/>
        <w:spacing w:line="360" w:lineRule="auto"/>
        <w:ind w:left="0"/>
        <w:rPr>
          <w:rFonts w:ascii="Arial" w:hAnsi="Arial" w:eastAsia="Arial" w:cs="Arial"/>
          <w:sz w:val="22"/>
          <w:szCs w:val="22"/>
        </w:rPr>
      </w:pPr>
    </w:p>
    <w:p w:rsidRPr="00636D9A" w:rsidR="00636D9A" w:rsidP="5FF0A1E2" w:rsidRDefault="00636D9A" w14:paraId="59B8F33C" w14:textId="3C801CFE">
      <w:pPr>
        <w:pStyle w:val="Heading1"/>
        <w:spacing w:line="360" w:lineRule="auto"/>
        <w:ind w:left="0"/>
        <w:rPr>
          <w:rFonts w:ascii="Arial" w:hAnsi="Arial" w:eastAsia="Arial" w:cs="Arial"/>
          <w:sz w:val="22"/>
          <w:szCs w:val="22"/>
        </w:rPr>
      </w:pPr>
    </w:p>
    <w:p w:rsidRPr="00636D9A" w:rsidR="00636D9A" w:rsidP="5FF0A1E2" w:rsidRDefault="00636D9A" w14:paraId="065F6127" w14:textId="11710D98">
      <w:pPr>
        <w:pStyle w:val="Heading1"/>
        <w:spacing w:line="360" w:lineRule="auto"/>
        <w:ind w:left="0"/>
        <w:rPr>
          <w:rFonts w:ascii="Arial" w:hAnsi="Arial" w:eastAsia="Arial" w:cs="Arial"/>
          <w:sz w:val="22"/>
          <w:szCs w:val="22"/>
        </w:rPr>
      </w:pPr>
    </w:p>
    <w:p w:rsidRPr="00636D9A" w:rsidR="00636D9A" w:rsidP="5FF0A1E2" w:rsidRDefault="00636D9A" w14:paraId="0B8E3A8E" w14:textId="759C5B1F">
      <w:pPr>
        <w:pStyle w:val="Heading1"/>
        <w:spacing w:line="360" w:lineRule="auto"/>
        <w:ind w:left="0"/>
        <w:rPr>
          <w:rFonts w:ascii="Arial" w:hAnsi="Arial" w:eastAsia="Arial" w:cs="Arial"/>
          <w:sz w:val="22"/>
          <w:szCs w:val="22"/>
        </w:rPr>
      </w:pPr>
    </w:p>
    <w:p w:rsidRPr="00636D9A" w:rsidR="00636D9A" w:rsidP="5FF0A1E2" w:rsidRDefault="00636D9A" w14:paraId="519EB35A" w14:textId="1D0AA6FB">
      <w:pPr>
        <w:pStyle w:val="Heading1"/>
        <w:spacing w:line="360" w:lineRule="auto"/>
        <w:ind w:left="0"/>
        <w:rPr>
          <w:rFonts w:ascii="Arial" w:hAnsi="Arial" w:eastAsia="Arial" w:cs="Arial"/>
          <w:sz w:val="32"/>
          <w:szCs w:val="32"/>
        </w:rPr>
      </w:pPr>
      <w:bookmarkStart w:name="_Toc894975446" w:id="1461097832"/>
      <w:r w:rsidRPr="5FF0A1E2" w:rsidR="71FE935E">
        <w:rPr>
          <w:rFonts w:ascii="Arial" w:hAnsi="Arial" w:eastAsia="Arial" w:cs="Arial"/>
          <w:sz w:val="32"/>
          <w:szCs w:val="32"/>
        </w:rPr>
        <w:t>C</w:t>
      </w:r>
      <w:r w:rsidRPr="5FF0A1E2" w:rsidR="71FE935E">
        <w:rPr>
          <w:rFonts w:ascii="Arial" w:hAnsi="Arial" w:eastAsia="Arial" w:cs="Arial"/>
          <w:sz w:val="32"/>
          <w:szCs w:val="32"/>
        </w:rPr>
        <w:t>HAPTER</w:t>
      </w:r>
      <w:r w:rsidRPr="5FF0A1E2" w:rsidR="71FE935E">
        <w:rPr>
          <w:rFonts w:ascii="Arial" w:hAnsi="Arial" w:eastAsia="Arial" w:cs="Arial"/>
          <w:sz w:val="32"/>
          <w:szCs w:val="32"/>
        </w:rPr>
        <w:t xml:space="preserve"> </w:t>
      </w:r>
      <w:r w:rsidRPr="5FF0A1E2" w:rsidR="71FE935E">
        <w:rPr>
          <w:rFonts w:ascii="Arial" w:hAnsi="Arial" w:eastAsia="Arial" w:cs="Arial"/>
          <w:sz w:val="32"/>
          <w:szCs w:val="32"/>
        </w:rPr>
        <w:t>5</w:t>
      </w:r>
      <w:r w:rsidRPr="5FF0A1E2" w:rsidR="71FE935E">
        <w:rPr>
          <w:rFonts w:ascii="Arial" w:hAnsi="Arial" w:eastAsia="Arial" w:cs="Arial"/>
          <w:sz w:val="32"/>
          <w:szCs w:val="32"/>
        </w:rPr>
        <w:t xml:space="preserve"> – </w:t>
      </w:r>
      <w:r w:rsidRPr="5FF0A1E2" w:rsidR="71FE935E">
        <w:rPr>
          <w:rFonts w:ascii="Arial" w:hAnsi="Arial" w:eastAsia="Arial" w:cs="Arial"/>
          <w:sz w:val="32"/>
          <w:szCs w:val="32"/>
        </w:rPr>
        <w:t>Conclusion and Recommendations</w:t>
      </w:r>
      <w:bookmarkEnd w:id="1461097832"/>
    </w:p>
    <w:p w:rsidRPr="005C5E80" w:rsidR="00636D9A" w:rsidP="5FF0A1E2" w:rsidRDefault="00636D9A" w14:paraId="5053749D" w14:textId="77777777" w14:noSpellErr="1">
      <w:pPr>
        <w:spacing w:line="360" w:lineRule="auto"/>
        <w:rPr>
          <w:rFonts w:ascii="Arial" w:hAnsi="Arial" w:eastAsia="Arial" w:cs="Arial"/>
          <w:sz w:val="22"/>
          <w:szCs w:val="22"/>
        </w:rPr>
      </w:pPr>
    </w:p>
    <w:p w:rsidRPr="000400E4" w:rsidR="000400E4" w:rsidP="5FF0A1E2" w:rsidRDefault="000400E4" w14:paraId="4D9926BD" w14:textId="7A08D4B3">
      <w:pPr>
        <w:pStyle w:val="Heading2"/>
        <w:spacing w:line="360" w:lineRule="auto"/>
        <w:rPr>
          <w:rFonts w:ascii="Arial" w:hAnsi="Arial" w:eastAsia="Arial" w:cs="Arial"/>
          <w:sz w:val="28"/>
          <w:szCs w:val="28"/>
        </w:rPr>
      </w:pPr>
      <w:bookmarkStart w:name="_Toc1845418527" w:id="1391292624"/>
      <w:r w:rsidRPr="5FF0A1E2" w:rsidR="71FE935E">
        <w:rPr>
          <w:rFonts w:ascii="Arial" w:hAnsi="Arial" w:eastAsia="Arial" w:cs="Arial"/>
          <w:sz w:val="28"/>
          <w:szCs w:val="28"/>
        </w:rPr>
        <w:t>5.1 – Overall Conclusion</w:t>
      </w:r>
      <w:bookmarkEnd w:id="1391292624"/>
    </w:p>
    <w:p w:rsidRPr="005C5E80" w:rsidR="00636D9A" w:rsidP="5FF0A1E2" w:rsidRDefault="00636D9A" w14:paraId="0230B15F" w14:textId="6B2348EB">
      <w:pPr>
        <w:pStyle w:val="Normal"/>
        <w:spacing w:line="360" w:lineRule="auto"/>
        <w:rPr>
          <w:rFonts w:ascii="Arial" w:hAnsi="Arial" w:eastAsia="Arial" w:cs="Arial"/>
          <w:sz w:val="22"/>
          <w:szCs w:val="22"/>
        </w:rPr>
      </w:pPr>
    </w:p>
    <w:p w:rsidRPr="005C5E80" w:rsidR="00636D9A" w:rsidP="5FF0A1E2" w:rsidRDefault="00636D9A" w14:paraId="57CA548D" w14:textId="26EAA298">
      <w:pPr>
        <w:pStyle w:val="Normal"/>
        <w:spacing w:line="360" w:lineRule="auto"/>
        <w:ind w:left="0"/>
        <w:rPr>
          <w:rFonts w:ascii="Arial" w:hAnsi="Arial" w:eastAsia="Arial" w:cs="Arial"/>
          <w:noProof w:val="0"/>
          <w:sz w:val="22"/>
          <w:szCs w:val="22"/>
          <w:lang w:val="en-GB"/>
        </w:rPr>
      </w:pPr>
      <w:r w:rsidRPr="5FF0A1E2" w:rsidR="1DA31C22">
        <w:rPr>
          <w:rFonts w:ascii="Arial" w:hAnsi="Arial" w:eastAsia="Arial" w:cs="Arial"/>
          <w:noProof w:val="0"/>
          <w:sz w:val="22"/>
          <w:szCs w:val="22"/>
          <w:lang w:val="en-GB"/>
        </w:rPr>
        <w:t>This dissertation explored how chronically ill children are supported within educational settings, examining historical, theoretical, international, and UK</w:t>
      </w:r>
      <w:r w:rsidRPr="5FF0A1E2" w:rsidR="0B176C4F">
        <w:rPr>
          <w:rFonts w:ascii="Arial" w:hAnsi="Arial" w:eastAsia="Arial" w:cs="Arial"/>
          <w:noProof w:val="0"/>
          <w:sz w:val="22"/>
          <w:szCs w:val="22"/>
          <w:lang w:val="en-GB"/>
        </w:rPr>
        <w:t xml:space="preserve"> </w:t>
      </w:r>
      <w:r w:rsidRPr="5FF0A1E2" w:rsidR="1DA31C22">
        <w:rPr>
          <w:rFonts w:ascii="Arial" w:hAnsi="Arial" w:eastAsia="Arial" w:cs="Arial"/>
          <w:noProof w:val="0"/>
          <w:sz w:val="22"/>
          <w:szCs w:val="22"/>
          <w:lang w:val="en-GB"/>
        </w:rPr>
        <w:t>specific contexts to develop a comprehensive understanding of current provision.</w:t>
      </w:r>
    </w:p>
    <w:p w:rsidRPr="005C5E80" w:rsidR="00636D9A" w:rsidP="5FF0A1E2" w:rsidRDefault="00636D9A" w14:paraId="044187EB" w14:textId="687AE6FC">
      <w:pPr>
        <w:spacing w:before="240" w:beforeAutospacing="off" w:after="240" w:afterAutospacing="off" w:line="360" w:lineRule="auto"/>
        <w:rPr>
          <w:rFonts w:ascii="Arial" w:hAnsi="Arial" w:eastAsia="Arial" w:cs="Arial"/>
          <w:noProof w:val="0"/>
          <w:sz w:val="22"/>
          <w:szCs w:val="22"/>
          <w:lang w:val="en-GB"/>
        </w:rPr>
      </w:pPr>
      <w:r w:rsidRPr="5FF0A1E2" w:rsidR="7911298A">
        <w:rPr>
          <w:rFonts w:ascii="Arial" w:hAnsi="Arial" w:eastAsia="Arial" w:cs="Arial"/>
          <w:noProof w:val="0"/>
          <w:sz w:val="22"/>
          <w:szCs w:val="22"/>
          <w:lang w:val="en-GB"/>
        </w:rPr>
        <w:t xml:space="preserve">The findings highlighted that while awareness and policy frameworks have strengthened over time, significant disparities in practice remain. The thematic analysis </w:t>
      </w:r>
      <w:r w:rsidRPr="5FF0A1E2" w:rsidR="7911298A">
        <w:rPr>
          <w:rFonts w:ascii="Arial" w:hAnsi="Arial" w:eastAsia="Arial" w:cs="Arial"/>
          <w:noProof w:val="0"/>
          <w:sz w:val="22"/>
          <w:szCs w:val="22"/>
          <w:lang w:val="en-GB"/>
        </w:rPr>
        <w:t>demonstrated</w:t>
      </w:r>
      <w:r w:rsidRPr="5FF0A1E2" w:rsidR="7911298A">
        <w:rPr>
          <w:rFonts w:ascii="Arial" w:hAnsi="Arial" w:eastAsia="Arial" w:cs="Arial"/>
          <w:noProof w:val="0"/>
          <w:sz w:val="22"/>
          <w:szCs w:val="22"/>
          <w:lang w:val="en-GB"/>
        </w:rPr>
        <w:t xml:space="preserve"> recurring challenges around educational inclusion, professional collaboration, and consistent wellbeing support, emphasising the complex and multifaceted needs of chronically ill learners.</w:t>
      </w:r>
    </w:p>
    <w:p w:rsidRPr="005C5E80" w:rsidR="00636D9A" w:rsidP="5FF0A1E2" w:rsidRDefault="00636D9A" w14:paraId="71DCB129" w14:textId="482E4AE0">
      <w:pPr>
        <w:spacing w:before="240" w:beforeAutospacing="off" w:after="240" w:afterAutospacing="off" w:line="360" w:lineRule="auto"/>
        <w:rPr>
          <w:rFonts w:ascii="Arial" w:hAnsi="Arial" w:eastAsia="Arial" w:cs="Arial"/>
          <w:noProof w:val="0"/>
          <w:sz w:val="22"/>
          <w:szCs w:val="22"/>
          <w:lang w:val="en-GB"/>
        </w:rPr>
      </w:pPr>
      <w:r w:rsidRPr="5FF0A1E2" w:rsidR="7911298A">
        <w:rPr>
          <w:rFonts w:ascii="Arial" w:hAnsi="Arial" w:eastAsia="Arial" w:cs="Arial"/>
          <w:noProof w:val="0"/>
          <w:sz w:val="22"/>
          <w:szCs w:val="22"/>
          <w:lang w:val="en-GB"/>
        </w:rPr>
        <w:t>The central aim</w:t>
      </w:r>
      <w:r w:rsidRPr="5FF0A1E2" w:rsidR="348D05C2">
        <w:rPr>
          <w:rFonts w:ascii="Arial" w:hAnsi="Arial" w:eastAsia="Arial" w:cs="Arial"/>
          <w:noProof w:val="0"/>
          <w:sz w:val="22"/>
          <w:szCs w:val="22"/>
          <w:lang w:val="en-GB"/>
        </w:rPr>
        <w:t xml:space="preserve"> </w:t>
      </w:r>
      <w:r w:rsidRPr="5FF0A1E2" w:rsidR="7911298A">
        <w:rPr>
          <w:rFonts w:ascii="Arial" w:hAnsi="Arial" w:eastAsia="Arial" w:cs="Arial"/>
          <w:noProof w:val="0"/>
          <w:sz w:val="22"/>
          <w:szCs w:val="22"/>
          <w:lang w:val="en-GB"/>
        </w:rPr>
        <w:t>to evaluate how educational settings support children with chronic illnesses</w:t>
      </w:r>
      <w:r w:rsidRPr="5FF0A1E2" w:rsidR="311972ED">
        <w:rPr>
          <w:rFonts w:ascii="Arial" w:hAnsi="Arial" w:eastAsia="Arial" w:cs="Arial"/>
          <w:noProof w:val="0"/>
          <w:sz w:val="22"/>
          <w:szCs w:val="22"/>
          <w:lang w:val="en-GB"/>
        </w:rPr>
        <w:t xml:space="preserve"> </w:t>
      </w:r>
      <w:r w:rsidRPr="5FF0A1E2" w:rsidR="7911298A">
        <w:rPr>
          <w:rFonts w:ascii="Arial" w:hAnsi="Arial" w:eastAsia="Arial" w:cs="Arial"/>
          <w:noProof w:val="0"/>
          <w:sz w:val="22"/>
          <w:szCs w:val="22"/>
          <w:lang w:val="en-GB"/>
        </w:rPr>
        <w:t xml:space="preserve">was addressed through systematic review and thematic evaluation. Each research </w:t>
      </w:r>
      <w:r w:rsidRPr="5FF0A1E2" w:rsidR="7911298A">
        <w:rPr>
          <w:rFonts w:ascii="Arial" w:hAnsi="Arial" w:eastAsia="Arial" w:cs="Arial"/>
          <w:noProof w:val="0"/>
          <w:sz w:val="22"/>
          <w:szCs w:val="22"/>
          <w:lang w:val="en-GB"/>
        </w:rPr>
        <w:t>objective</w:t>
      </w:r>
      <w:r w:rsidRPr="5FF0A1E2" w:rsidR="4654982D">
        <w:rPr>
          <w:rFonts w:ascii="Arial" w:hAnsi="Arial" w:eastAsia="Arial" w:cs="Arial"/>
          <w:noProof w:val="0"/>
          <w:sz w:val="22"/>
          <w:szCs w:val="22"/>
          <w:lang w:val="en-GB"/>
        </w:rPr>
        <w:t xml:space="preserve"> </w:t>
      </w:r>
      <w:r w:rsidRPr="5FF0A1E2" w:rsidR="7911298A">
        <w:rPr>
          <w:rFonts w:ascii="Arial" w:hAnsi="Arial" w:eastAsia="Arial" w:cs="Arial"/>
          <w:noProof w:val="0"/>
          <w:sz w:val="22"/>
          <w:szCs w:val="22"/>
          <w:lang w:val="en-GB"/>
        </w:rPr>
        <w:t xml:space="preserve">was </w:t>
      </w:r>
      <w:r w:rsidRPr="5FF0A1E2" w:rsidR="5FF12F6F">
        <w:rPr>
          <w:rFonts w:ascii="Arial" w:hAnsi="Arial" w:eastAsia="Arial" w:cs="Arial"/>
          <w:noProof w:val="0"/>
          <w:sz w:val="22"/>
          <w:szCs w:val="22"/>
          <w:lang w:val="en-GB"/>
        </w:rPr>
        <w:t>met.</w:t>
      </w:r>
      <w:r w:rsidRPr="5FF0A1E2" w:rsidR="7911298A">
        <w:rPr>
          <w:rFonts w:ascii="Arial" w:hAnsi="Arial" w:eastAsia="Arial" w:cs="Arial"/>
          <w:noProof w:val="0"/>
          <w:sz w:val="22"/>
          <w:szCs w:val="22"/>
          <w:lang w:val="en-GB"/>
        </w:rPr>
        <w:t xml:space="preserve"> </w:t>
      </w:r>
      <w:r w:rsidRPr="5FF0A1E2" w:rsidR="51B9DB2E">
        <w:rPr>
          <w:rFonts w:ascii="Arial" w:hAnsi="Arial" w:eastAsia="Arial" w:cs="Arial"/>
          <w:noProof w:val="0"/>
          <w:sz w:val="22"/>
          <w:szCs w:val="22"/>
          <w:lang w:val="en-GB"/>
        </w:rPr>
        <w:t>K</w:t>
      </w:r>
      <w:r w:rsidRPr="5FF0A1E2" w:rsidR="7911298A">
        <w:rPr>
          <w:rFonts w:ascii="Arial" w:hAnsi="Arial" w:eastAsia="Arial" w:cs="Arial"/>
          <w:noProof w:val="0"/>
          <w:sz w:val="22"/>
          <w:szCs w:val="22"/>
          <w:lang w:val="en-GB"/>
        </w:rPr>
        <w:t xml:space="preserve">ey terminology was defined, contextual background examined, and thematic findings analysed in relation to the wider literature. The study </w:t>
      </w:r>
      <w:r w:rsidRPr="5FF0A1E2" w:rsidR="7911298A">
        <w:rPr>
          <w:rFonts w:ascii="Arial" w:hAnsi="Arial" w:eastAsia="Arial" w:cs="Arial"/>
          <w:noProof w:val="0"/>
          <w:sz w:val="22"/>
          <w:szCs w:val="22"/>
          <w:lang w:val="en-GB"/>
        </w:rPr>
        <w:t>demonstrated</w:t>
      </w:r>
      <w:r w:rsidRPr="5FF0A1E2" w:rsidR="7911298A">
        <w:rPr>
          <w:rFonts w:ascii="Arial" w:hAnsi="Arial" w:eastAsia="Arial" w:cs="Arial"/>
          <w:noProof w:val="0"/>
          <w:sz w:val="22"/>
          <w:szCs w:val="22"/>
          <w:lang w:val="en-GB"/>
        </w:rPr>
        <w:t xml:space="preserve"> that although schools are increasingly guided by inclusive principles, implementation varies due to resource inequalities and differences in staff training. Overall, the research confirms that progress has been made, but more consistent, holistic, and collaborative approaches are still </w:t>
      </w:r>
      <w:r w:rsidRPr="5FF0A1E2" w:rsidR="7911298A">
        <w:rPr>
          <w:rFonts w:ascii="Arial" w:hAnsi="Arial" w:eastAsia="Arial" w:cs="Arial"/>
          <w:noProof w:val="0"/>
          <w:sz w:val="22"/>
          <w:szCs w:val="22"/>
          <w:lang w:val="en-GB"/>
        </w:rPr>
        <w:t>required</w:t>
      </w:r>
      <w:r w:rsidRPr="5FF0A1E2" w:rsidR="7911298A">
        <w:rPr>
          <w:rFonts w:ascii="Arial" w:hAnsi="Arial" w:eastAsia="Arial" w:cs="Arial"/>
          <w:noProof w:val="0"/>
          <w:sz w:val="22"/>
          <w:szCs w:val="22"/>
          <w:lang w:val="en-GB"/>
        </w:rPr>
        <w:t xml:space="preserve"> to ensure meaningful inclusion for chronically ill pupils.</w:t>
      </w:r>
    </w:p>
    <w:p w:rsidRPr="005C5E80" w:rsidR="00636D9A" w:rsidP="5FF0A1E2" w:rsidRDefault="00636D9A" w14:paraId="48005ABF" w14:textId="3AA94AB1">
      <w:pPr>
        <w:pStyle w:val="Heading2"/>
        <w:spacing w:before="240" w:beforeAutospacing="off" w:after="240" w:afterAutospacing="off" w:line="360" w:lineRule="auto"/>
        <w:rPr>
          <w:rFonts w:ascii="Arial" w:hAnsi="Arial" w:eastAsia="Arial" w:cs="Arial"/>
          <w:sz w:val="28"/>
          <w:szCs w:val="28"/>
        </w:rPr>
      </w:pPr>
      <w:bookmarkStart w:name="_Toc2008673937" w:id="1818817938"/>
      <w:r w:rsidRPr="5FF0A1E2" w:rsidR="71FE935E">
        <w:rPr>
          <w:rFonts w:ascii="Arial" w:hAnsi="Arial" w:eastAsia="Arial" w:cs="Arial"/>
          <w:sz w:val="28"/>
          <w:szCs w:val="28"/>
        </w:rPr>
        <w:t>5.</w:t>
      </w:r>
      <w:r w:rsidRPr="5FF0A1E2" w:rsidR="06E5547C">
        <w:rPr>
          <w:rFonts w:ascii="Arial" w:hAnsi="Arial" w:eastAsia="Arial" w:cs="Arial"/>
          <w:sz w:val="28"/>
          <w:szCs w:val="28"/>
        </w:rPr>
        <w:t>2</w:t>
      </w:r>
      <w:r w:rsidRPr="5FF0A1E2" w:rsidR="71FE935E">
        <w:rPr>
          <w:rFonts w:ascii="Arial" w:hAnsi="Arial" w:eastAsia="Arial" w:cs="Arial"/>
          <w:sz w:val="28"/>
          <w:szCs w:val="28"/>
        </w:rPr>
        <w:t xml:space="preserve"> – </w:t>
      </w:r>
      <w:r w:rsidRPr="5FF0A1E2" w:rsidR="06E5547C">
        <w:rPr>
          <w:rFonts w:ascii="Arial" w:hAnsi="Arial" w:eastAsia="Arial" w:cs="Arial"/>
          <w:sz w:val="28"/>
          <w:szCs w:val="28"/>
        </w:rPr>
        <w:t>Recommendations</w:t>
      </w:r>
      <w:bookmarkEnd w:id="1818817938"/>
      <w:r w:rsidRPr="5FF0A1E2" w:rsidR="71FE935E">
        <w:rPr>
          <w:rFonts w:ascii="Arial" w:hAnsi="Arial" w:eastAsia="Arial" w:cs="Arial"/>
          <w:sz w:val="28"/>
          <w:szCs w:val="28"/>
        </w:rPr>
        <w:t xml:space="preserve"> </w:t>
      </w:r>
    </w:p>
    <w:p w:rsidRPr="00636D9A" w:rsidR="00211184" w:rsidP="5FF0A1E2" w:rsidRDefault="00211184" w14:paraId="49587FCF" w14:textId="0C3540FE">
      <w:pPr>
        <w:pStyle w:val="Heading1"/>
        <w:spacing w:line="360" w:lineRule="auto"/>
        <w:ind w:left="0"/>
        <w:rPr>
          <w:rFonts w:ascii="Arial" w:hAnsi="Arial" w:eastAsia="Arial" w:cs="Arial"/>
          <w:b w:val="1"/>
          <w:bCs w:val="1"/>
          <w:noProof w:val="0"/>
          <w:sz w:val="22"/>
          <w:szCs w:val="22"/>
          <w:lang w:val="en-GB"/>
        </w:rPr>
      </w:pPr>
      <w:bookmarkStart w:name="_Toc2128664266" w:id="638953833"/>
      <w:r w:rsidRPr="5FF0A1E2" w:rsidR="06E5547C">
        <w:rPr>
          <w:rFonts w:ascii="Arial" w:hAnsi="Arial" w:eastAsia="Arial" w:cs="Arial"/>
          <w:sz w:val="22"/>
          <w:szCs w:val="22"/>
        </w:rPr>
        <w:t>5.2.1 – Recommendation 1</w:t>
      </w:r>
      <w:r w:rsidRPr="5FF0A1E2" w:rsidR="06E5547C">
        <w:rPr>
          <w:rFonts w:ascii="Arial" w:hAnsi="Arial" w:eastAsia="Arial" w:cs="Arial"/>
          <w:sz w:val="22"/>
          <w:szCs w:val="22"/>
        </w:rPr>
        <w:t xml:space="preserve"> </w:t>
      </w:r>
      <w:r w:rsidRPr="5FF0A1E2" w:rsidR="5A92E367">
        <w:rPr>
          <w:rFonts w:ascii="Arial" w:hAnsi="Arial" w:eastAsia="Arial" w:cs="Arial"/>
          <w:sz w:val="22"/>
          <w:szCs w:val="22"/>
        </w:rPr>
        <w:t xml:space="preserve">- </w:t>
      </w:r>
      <w:r w:rsidRPr="5FF0A1E2" w:rsidR="28552150">
        <w:rPr>
          <w:rFonts w:ascii="Arial" w:hAnsi="Arial" w:eastAsia="Arial" w:cs="Arial"/>
          <w:b w:val="1"/>
          <w:bCs w:val="1"/>
          <w:noProof w:val="0"/>
          <w:sz w:val="22"/>
          <w:szCs w:val="22"/>
          <w:lang w:val="en-GB"/>
        </w:rPr>
        <w:t>Strengthen</w:t>
      </w:r>
      <w:r w:rsidRPr="5FF0A1E2" w:rsidR="28552150">
        <w:rPr>
          <w:rFonts w:ascii="Arial" w:hAnsi="Arial" w:eastAsia="Arial" w:cs="Arial"/>
          <w:b w:val="1"/>
          <w:bCs w:val="1"/>
          <w:noProof w:val="0"/>
          <w:sz w:val="22"/>
          <w:szCs w:val="22"/>
          <w:lang w:val="en-GB"/>
        </w:rPr>
        <w:t xml:space="preserve"> Multi-Agency</w:t>
      </w:r>
      <w:r w:rsidRPr="5FF0A1E2" w:rsidR="28552150">
        <w:rPr>
          <w:rFonts w:ascii="Arial" w:hAnsi="Arial" w:eastAsia="Arial" w:cs="Arial"/>
          <w:b w:val="1"/>
          <w:bCs w:val="1"/>
          <w:noProof w:val="0"/>
          <w:sz w:val="22"/>
          <w:szCs w:val="22"/>
          <w:lang w:val="en-GB"/>
        </w:rPr>
        <w:t xml:space="preserve"> Collaboration Between Education and Health Services</w:t>
      </w:r>
      <w:bookmarkEnd w:id="638953833"/>
    </w:p>
    <w:p w:rsidRPr="00636D9A" w:rsidR="00211184" w:rsidP="5FF0A1E2" w:rsidRDefault="00211184" w14:paraId="4E78DC57" w14:textId="65D63283">
      <w:pPr>
        <w:pStyle w:val="Normal"/>
        <w:spacing w:line="360" w:lineRule="auto"/>
        <w:ind/>
        <w:rPr>
          <w:rFonts w:ascii="Arial" w:hAnsi="Arial" w:eastAsia="Arial" w:cs="Arial"/>
          <w:noProof w:val="0"/>
          <w:sz w:val="22"/>
          <w:szCs w:val="22"/>
          <w:lang w:val="en-GB"/>
        </w:rPr>
      </w:pPr>
    </w:p>
    <w:p w:rsidRPr="00636D9A" w:rsidR="00211184" w:rsidP="5FF0A1E2" w:rsidRDefault="00211184" w14:paraId="3C66E470" w14:textId="409BE1AE">
      <w:pPr>
        <w:pStyle w:val="Normal"/>
        <w:spacing w:line="360" w:lineRule="auto"/>
        <w:ind/>
        <w:rPr>
          <w:rFonts w:ascii="Arial" w:hAnsi="Arial" w:eastAsia="Arial" w:cs="Arial"/>
          <w:noProof w:val="0"/>
          <w:sz w:val="22"/>
          <w:szCs w:val="22"/>
          <w:lang w:val="en-GB"/>
        </w:rPr>
      </w:pPr>
      <w:r w:rsidRPr="5FF0A1E2" w:rsidR="246297F3">
        <w:rPr>
          <w:rFonts w:ascii="Arial" w:hAnsi="Arial" w:eastAsia="Arial" w:cs="Arial"/>
          <w:noProof w:val="0"/>
          <w:sz w:val="22"/>
          <w:szCs w:val="22"/>
          <w:lang w:val="en-GB"/>
        </w:rPr>
        <w:t xml:space="preserve">This recommendation is informed by the findings in Theme 1 and Theme 2, which highlighted that fragmented communication between schools, healthcare providers, and families often limits inclusive education and restricts access to </w:t>
      </w:r>
      <w:r w:rsidRPr="5FF0A1E2" w:rsidR="246297F3">
        <w:rPr>
          <w:rFonts w:ascii="Arial" w:hAnsi="Arial" w:eastAsia="Arial" w:cs="Arial"/>
          <w:noProof w:val="0"/>
          <w:sz w:val="22"/>
          <w:szCs w:val="22"/>
          <w:lang w:val="en-GB"/>
        </w:rPr>
        <w:t>appropriate digital</w:t>
      </w:r>
      <w:r w:rsidRPr="5FF0A1E2" w:rsidR="246297F3">
        <w:rPr>
          <w:rFonts w:ascii="Arial" w:hAnsi="Arial" w:eastAsia="Arial" w:cs="Arial"/>
          <w:noProof w:val="0"/>
          <w:sz w:val="22"/>
          <w:szCs w:val="22"/>
          <w:lang w:val="en-GB"/>
        </w:rPr>
        <w:t xml:space="preserve"> learning support for children with chronic illnesses</w:t>
      </w:r>
    </w:p>
    <w:p w:rsidRPr="00636D9A" w:rsidR="00211184" w:rsidP="5FF0A1E2" w:rsidRDefault="00211184" w14:paraId="495100FC" w14:textId="1D1F7364">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6093616" w:id="1314067153"/>
      <w:r w:rsidRPr="5FF0A1E2" w:rsidR="28552150">
        <w:rPr>
          <w:rFonts w:ascii="Arial" w:hAnsi="Arial" w:eastAsia="Arial" w:cs="Arial"/>
          <w:b w:val="1"/>
          <w:bCs w:val="1"/>
          <w:noProof w:val="0"/>
          <w:sz w:val="22"/>
          <w:szCs w:val="22"/>
          <w:lang w:val="en-GB"/>
        </w:rPr>
        <w:t>Rationale</w:t>
      </w:r>
      <w:bookmarkEnd w:id="1314067153"/>
    </w:p>
    <w:p w:rsidRPr="00636D9A" w:rsidR="00211184" w:rsidP="5FF0A1E2" w:rsidRDefault="00211184" w14:paraId="0B6B65D6" w14:textId="11AC7289">
      <w:p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 xml:space="preserve">A key finding in the research is that effective support for chronically ill children depends heavily on coordinated input from health, education, and family stakeholders. Strengthening multi-agency collaboration ensures schools receive </w:t>
      </w:r>
      <w:r w:rsidRPr="5FF0A1E2" w:rsidR="28552150">
        <w:rPr>
          <w:rFonts w:ascii="Arial" w:hAnsi="Arial" w:eastAsia="Arial" w:cs="Arial"/>
          <w:noProof w:val="0"/>
          <w:sz w:val="22"/>
          <w:szCs w:val="22"/>
          <w:lang w:val="en-GB"/>
        </w:rPr>
        <w:t>accurate</w:t>
      </w:r>
      <w:r w:rsidRPr="5FF0A1E2" w:rsidR="28552150">
        <w:rPr>
          <w:rFonts w:ascii="Arial" w:hAnsi="Arial" w:eastAsia="Arial" w:cs="Arial"/>
          <w:noProof w:val="0"/>
          <w:sz w:val="22"/>
          <w:szCs w:val="22"/>
          <w:lang w:val="en-GB"/>
        </w:rPr>
        <w:t xml:space="preserve">, </w:t>
      </w:r>
      <w:r w:rsidRPr="5FF0A1E2" w:rsidR="28552150">
        <w:rPr>
          <w:rFonts w:ascii="Arial" w:hAnsi="Arial" w:eastAsia="Arial" w:cs="Arial"/>
          <w:noProof w:val="0"/>
          <w:sz w:val="22"/>
          <w:szCs w:val="22"/>
          <w:lang w:val="en-GB"/>
        </w:rPr>
        <w:t>timely</w:t>
      </w:r>
      <w:r w:rsidRPr="5FF0A1E2" w:rsidR="28552150">
        <w:rPr>
          <w:rFonts w:ascii="Arial" w:hAnsi="Arial" w:eastAsia="Arial" w:cs="Arial"/>
          <w:noProof w:val="0"/>
          <w:sz w:val="22"/>
          <w:szCs w:val="22"/>
          <w:lang w:val="en-GB"/>
        </w:rPr>
        <w:t xml:space="preserve"> medical advice and individualised guidance, enabling them to implement </w:t>
      </w:r>
      <w:r w:rsidRPr="5FF0A1E2" w:rsidR="28552150">
        <w:rPr>
          <w:rFonts w:ascii="Arial" w:hAnsi="Arial" w:eastAsia="Arial" w:cs="Arial"/>
          <w:noProof w:val="0"/>
          <w:sz w:val="22"/>
          <w:szCs w:val="22"/>
          <w:lang w:val="en-GB"/>
        </w:rPr>
        <w:t>appropriate adjustments</w:t>
      </w:r>
      <w:r w:rsidRPr="5FF0A1E2" w:rsidR="28552150">
        <w:rPr>
          <w:rFonts w:ascii="Arial" w:hAnsi="Arial" w:eastAsia="Arial" w:cs="Arial"/>
          <w:noProof w:val="0"/>
          <w:sz w:val="22"/>
          <w:szCs w:val="22"/>
          <w:lang w:val="en-GB"/>
        </w:rPr>
        <w:t xml:space="preserve"> (Moss, 2021). When communication between services is consistent, children experience smoother transitions and fewer disruptions in their education (Wainwright et al., 2019).</w:t>
      </w:r>
    </w:p>
    <w:p w:rsidRPr="00636D9A" w:rsidR="00211184" w:rsidP="5FF0A1E2" w:rsidRDefault="00211184" w14:paraId="70A06FFD" w14:textId="6186DE13">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262810380" w:id="759849809"/>
      <w:r w:rsidRPr="5FF0A1E2" w:rsidR="28552150">
        <w:rPr>
          <w:rFonts w:ascii="Arial" w:hAnsi="Arial" w:eastAsia="Arial" w:cs="Arial"/>
          <w:b w:val="1"/>
          <w:bCs w:val="1"/>
          <w:noProof w:val="0"/>
          <w:sz w:val="22"/>
          <w:szCs w:val="22"/>
          <w:lang w:val="en-GB"/>
        </w:rPr>
        <w:t>Proposed Actions</w:t>
      </w:r>
      <w:bookmarkEnd w:id="759849809"/>
    </w:p>
    <w:p w:rsidRPr="00636D9A" w:rsidR="00211184" w:rsidP="5FF0A1E2" w:rsidRDefault="00211184" w14:paraId="7BBAA479" w14:textId="59038824">
      <w:pPr>
        <w:pStyle w:val="ListParagraph"/>
        <w:numPr>
          <w:ilvl w:val="0"/>
          <w:numId w:val="107"/>
        </w:num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Establish regular scheduled communication between schools and healthcare professionals (e.g., termly review meetings).</w:t>
      </w:r>
    </w:p>
    <w:p w:rsidRPr="00636D9A" w:rsidR="00211184" w:rsidP="5FF0A1E2" w:rsidRDefault="00211184" w14:paraId="6DCB4BED" w14:textId="56E6F3B2">
      <w:pPr>
        <w:pStyle w:val="ListParagraph"/>
        <w:numPr>
          <w:ilvl w:val="0"/>
          <w:numId w:val="107"/>
        </w:num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Introduce digital health</w:t>
      </w:r>
      <w:r w:rsidRPr="5FF0A1E2" w:rsidR="15CAB30A">
        <w:rPr>
          <w:rFonts w:ascii="Arial" w:hAnsi="Arial" w:eastAsia="Arial" w:cs="Arial"/>
          <w:noProof w:val="0"/>
          <w:sz w:val="22"/>
          <w:szCs w:val="22"/>
          <w:lang w:val="en-GB"/>
        </w:rPr>
        <w:t xml:space="preserve"> </w:t>
      </w:r>
      <w:r w:rsidRPr="5FF0A1E2" w:rsidR="28552150">
        <w:rPr>
          <w:rFonts w:ascii="Arial" w:hAnsi="Arial" w:eastAsia="Arial" w:cs="Arial"/>
          <w:noProof w:val="0"/>
          <w:sz w:val="22"/>
          <w:szCs w:val="22"/>
          <w:lang w:val="en-GB"/>
        </w:rPr>
        <w:t>education communication platforms enabling secure updates between NHS staff and school SENCo teams.</w:t>
      </w:r>
    </w:p>
    <w:p w:rsidRPr="00636D9A" w:rsidR="00211184" w:rsidP="5FF0A1E2" w:rsidRDefault="00211184" w14:paraId="3AA7EC47" w14:textId="5B2BBE6F">
      <w:pPr>
        <w:pStyle w:val="ListParagraph"/>
        <w:numPr>
          <w:ilvl w:val="0"/>
          <w:numId w:val="107"/>
        </w:num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Provide staff training on multi-agency working protocols.</w:t>
      </w:r>
    </w:p>
    <w:p w:rsidRPr="00636D9A" w:rsidR="00211184" w:rsidP="5FF0A1E2" w:rsidRDefault="00211184" w14:paraId="2CA62618" w14:textId="237E7072">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99658460" w:id="1187984833"/>
      <w:r w:rsidRPr="5FF0A1E2" w:rsidR="28552150">
        <w:rPr>
          <w:rFonts w:ascii="Arial" w:hAnsi="Arial" w:eastAsia="Arial" w:cs="Arial"/>
          <w:b w:val="1"/>
          <w:bCs w:val="1"/>
          <w:noProof w:val="0"/>
          <w:sz w:val="22"/>
          <w:szCs w:val="22"/>
          <w:lang w:val="en-GB"/>
        </w:rPr>
        <w:t>Barriers and Limitations</w:t>
      </w:r>
      <w:bookmarkEnd w:id="1187984833"/>
    </w:p>
    <w:p w:rsidRPr="00636D9A" w:rsidR="00211184" w:rsidP="5FF0A1E2" w:rsidRDefault="00211184" w14:paraId="7514C34F" w14:textId="01CEA169">
      <w:p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One major b</w:t>
      </w:r>
      <w:r w:rsidRPr="5FF0A1E2" w:rsidR="28552150">
        <w:rPr>
          <w:rFonts w:ascii="Arial" w:hAnsi="Arial" w:eastAsia="Arial" w:cs="Arial"/>
          <w:b w:val="0"/>
          <w:bCs w:val="0"/>
          <w:noProof w:val="0"/>
          <w:sz w:val="22"/>
          <w:szCs w:val="22"/>
          <w:lang w:val="en-GB"/>
        </w:rPr>
        <w:t>arrier is the</w:t>
      </w:r>
      <w:r w:rsidRPr="5FF0A1E2" w:rsidR="28552150">
        <w:rPr>
          <w:rFonts w:ascii="Arial" w:hAnsi="Arial" w:eastAsia="Arial" w:cs="Arial"/>
          <w:b w:val="0"/>
          <w:bCs w:val="0"/>
          <w:noProof w:val="0"/>
          <w:sz w:val="22"/>
          <w:szCs w:val="22"/>
          <w:lang w:val="en-GB"/>
        </w:rPr>
        <w:t xml:space="preserve"> </w:t>
      </w:r>
      <w:r w:rsidRPr="5FF0A1E2" w:rsidR="28552150">
        <w:rPr>
          <w:rFonts w:ascii="Arial" w:hAnsi="Arial" w:eastAsia="Arial" w:cs="Arial"/>
          <w:b w:val="0"/>
          <w:bCs w:val="0"/>
          <w:noProof w:val="0"/>
          <w:sz w:val="22"/>
          <w:szCs w:val="22"/>
          <w:lang w:val="en-GB"/>
        </w:rPr>
        <w:t>t</w:t>
      </w:r>
      <w:r w:rsidRPr="5FF0A1E2" w:rsidR="28552150">
        <w:rPr>
          <w:rFonts w:ascii="Arial" w:hAnsi="Arial" w:eastAsia="Arial" w:cs="Arial"/>
          <w:b w:val="0"/>
          <w:bCs w:val="0"/>
          <w:noProof w:val="0"/>
          <w:sz w:val="22"/>
          <w:szCs w:val="22"/>
          <w:lang w:val="en-GB"/>
        </w:rPr>
        <w:t>ime and</w:t>
      </w:r>
      <w:r w:rsidRPr="5FF0A1E2" w:rsidR="28552150">
        <w:rPr>
          <w:rFonts w:ascii="Arial" w:hAnsi="Arial" w:eastAsia="Arial" w:cs="Arial"/>
          <w:b w:val="0"/>
          <w:bCs w:val="0"/>
          <w:noProof w:val="0"/>
          <w:sz w:val="22"/>
          <w:szCs w:val="22"/>
          <w:lang w:val="en-GB"/>
        </w:rPr>
        <w:t xml:space="preserve"> resource constraints</w:t>
      </w:r>
      <w:r w:rsidRPr="5FF0A1E2" w:rsidR="28552150">
        <w:rPr>
          <w:rFonts w:ascii="Arial" w:hAnsi="Arial" w:eastAsia="Arial" w:cs="Arial"/>
          <w:b w:val="0"/>
          <w:bCs w:val="0"/>
          <w:noProof w:val="0"/>
          <w:sz w:val="22"/>
          <w:szCs w:val="22"/>
          <w:lang w:val="en-GB"/>
        </w:rPr>
        <w:t xml:space="preserve"> </w:t>
      </w:r>
      <w:r w:rsidRPr="5FF0A1E2" w:rsidR="28552150">
        <w:rPr>
          <w:rFonts w:ascii="Arial" w:hAnsi="Arial" w:eastAsia="Arial" w:cs="Arial"/>
          <w:noProof w:val="0"/>
          <w:sz w:val="22"/>
          <w:szCs w:val="22"/>
          <w:lang w:val="en-GB"/>
        </w:rPr>
        <w:t>faced by both schools and healthcare providers. Teachers already manage significant workloads, making frequent communication difficult. Similarly, NHS staff may not have designated time for school liaison work (Wilkinson and Nairn, 2020).</w:t>
      </w:r>
    </w:p>
    <w:p w:rsidRPr="00636D9A" w:rsidR="00211184" w:rsidP="5FF0A1E2" w:rsidRDefault="00211184" w14:paraId="37648200" w14:textId="62EF8892">
      <w:p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Another limitation is</w:t>
      </w:r>
      <w:r w:rsidRPr="5FF0A1E2" w:rsidR="28552150">
        <w:rPr>
          <w:rFonts w:ascii="Arial" w:hAnsi="Arial" w:eastAsia="Arial" w:cs="Arial"/>
          <w:b w:val="0"/>
          <w:bCs w:val="0"/>
          <w:noProof w:val="0"/>
          <w:sz w:val="22"/>
          <w:szCs w:val="22"/>
          <w:lang w:val="en-GB"/>
        </w:rPr>
        <w:t xml:space="preserve"> </w:t>
      </w:r>
      <w:r w:rsidRPr="5FF0A1E2" w:rsidR="28552150">
        <w:rPr>
          <w:rFonts w:ascii="Arial" w:hAnsi="Arial" w:eastAsia="Arial" w:cs="Arial"/>
          <w:b w:val="0"/>
          <w:bCs w:val="0"/>
          <w:noProof w:val="0"/>
          <w:sz w:val="22"/>
          <w:szCs w:val="22"/>
          <w:lang w:val="en-GB"/>
        </w:rPr>
        <w:t>inconsistent inter-agency protocols</w:t>
      </w:r>
      <w:r w:rsidRPr="5FF0A1E2" w:rsidR="28552150">
        <w:rPr>
          <w:rFonts w:ascii="Arial" w:hAnsi="Arial" w:eastAsia="Arial" w:cs="Arial"/>
          <w:b w:val="0"/>
          <w:bCs w:val="0"/>
          <w:noProof w:val="0"/>
          <w:sz w:val="22"/>
          <w:szCs w:val="22"/>
          <w:lang w:val="en-GB"/>
        </w:rPr>
        <w:t xml:space="preserve"> </w:t>
      </w:r>
      <w:r w:rsidRPr="5FF0A1E2" w:rsidR="28552150">
        <w:rPr>
          <w:rFonts w:ascii="Arial" w:hAnsi="Arial" w:eastAsia="Arial" w:cs="Arial"/>
          <w:noProof w:val="0"/>
          <w:sz w:val="22"/>
          <w:szCs w:val="22"/>
          <w:lang w:val="en-GB"/>
        </w:rPr>
        <w:t>across different local authorities, leading to variable quality of collaboration.</w:t>
      </w:r>
    </w:p>
    <w:p w:rsidRPr="00636D9A" w:rsidR="00211184" w:rsidP="5FF0A1E2" w:rsidRDefault="00211184" w14:paraId="5CCF2256" w14:textId="1273662F">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524242736" w:id="1087836858"/>
      <w:r w:rsidRPr="5FF0A1E2" w:rsidR="28552150">
        <w:rPr>
          <w:rFonts w:ascii="Arial" w:hAnsi="Arial" w:eastAsia="Arial" w:cs="Arial"/>
          <w:b w:val="1"/>
          <w:bCs w:val="1"/>
          <w:noProof w:val="0"/>
          <w:sz w:val="22"/>
          <w:szCs w:val="22"/>
          <w:lang w:val="en-GB"/>
        </w:rPr>
        <w:t>Overcoming Barriers</w:t>
      </w:r>
      <w:bookmarkEnd w:id="1087836858"/>
    </w:p>
    <w:p w:rsidRPr="00636D9A" w:rsidR="00211184" w:rsidP="5FF0A1E2" w:rsidRDefault="00211184" w14:paraId="1BAA4809" w14:textId="78FF7A0E">
      <w:pPr>
        <w:pStyle w:val="ListParagraph"/>
        <w:numPr>
          <w:ilvl w:val="0"/>
          <w:numId w:val="108"/>
        </w:num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Local authorities can provide designated “medical needs coordinators” to streamline communication.</w:t>
      </w:r>
    </w:p>
    <w:p w:rsidRPr="00636D9A" w:rsidR="00211184" w:rsidP="5FF0A1E2" w:rsidRDefault="00211184" w14:paraId="34ECE33A" w14:textId="219F722B">
      <w:pPr>
        <w:pStyle w:val="ListParagraph"/>
        <w:numPr>
          <w:ilvl w:val="0"/>
          <w:numId w:val="108"/>
        </w:num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 xml:space="preserve">Schools can embed multi-agency communication into existing SEND review processes to minimise </w:t>
      </w:r>
      <w:r w:rsidRPr="5FF0A1E2" w:rsidR="28552150">
        <w:rPr>
          <w:rFonts w:ascii="Arial" w:hAnsi="Arial" w:eastAsia="Arial" w:cs="Arial"/>
          <w:noProof w:val="0"/>
          <w:sz w:val="22"/>
          <w:szCs w:val="22"/>
          <w:lang w:val="en-GB"/>
        </w:rPr>
        <w:t>additional</w:t>
      </w:r>
      <w:r w:rsidRPr="5FF0A1E2" w:rsidR="28552150">
        <w:rPr>
          <w:rFonts w:ascii="Arial" w:hAnsi="Arial" w:eastAsia="Arial" w:cs="Arial"/>
          <w:noProof w:val="0"/>
          <w:sz w:val="22"/>
          <w:szCs w:val="22"/>
          <w:lang w:val="en-GB"/>
        </w:rPr>
        <w:t xml:space="preserve"> workload.</w:t>
      </w:r>
    </w:p>
    <w:p w:rsidRPr="00636D9A" w:rsidR="00211184" w:rsidP="5FF0A1E2" w:rsidRDefault="00211184" w14:paraId="03049446" w14:textId="74F0662B">
      <w:pPr>
        <w:pStyle w:val="ListParagraph"/>
        <w:numPr>
          <w:ilvl w:val="0"/>
          <w:numId w:val="108"/>
        </w:numPr>
        <w:spacing w:before="240" w:beforeAutospacing="off" w:after="240" w:afterAutospacing="off" w:line="360" w:lineRule="auto"/>
        <w:ind/>
        <w:rPr>
          <w:rFonts w:ascii="Arial" w:hAnsi="Arial" w:eastAsia="Arial" w:cs="Arial"/>
          <w:noProof w:val="0"/>
          <w:sz w:val="22"/>
          <w:szCs w:val="22"/>
          <w:lang w:val="en-GB"/>
        </w:rPr>
      </w:pPr>
      <w:r w:rsidRPr="5FF0A1E2" w:rsidR="28552150">
        <w:rPr>
          <w:rFonts w:ascii="Arial" w:hAnsi="Arial" w:eastAsia="Arial" w:cs="Arial"/>
          <w:noProof w:val="0"/>
          <w:sz w:val="22"/>
          <w:szCs w:val="22"/>
          <w:lang w:val="en-GB"/>
        </w:rPr>
        <w:t>National guidance should be strengthened to standardise expectations for health–education cooperation.</w:t>
      </w:r>
    </w:p>
    <w:p w:rsidRPr="00636D9A" w:rsidR="00211184" w:rsidP="5FF0A1E2" w:rsidRDefault="00211184" w14:paraId="06FE08CB" w14:textId="2640D3B1">
      <w:pPr>
        <w:pStyle w:val="Heading1"/>
        <w:spacing w:line="360" w:lineRule="auto"/>
        <w:ind w:left="0"/>
        <w:rPr>
          <w:rFonts w:ascii="Arial" w:hAnsi="Arial" w:eastAsia="Arial" w:cs="Arial"/>
          <w:sz w:val="22"/>
          <w:szCs w:val="22"/>
        </w:rPr>
      </w:pPr>
      <w:bookmarkStart w:name="_Toc382039322" w:id="676858621"/>
      <w:r w:rsidRPr="5FF0A1E2" w:rsidR="06E5547C">
        <w:rPr>
          <w:rFonts w:ascii="Arial" w:hAnsi="Arial" w:eastAsia="Arial" w:cs="Arial"/>
          <w:sz w:val="22"/>
          <w:szCs w:val="22"/>
        </w:rPr>
        <w:t>5.2.2 – Recommendation 2</w:t>
      </w:r>
      <w:r w:rsidRPr="5FF0A1E2" w:rsidR="06E5547C">
        <w:rPr>
          <w:rFonts w:ascii="Arial" w:hAnsi="Arial" w:eastAsia="Arial" w:cs="Arial"/>
          <w:sz w:val="22"/>
          <w:szCs w:val="22"/>
        </w:rPr>
        <w:t xml:space="preserve"> </w:t>
      </w:r>
      <w:r w:rsidRPr="5FF0A1E2" w:rsidR="012A1928">
        <w:rPr>
          <w:rFonts w:ascii="Arial" w:hAnsi="Arial" w:eastAsia="Arial" w:cs="Arial"/>
          <w:sz w:val="22"/>
          <w:szCs w:val="22"/>
        </w:rPr>
        <w:t xml:space="preserve">- </w:t>
      </w:r>
      <w:r w:rsidRPr="5FF0A1E2" w:rsidR="7E9C8267">
        <w:rPr>
          <w:rFonts w:ascii="Arial" w:hAnsi="Arial" w:eastAsia="Arial" w:cs="Arial"/>
          <w:b w:val="1"/>
          <w:bCs w:val="1"/>
          <w:noProof w:val="0"/>
          <w:sz w:val="22"/>
          <w:szCs w:val="22"/>
          <w:lang w:val="en-GB"/>
        </w:rPr>
        <w:t>Improve Teacher Training on Chronic Illness and Inclusive Practice</w:t>
      </w:r>
      <w:bookmarkEnd w:id="676858621"/>
    </w:p>
    <w:p w:rsidRPr="00636D9A" w:rsidR="00211184" w:rsidP="5FF0A1E2" w:rsidRDefault="00211184" w14:paraId="2554BAB4" w14:textId="58C39CAB">
      <w:pPr>
        <w:pStyle w:val="Heading1"/>
        <w:spacing w:line="360" w:lineRule="auto"/>
        <w:ind w:left="0"/>
        <w:rPr>
          <w:rFonts w:ascii="Arial" w:hAnsi="Arial" w:eastAsia="Arial" w:cs="Arial"/>
          <w:b w:val="1"/>
          <w:bCs w:val="1"/>
          <w:noProof w:val="0"/>
          <w:sz w:val="22"/>
          <w:szCs w:val="22"/>
          <w:lang w:val="en-GB"/>
        </w:rPr>
      </w:pPr>
    </w:p>
    <w:p w:rsidRPr="00636D9A" w:rsidR="00211184" w:rsidP="5FF0A1E2" w:rsidRDefault="00211184" w14:paraId="34BF1593" w14:textId="4E017180">
      <w:pPr>
        <w:pStyle w:val="Normal"/>
        <w:spacing w:line="360" w:lineRule="auto"/>
        <w:ind/>
        <w:rPr>
          <w:rFonts w:ascii="Arial" w:hAnsi="Arial" w:eastAsia="Arial" w:cs="Arial"/>
          <w:noProof w:val="0"/>
          <w:sz w:val="22"/>
          <w:szCs w:val="22"/>
          <w:lang w:val="en-GB"/>
        </w:rPr>
      </w:pPr>
      <w:r w:rsidRPr="5FF0A1E2" w:rsidR="3B16F63E">
        <w:rPr>
          <w:rFonts w:ascii="Arial" w:hAnsi="Arial" w:eastAsia="Arial" w:cs="Arial"/>
          <w:noProof w:val="0"/>
          <w:sz w:val="22"/>
          <w:szCs w:val="22"/>
          <w:lang w:val="en-GB"/>
        </w:rPr>
        <w:t xml:space="preserve">This recommendation responds directly to the challenges </w:t>
      </w:r>
      <w:r w:rsidRPr="5FF0A1E2" w:rsidR="3B16F63E">
        <w:rPr>
          <w:rFonts w:ascii="Arial" w:hAnsi="Arial" w:eastAsia="Arial" w:cs="Arial"/>
          <w:noProof w:val="0"/>
          <w:sz w:val="22"/>
          <w:szCs w:val="22"/>
          <w:lang w:val="en-GB"/>
        </w:rPr>
        <w:t>identified</w:t>
      </w:r>
      <w:r w:rsidRPr="5FF0A1E2" w:rsidR="3B16F63E">
        <w:rPr>
          <w:rFonts w:ascii="Arial" w:hAnsi="Arial" w:eastAsia="Arial" w:cs="Arial"/>
          <w:noProof w:val="0"/>
          <w:sz w:val="22"/>
          <w:szCs w:val="22"/>
          <w:lang w:val="en-GB"/>
        </w:rPr>
        <w:t xml:space="preserve"> in Theme 1, where insufficient teacher knowledge of chronic illnesses and inclusive strategies was shown to affect student participation and wellbeing.</w:t>
      </w:r>
    </w:p>
    <w:p w:rsidRPr="00636D9A" w:rsidR="00211184" w:rsidP="5FF0A1E2" w:rsidRDefault="00211184" w14:paraId="393F89B2" w14:textId="28EC507F">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292232288" w:id="1615289523"/>
      <w:r w:rsidRPr="5FF0A1E2" w:rsidR="7E9C8267">
        <w:rPr>
          <w:rFonts w:ascii="Arial" w:hAnsi="Arial" w:eastAsia="Arial" w:cs="Arial"/>
          <w:b w:val="1"/>
          <w:bCs w:val="1"/>
          <w:noProof w:val="0"/>
          <w:sz w:val="22"/>
          <w:szCs w:val="22"/>
          <w:lang w:val="en-GB"/>
        </w:rPr>
        <w:t>Rationale</w:t>
      </w:r>
      <w:bookmarkEnd w:id="1615289523"/>
    </w:p>
    <w:p w:rsidRPr="00636D9A" w:rsidR="00211184" w:rsidP="5FF0A1E2" w:rsidRDefault="00211184" w14:paraId="66E0FB4C" w14:textId="19DCEAF8">
      <w:p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 xml:space="preserve">Many teachers report feeling underprepared to support chronically ill pupils, lacking both medical understanding and confidence in creating </w:t>
      </w:r>
      <w:r w:rsidRPr="5FF0A1E2" w:rsidR="7E9C8267">
        <w:rPr>
          <w:rFonts w:ascii="Arial" w:hAnsi="Arial" w:eastAsia="Arial" w:cs="Arial"/>
          <w:noProof w:val="0"/>
          <w:sz w:val="22"/>
          <w:szCs w:val="22"/>
          <w:lang w:val="en-GB"/>
        </w:rPr>
        <w:t>appropriate classroom</w:t>
      </w:r>
      <w:r w:rsidRPr="5FF0A1E2" w:rsidR="7E9C8267">
        <w:rPr>
          <w:rFonts w:ascii="Arial" w:hAnsi="Arial" w:eastAsia="Arial" w:cs="Arial"/>
          <w:noProof w:val="0"/>
          <w:sz w:val="22"/>
          <w:szCs w:val="22"/>
          <w:lang w:val="en-GB"/>
        </w:rPr>
        <w:t xml:space="preserve"> adjustments (Strand, 2020). Improved training would enhance staff competency, reduce misconceptions, and promote more consistent support across schools. Training can also help teachers better recognise fluctuating symptoms and the impact of treatment on learning (Long and Appleton, 2021).</w:t>
      </w:r>
    </w:p>
    <w:p w:rsidRPr="00636D9A" w:rsidR="00211184" w:rsidP="5FF0A1E2" w:rsidRDefault="00211184" w14:paraId="69447118" w14:textId="01129234">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470136653" w:id="1102757869"/>
      <w:r w:rsidRPr="5FF0A1E2" w:rsidR="7E9C8267">
        <w:rPr>
          <w:rFonts w:ascii="Arial" w:hAnsi="Arial" w:eastAsia="Arial" w:cs="Arial"/>
          <w:b w:val="1"/>
          <w:bCs w:val="1"/>
          <w:noProof w:val="0"/>
          <w:sz w:val="22"/>
          <w:szCs w:val="22"/>
          <w:lang w:val="en-GB"/>
        </w:rPr>
        <w:t>Proposed Actions</w:t>
      </w:r>
      <w:bookmarkEnd w:id="1102757869"/>
    </w:p>
    <w:p w:rsidRPr="00636D9A" w:rsidR="00211184" w:rsidP="5FF0A1E2" w:rsidRDefault="00211184" w14:paraId="60A63B95" w14:textId="66382C95">
      <w:pPr>
        <w:pStyle w:val="ListParagraph"/>
        <w:numPr>
          <w:ilvl w:val="0"/>
          <w:numId w:val="109"/>
        </w:num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 xml:space="preserve">Integrate training on chronic illnesses into </w:t>
      </w:r>
      <w:r w:rsidRPr="5FF0A1E2" w:rsidR="7E9C8267">
        <w:rPr>
          <w:rFonts w:ascii="Arial" w:hAnsi="Arial" w:eastAsia="Arial" w:cs="Arial"/>
          <w:noProof w:val="0"/>
          <w:sz w:val="22"/>
          <w:szCs w:val="22"/>
          <w:lang w:val="en-GB"/>
        </w:rPr>
        <w:t>initial</w:t>
      </w:r>
      <w:r w:rsidRPr="5FF0A1E2" w:rsidR="7E9C8267">
        <w:rPr>
          <w:rFonts w:ascii="Arial" w:hAnsi="Arial" w:eastAsia="Arial" w:cs="Arial"/>
          <w:noProof w:val="0"/>
          <w:sz w:val="22"/>
          <w:szCs w:val="22"/>
          <w:lang w:val="en-GB"/>
        </w:rPr>
        <w:t xml:space="preserve"> teacher education (ITE) programmes.</w:t>
      </w:r>
    </w:p>
    <w:p w:rsidRPr="00636D9A" w:rsidR="00211184" w:rsidP="5FF0A1E2" w:rsidRDefault="00211184" w14:paraId="45A59556" w14:textId="38131343">
      <w:pPr>
        <w:pStyle w:val="ListParagraph"/>
        <w:numPr>
          <w:ilvl w:val="0"/>
          <w:numId w:val="109"/>
        </w:num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Offer ongoing professional development sessions led by healthcare professionals or condition-specific charities (e.g., Asthma UK, Diabetes UK).</w:t>
      </w:r>
    </w:p>
    <w:p w:rsidRPr="00636D9A" w:rsidR="00211184" w:rsidP="5FF0A1E2" w:rsidRDefault="00211184" w14:paraId="6300ED1F" w14:textId="28C4915C">
      <w:pPr>
        <w:pStyle w:val="ListParagraph"/>
        <w:numPr>
          <w:ilvl w:val="0"/>
          <w:numId w:val="109"/>
        </w:num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Develop accessible online modules for staff, reducing time pressure and offering flexibility.</w:t>
      </w:r>
    </w:p>
    <w:p w:rsidRPr="00636D9A" w:rsidR="00211184" w:rsidP="5FF0A1E2" w:rsidRDefault="00211184" w14:paraId="12777EBB" w14:textId="5455D696">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106005424" w:id="523904063"/>
      <w:r w:rsidRPr="5FF0A1E2" w:rsidR="7E9C8267">
        <w:rPr>
          <w:rFonts w:ascii="Arial" w:hAnsi="Arial" w:eastAsia="Arial" w:cs="Arial"/>
          <w:b w:val="1"/>
          <w:bCs w:val="1"/>
          <w:noProof w:val="0"/>
          <w:sz w:val="22"/>
          <w:szCs w:val="22"/>
          <w:lang w:val="en-GB"/>
        </w:rPr>
        <w:t>Barriers and Limitations</w:t>
      </w:r>
      <w:bookmarkEnd w:id="523904063"/>
    </w:p>
    <w:p w:rsidRPr="00636D9A" w:rsidR="00211184" w:rsidP="5FF0A1E2" w:rsidRDefault="00211184" w14:paraId="1ED78F6D" w14:textId="599852A9">
      <w:p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 xml:space="preserve">One significant barrier is </w:t>
      </w:r>
      <w:r w:rsidRPr="5FF0A1E2" w:rsidR="7E9C8267">
        <w:rPr>
          <w:rFonts w:ascii="Arial" w:hAnsi="Arial" w:eastAsia="Arial" w:cs="Arial"/>
          <w:b w:val="0"/>
          <w:bCs w:val="0"/>
          <w:noProof w:val="0"/>
          <w:sz w:val="22"/>
          <w:szCs w:val="22"/>
          <w:lang w:val="en-GB"/>
        </w:rPr>
        <w:t>limited school budgets</w:t>
      </w:r>
      <w:r w:rsidRPr="5FF0A1E2" w:rsidR="7E9C8267">
        <w:rPr>
          <w:rFonts w:ascii="Arial" w:hAnsi="Arial" w:eastAsia="Arial" w:cs="Arial"/>
          <w:b w:val="0"/>
          <w:bCs w:val="0"/>
          <w:noProof w:val="0"/>
          <w:sz w:val="22"/>
          <w:szCs w:val="22"/>
          <w:lang w:val="en-GB"/>
        </w:rPr>
        <w:t>,</w:t>
      </w:r>
      <w:r w:rsidRPr="5FF0A1E2" w:rsidR="7E9C8267">
        <w:rPr>
          <w:rFonts w:ascii="Arial" w:hAnsi="Arial" w:eastAsia="Arial" w:cs="Arial"/>
          <w:noProof w:val="0"/>
          <w:sz w:val="22"/>
          <w:szCs w:val="22"/>
          <w:lang w:val="en-GB"/>
        </w:rPr>
        <w:t xml:space="preserve"> which may restrict access to external training programmes. Teachers may also perceive medical-focused training as beyond their remit, leading to low engagement (Beckmann, 2021). Additionally, chronic illnesses vary widely, making it difficult to provide training that addresses every condition adequately.</w:t>
      </w:r>
    </w:p>
    <w:p w:rsidRPr="00636D9A" w:rsidR="00211184" w:rsidP="5FF0A1E2" w:rsidRDefault="00211184" w14:paraId="56909DD2" w14:textId="794997D5">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914303321" w:id="449758960"/>
      <w:r w:rsidRPr="5FF0A1E2" w:rsidR="7E9C8267">
        <w:rPr>
          <w:rFonts w:ascii="Arial" w:hAnsi="Arial" w:eastAsia="Arial" w:cs="Arial"/>
          <w:b w:val="1"/>
          <w:bCs w:val="1"/>
          <w:noProof w:val="0"/>
          <w:sz w:val="22"/>
          <w:szCs w:val="22"/>
          <w:lang w:val="en-GB"/>
        </w:rPr>
        <w:t>Overcoming Barriers</w:t>
      </w:r>
      <w:bookmarkEnd w:id="449758960"/>
    </w:p>
    <w:p w:rsidRPr="00636D9A" w:rsidR="00211184" w:rsidP="5FF0A1E2" w:rsidRDefault="00211184" w14:paraId="3A303FD7" w14:textId="408A01B8">
      <w:pPr>
        <w:pStyle w:val="ListParagraph"/>
        <w:numPr>
          <w:ilvl w:val="0"/>
          <w:numId w:val="110"/>
        </w:num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Schools can collaborate with charities that offer</w:t>
      </w:r>
      <w:r w:rsidRPr="5FF0A1E2" w:rsidR="7E9C8267">
        <w:rPr>
          <w:rFonts w:ascii="Arial" w:hAnsi="Arial" w:eastAsia="Arial" w:cs="Arial"/>
          <w:b w:val="0"/>
          <w:bCs w:val="0"/>
          <w:noProof w:val="0"/>
          <w:sz w:val="22"/>
          <w:szCs w:val="22"/>
          <w:lang w:val="en-GB"/>
        </w:rPr>
        <w:t xml:space="preserve"> </w:t>
      </w:r>
      <w:r w:rsidRPr="5FF0A1E2" w:rsidR="7E9C8267">
        <w:rPr>
          <w:rFonts w:ascii="Arial" w:hAnsi="Arial" w:eastAsia="Arial" w:cs="Arial"/>
          <w:b w:val="0"/>
          <w:bCs w:val="0"/>
          <w:noProof w:val="0"/>
          <w:sz w:val="22"/>
          <w:szCs w:val="22"/>
          <w:lang w:val="en-GB"/>
        </w:rPr>
        <w:t>free or low-cost</w:t>
      </w:r>
      <w:r w:rsidRPr="5FF0A1E2" w:rsidR="7E9C8267">
        <w:rPr>
          <w:rFonts w:ascii="Arial" w:hAnsi="Arial" w:eastAsia="Arial" w:cs="Arial"/>
          <w:b w:val="0"/>
          <w:bCs w:val="0"/>
          <w:noProof w:val="0"/>
          <w:sz w:val="22"/>
          <w:szCs w:val="22"/>
          <w:lang w:val="en-GB"/>
        </w:rPr>
        <w:t xml:space="preserve"> </w:t>
      </w:r>
      <w:r w:rsidRPr="5FF0A1E2" w:rsidR="7E9C8267">
        <w:rPr>
          <w:rFonts w:ascii="Arial" w:hAnsi="Arial" w:eastAsia="Arial" w:cs="Arial"/>
          <w:noProof w:val="0"/>
          <w:sz w:val="22"/>
          <w:szCs w:val="22"/>
          <w:lang w:val="en-GB"/>
        </w:rPr>
        <w:t>training resources.</w:t>
      </w:r>
    </w:p>
    <w:p w:rsidRPr="00636D9A" w:rsidR="00211184" w:rsidP="5FF0A1E2" w:rsidRDefault="00211184" w14:paraId="4E6A899F" w14:textId="1C238D59">
      <w:pPr>
        <w:pStyle w:val="ListParagraph"/>
        <w:numPr>
          <w:ilvl w:val="0"/>
          <w:numId w:val="110"/>
        </w:num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Government funding streams could prioritise SEND-focused teacher development.</w:t>
      </w:r>
    </w:p>
    <w:p w:rsidRPr="00636D9A" w:rsidR="00211184" w:rsidP="5FF0A1E2" w:rsidRDefault="00211184" w14:paraId="33C17EE1" w14:textId="1D3B7328">
      <w:pPr>
        <w:pStyle w:val="ListParagraph"/>
        <w:numPr>
          <w:ilvl w:val="0"/>
          <w:numId w:val="110"/>
        </w:numPr>
        <w:spacing w:before="240" w:beforeAutospacing="off" w:after="240" w:afterAutospacing="off" w:line="360" w:lineRule="auto"/>
        <w:ind/>
        <w:rPr>
          <w:rFonts w:ascii="Arial" w:hAnsi="Arial" w:eastAsia="Arial" w:cs="Arial"/>
          <w:noProof w:val="0"/>
          <w:sz w:val="22"/>
          <w:szCs w:val="22"/>
          <w:lang w:val="en-GB"/>
        </w:rPr>
      </w:pPr>
      <w:r w:rsidRPr="5FF0A1E2" w:rsidR="7E9C8267">
        <w:rPr>
          <w:rFonts w:ascii="Arial" w:hAnsi="Arial" w:eastAsia="Arial" w:cs="Arial"/>
          <w:noProof w:val="0"/>
          <w:sz w:val="22"/>
          <w:szCs w:val="22"/>
          <w:lang w:val="en-GB"/>
        </w:rPr>
        <w:t xml:space="preserve">Training should focus on </w:t>
      </w:r>
      <w:r w:rsidRPr="5FF0A1E2" w:rsidR="7E9C8267">
        <w:rPr>
          <w:rFonts w:ascii="Arial" w:hAnsi="Arial" w:eastAsia="Arial" w:cs="Arial"/>
          <w:b w:val="0"/>
          <w:bCs w:val="0"/>
          <w:noProof w:val="0"/>
          <w:sz w:val="22"/>
          <w:szCs w:val="22"/>
          <w:lang w:val="en-GB"/>
        </w:rPr>
        <w:t>principles of inclusive practice</w:t>
      </w:r>
      <w:r w:rsidRPr="5FF0A1E2" w:rsidR="7E9C8267">
        <w:rPr>
          <w:rFonts w:ascii="Arial" w:hAnsi="Arial" w:eastAsia="Arial" w:cs="Arial"/>
          <w:noProof w:val="0"/>
          <w:sz w:val="22"/>
          <w:szCs w:val="22"/>
          <w:lang w:val="en-GB"/>
        </w:rPr>
        <w:t>, rather than condition-specific knowledge, enabling teachers to respond flexibly to varied needs.</w:t>
      </w:r>
    </w:p>
    <w:p w:rsidRPr="00636D9A" w:rsidR="00211184" w:rsidP="5FF0A1E2" w:rsidRDefault="00211184" w14:paraId="596CA086" w14:textId="16BA8725">
      <w:pPr>
        <w:pStyle w:val="Heading1"/>
        <w:spacing w:line="360" w:lineRule="auto"/>
        <w:ind w:left="0"/>
        <w:rPr>
          <w:rFonts w:ascii="Arial" w:hAnsi="Arial" w:eastAsia="Arial" w:cs="Arial"/>
          <w:sz w:val="22"/>
          <w:szCs w:val="22"/>
        </w:rPr>
      </w:pPr>
      <w:bookmarkStart w:name="_Toc1435000187" w:id="810444030"/>
      <w:r w:rsidRPr="5FF0A1E2" w:rsidR="06E5547C">
        <w:rPr>
          <w:rFonts w:ascii="Arial" w:hAnsi="Arial" w:eastAsia="Arial" w:cs="Arial"/>
          <w:sz w:val="22"/>
          <w:szCs w:val="22"/>
        </w:rPr>
        <w:t>5.2.3 – Recommendation 3</w:t>
      </w:r>
      <w:r w:rsidRPr="5FF0A1E2" w:rsidR="06E5547C">
        <w:rPr>
          <w:rFonts w:ascii="Arial" w:hAnsi="Arial" w:eastAsia="Arial" w:cs="Arial"/>
          <w:sz w:val="22"/>
          <w:szCs w:val="22"/>
        </w:rPr>
        <w:t xml:space="preserve"> </w:t>
      </w:r>
      <w:r w:rsidRPr="5FF0A1E2" w:rsidR="068775C2">
        <w:rPr>
          <w:rFonts w:ascii="Arial" w:hAnsi="Arial" w:eastAsia="Arial" w:cs="Arial"/>
          <w:sz w:val="22"/>
          <w:szCs w:val="22"/>
        </w:rPr>
        <w:t xml:space="preserve">- </w:t>
      </w:r>
      <w:r w:rsidRPr="5FF0A1E2" w:rsidR="65631615">
        <w:rPr>
          <w:rFonts w:ascii="Arial" w:hAnsi="Arial" w:eastAsia="Arial" w:cs="Arial"/>
          <w:b w:val="1"/>
          <w:bCs w:val="1"/>
          <w:noProof w:val="0"/>
          <w:sz w:val="22"/>
          <w:szCs w:val="22"/>
          <w:lang w:val="en-GB"/>
        </w:rPr>
        <w:t>Enhance Flexibility in Curriculum Access and Attendance Policies</w:t>
      </w:r>
      <w:bookmarkEnd w:id="810444030"/>
    </w:p>
    <w:p w:rsidRPr="00636D9A" w:rsidR="00211184" w:rsidP="5FF0A1E2" w:rsidRDefault="00211184" w14:paraId="76C107CD" w14:textId="20766ECA">
      <w:pPr>
        <w:pStyle w:val="Heading1"/>
        <w:spacing w:line="360" w:lineRule="auto"/>
        <w:ind w:left="0"/>
        <w:rPr>
          <w:rFonts w:ascii="Arial" w:hAnsi="Arial" w:eastAsia="Arial" w:cs="Arial"/>
          <w:b w:val="1"/>
          <w:bCs w:val="1"/>
          <w:noProof w:val="0"/>
          <w:sz w:val="22"/>
          <w:szCs w:val="22"/>
          <w:lang w:val="en-GB"/>
        </w:rPr>
      </w:pPr>
    </w:p>
    <w:p w:rsidRPr="00636D9A" w:rsidR="00211184" w:rsidP="5FF0A1E2" w:rsidRDefault="00211184" w14:paraId="13729BC1" w14:textId="4F7793A3">
      <w:pPr>
        <w:pStyle w:val="Normal"/>
        <w:spacing w:line="360" w:lineRule="auto"/>
        <w:ind/>
        <w:rPr>
          <w:rFonts w:ascii="Arial" w:hAnsi="Arial" w:eastAsia="Arial" w:cs="Arial"/>
          <w:noProof w:val="0"/>
          <w:sz w:val="22"/>
          <w:szCs w:val="22"/>
          <w:lang w:val="en-GB"/>
        </w:rPr>
      </w:pPr>
      <w:r w:rsidRPr="5FF0A1E2" w:rsidR="7DBA7E5E">
        <w:rPr>
          <w:rFonts w:ascii="Arial" w:hAnsi="Arial" w:eastAsia="Arial" w:cs="Arial"/>
          <w:noProof w:val="0"/>
          <w:sz w:val="22"/>
          <w:szCs w:val="22"/>
          <w:lang w:val="en-GB"/>
        </w:rPr>
        <w:t xml:space="preserve">This recommendation addresses the barriers highlighted in Theme 2 and Theme 3, where limited curriculum flexibility and rigid attendance policies were shown to </w:t>
      </w:r>
      <w:r w:rsidRPr="5FF0A1E2" w:rsidR="7DBA7E5E">
        <w:rPr>
          <w:rFonts w:ascii="Arial" w:hAnsi="Arial" w:eastAsia="Arial" w:cs="Arial"/>
          <w:noProof w:val="0"/>
          <w:sz w:val="22"/>
          <w:szCs w:val="22"/>
          <w:lang w:val="en-GB"/>
        </w:rPr>
        <w:t>exacerbate</w:t>
      </w:r>
      <w:r w:rsidRPr="5FF0A1E2" w:rsidR="7DBA7E5E">
        <w:rPr>
          <w:rFonts w:ascii="Arial" w:hAnsi="Arial" w:eastAsia="Arial" w:cs="Arial"/>
          <w:noProof w:val="0"/>
          <w:sz w:val="22"/>
          <w:szCs w:val="22"/>
          <w:lang w:val="en-GB"/>
        </w:rPr>
        <w:t xml:space="preserve"> digital inequities and negatively </w:t>
      </w:r>
      <w:r w:rsidRPr="5FF0A1E2" w:rsidR="7DBA7E5E">
        <w:rPr>
          <w:rFonts w:ascii="Arial" w:hAnsi="Arial" w:eastAsia="Arial" w:cs="Arial"/>
          <w:noProof w:val="0"/>
          <w:sz w:val="22"/>
          <w:szCs w:val="22"/>
          <w:lang w:val="en-GB"/>
        </w:rPr>
        <w:t>impact</w:t>
      </w:r>
      <w:r w:rsidRPr="5FF0A1E2" w:rsidR="7DBA7E5E">
        <w:rPr>
          <w:rFonts w:ascii="Arial" w:hAnsi="Arial" w:eastAsia="Arial" w:cs="Arial"/>
          <w:noProof w:val="0"/>
          <w:sz w:val="22"/>
          <w:szCs w:val="22"/>
          <w:lang w:val="en-GB"/>
        </w:rPr>
        <w:t xml:space="preserve"> the psychological wellbeing of children with chronic health conditions.</w:t>
      </w:r>
    </w:p>
    <w:p w:rsidRPr="00636D9A" w:rsidR="00211184" w:rsidP="5FF0A1E2" w:rsidRDefault="00211184" w14:paraId="4D7E6AF5" w14:textId="5081152C">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1453316455" w:id="1665454814"/>
      <w:r w:rsidRPr="5FF0A1E2" w:rsidR="65631615">
        <w:rPr>
          <w:rFonts w:ascii="Arial" w:hAnsi="Arial" w:eastAsia="Arial" w:cs="Arial"/>
          <w:b w:val="1"/>
          <w:bCs w:val="1"/>
          <w:noProof w:val="0"/>
          <w:sz w:val="22"/>
          <w:szCs w:val="22"/>
          <w:lang w:val="en-GB"/>
        </w:rPr>
        <w:t>Rationale</w:t>
      </w:r>
      <w:bookmarkEnd w:id="1665454814"/>
    </w:p>
    <w:p w:rsidRPr="00636D9A" w:rsidR="00211184" w:rsidP="5FF0A1E2" w:rsidRDefault="00211184" w14:paraId="1A05000F" w14:textId="4656B9DE">
      <w:p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 xml:space="preserve">Chronically ill children often experience fatigue, treatment-related absences, and fluctuating health that affect their ability to </w:t>
      </w:r>
      <w:r w:rsidRPr="5FF0A1E2" w:rsidR="65631615">
        <w:rPr>
          <w:rFonts w:ascii="Arial" w:hAnsi="Arial" w:eastAsia="Arial" w:cs="Arial"/>
          <w:noProof w:val="0"/>
          <w:sz w:val="22"/>
          <w:szCs w:val="22"/>
          <w:lang w:val="en-GB"/>
        </w:rPr>
        <w:t>participate</w:t>
      </w:r>
      <w:r w:rsidRPr="5FF0A1E2" w:rsidR="65631615">
        <w:rPr>
          <w:rFonts w:ascii="Arial" w:hAnsi="Arial" w:eastAsia="Arial" w:cs="Arial"/>
          <w:noProof w:val="0"/>
          <w:sz w:val="22"/>
          <w:szCs w:val="22"/>
          <w:lang w:val="en-GB"/>
        </w:rPr>
        <w:t xml:space="preserve"> in traditional schooling routines (Peters and Jordan, 2022). Flexible curriculum and attendance policies</w:t>
      </w:r>
      <w:r w:rsidRPr="5FF0A1E2" w:rsidR="55640F46">
        <w:rPr>
          <w:rFonts w:ascii="Arial" w:hAnsi="Arial" w:eastAsia="Arial" w:cs="Arial"/>
          <w:noProof w:val="0"/>
          <w:sz w:val="22"/>
          <w:szCs w:val="22"/>
          <w:lang w:val="en-GB"/>
        </w:rPr>
        <w:t xml:space="preserve"> </w:t>
      </w:r>
      <w:r w:rsidRPr="5FF0A1E2" w:rsidR="65631615">
        <w:rPr>
          <w:rFonts w:ascii="Arial" w:hAnsi="Arial" w:eastAsia="Arial" w:cs="Arial"/>
          <w:noProof w:val="0"/>
          <w:sz w:val="22"/>
          <w:szCs w:val="22"/>
          <w:lang w:val="en-GB"/>
        </w:rPr>
        <w:t>such as remote learning opportunities, personalised timetabling, or hybrid models</w:t>
      </w:r>
      <w:r w:rsidRPr="5FF0A1E2" w:rsidR="2588B4F8">
        <w:rPr>
          <w:rFonts w:ascii="Arial" w:hAnsi="Arial" w:eastAsia="Arial" w:cs="Arial"/>
          <w:noProof w:val="0"/>
          <w:sz w:val="22"/>
          <w:szCs w:val="22"/>
          <w:lang w:val="en-GB"/>
        </w:rPr>
        <w:t xml:space="preserve"> </w:t>
      </w:r>
      <w:r w:rsidRPr="5FF0A1E2" w:rsidR="65631615">
        <w:rPr>
          <w:rFonts w:ascii="Arial" w:hAnsi="Arial" w:eastAsia="Arial" w:cs="Arial"/>
          <w:noProof w:val="0"/>
          <w:sz w:val="22"/>
          <w:szCs w:val="22"/>
          <w:lang w:val="en-GB"/>
        </w:rPr>
        <w:t>can prevent academic disadvantage and reduce stress (Sharpe and Palfrey, 2021).</w:t>
      </w:r>
    </w:p>
    <w:p w:rsidRPr="00636D9A" w:rsidR="00211184" w:rsidP="5FF0A1E2" w:rsidRDefault="00211184" w14:paraId="61205066" w14:textId="72A7F5BA">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82086276" w:id="415862271"/>
      <w:r w:rsidRPr="5FF0A1E2" w:rsidR="65631615">
        <w:rPr>
          <w:rFonts w:ascii="Arial" w:hAnsi="Arial" w:eastAsia="Arial" w:cs="Arial"/>
          <w:b w:val="1"/>
          <w:bCs w:val="1"/>
          <w:noProof w:val="0"/>
          <w:sz w:val="22"/>
          <w:szCs w:val="22"/>
          <w:lang w:val="en-GB"/>
        </w:rPr>
        <w:t>Proposed Actions</w:t>
      </w:r>
      <w:bookmarkEnd w:id="415862271"/>
    </w:p>
    <w:p w:rsidRPr="00636D9A" w:rsidR="00211184" w:rsidP="5FF0A1E2" w:rsidRDefault="00211184" w14:paraId="49F95F4F" w14:textId="09D48E53">
      <w:pPr>
        <w:pStyle w:val="ListParagraph"/>
        <w:numPr>
          <w:ilvl w:val="0"/>
          <w:numId w:val="111"/>
        </w:num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Schools should provide remote learning tools for students during periods of illness or hospitalisation.</w:t>
      </w:r>
    </w:p>
    <w:p w:rsidRPr="00636D9A" w:rsidR="00211184" w:rsidP="5FF0A1E2" w:rsidRDefault="00211184" w14:paraId="457CC245" w14:textId="0A018B15">
      <w:pPr>
        <w:pStyle w:val="ListParagraph"/>
        <w:numPr>
          <w:ilvl w:val="0"/>
          <w:numId w:val="111"/>
        </w:num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Implement flexible timetables allowing students to attend part-time or access specific lessons.</w:t>
      </w:r>
    </w:p>
    <w:p w:rsidRPr="00636D9A" w:rsidR="00211184" w:rsidP="5FF0A1E2" w:rsidRDefault="00211184" w14:paraId="28DABE0E" w14:textId="09E4ED5A">
      <w:pPr>
        <w:pStyle w:val="ListParagraph"/>
        <w:numPr>
          <w:ilvl w:val="0"/>
          <w:numId w:val="111"/>
        </w:num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Ensure alternative assessment methods are available for pupils unable to complete standard tasks.</w:t>
      </w:r>
    </w:p>
    <w:p w:rsidRPr="00636D9A" w:rsidR="00211184" w:rsidP="5FF0A1E2" w:rsidRDefault="00211184" w14:paraId="5F496479" w14:textId="4339E328">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238475301" w:id="52484908"/>
      <w:r w:rsidRPr="5FF0A1E2" w:rsidR="65631615">
        <w:rPr>
          <w:rFonts w:ascii="Arial" w:hAnsi="Arial" w:eastAsia="Arial" w:cs="Arial"/>
          <w:b w:val="1"/>
          <w:bCs w:val="1"/>
          <w:noProof w:val="0"/>
          <w:sz w:val="22"/>
          <w:szCs w:val="22"/>
          <w:lang w:val="en-GB"/>
        </w:rPr>
        <w:t>Barriers and Limitations</w:t>
      </w:r>
      <w:bookmarkEnd w:id="52484908"/>
    </w:p>
    <w:p w:rsidRPr="00636D9A" w:rsidR="00211184" w:rsidP="5FF0A1E2" w:rsidRDefault="00211184" w14:paraId="0057CD09" w14:textId="2DE929AC">
      <w:p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 xml:space="preserve">A key barrier involves </w:t>
      </w:r>
      <w:r w:rsidRPr="5FF0A1E2" w:rsidR="65631615">
        <w:rPr>
          <w:rFonts w:ascii="Arial" w:hAnsi="Arial" w:eastAsia="Arial" w:cs="Arial"/>
          <w:b w:val="0"/>
          <w:bCs w:val="0"/>
          <w:noProof w:val="0"/>
          <w:sz w:val="22"/>
          <w:szCs w:val="22"/>
          <w:lang w:val="en-GB"/>
        </w:rPr>
        <w:t>digital inequality</w:t>
      </w:r>
      <w:r w:rsidRPr="5FF0A1E2" w:rsidR="6026B3E3">
        <w:rPr>
          <w:rFonts w:ascii="Arial" w:hAnsi="Arial" w:eastAsia="Arial" w:cs="Arial"/>
          <w:b w:val="0"/>
          <w:bCs w:val="0"/>
          <w:noProof w:val="0"/>
          <w:sz w:val="22"/>
          <w:szCs w:val="22"/>
          <w:lang w:val="en-GB"/>
        </w:rPr>
        <w:t xml:space="preserve"> </w:t>
      </w:r>
      <w:r w:rsidRPr="5FF0A1E2" w:rsidR="65631615">
        <w:rPr>
          <w:rFonts w:ascii="Arial" w:hAnsi="Arial" w:eastAsia="Arial" w:cs="Arial"/>
          <w:noProof w:val="0"/>
          <w:sz w:val="22"/>
          <w:szCs w:val="22"/>
          <w:lang w:val="en-GB"/>
        </w:rPr>
        <w:t xml:space="preserve">not all pupils have access to </w:t>
      </w:r>
      <w:r w:rsidRPr="5FF0A1E2" w:rsidR="65631615">
        <w:rPr>
          <w:rFonts w:ascii="Arial" w:hAnsi="Arial" w:eastAsia="Arial" w:cs="Arial"/>
          <w:noProof w:val="0"/>
          <w:sz w:val="22"/>
          <w:szCs w:val="22"/>
          <w:lang w:val="en-GB"/>
        </w:rPr>
        <w:t>appropriate devices</w:t>
      </w:r>
      <w:r w:rsidRPr="5FF0A1E2" w:rsidR="65631615">
        <w:rPr>
          <w:rFonts w:ascii="Arial" w:hAnsi="Arial" w:eastAsia="Arial" w:cs="Arial"/>
          <w:noProof w:val="0"/>
          <w:sz w:val="22"/>
          <w:szCs w:val="22"/>
          <w:lang w:val="en-GB"/>
        </w:rPr>
        <w:t xml:space="preserve"> or stable internet at home. Schools may also struggle to manage flexible timetables while </w:t>
      </w:r>
      <w:r w:rsidRPr="5FF0A1E2" w:rsidR="65631615">
        <w:rPr>
          <w:rFonts w:ascii="Arial" w:hAnsi="Arial" w:eastAsia="Arial" w:cs="Arial"/>
          <w:noProof w:val="0"/>
          <w:sz w:val="22"/>
          <w:szCs w:val="22"/>
          <w:lang w:val="en-GB"/>
        </w:rPr>
        <w:t>maintaining</w:t>
      </w:r>
      <w:r w:rsidRPr="5FF0A1E2" w:rsidR="65631615">
        <w:rPr>
          <w:rFonts w:ascii="Arial" w:hAnsi="Arial" w:eastAsia="Arial" w:cs="Arial"/>
          <w:noProof w:val="0"/>
          <w:sz w:val="22"/>
          <w:szCs w:val="22"/>
          <w:lang w:val="en-GB"/>
        </w:rPr>
        <w:t xml:space="preserve"> staffing levels and curriculum continuity. Additionally, some teachers may be resistant to flexible models due to concerns about fairness or workload (Turner, 2020).</w:t>
      </w:r>
    </w:p>
    <w:p w:rsidRPr="00636D9A" w:rsidR="00211184" w:rsidP="5FF0A1E2" w:rsidRDefault="00211184" w14:paraId="51D59262" w14:textId="7AA96F28">
      <w:pPr>
        <w:pStyle w:val="Heading3"/>
        <w:spacing w:before="281" w:beforeAutospacing="off" w:after="281" w:afterAutospacing="off" w:line="360" w:lineRule="auto"/>
        <w:ind/>
        <w:rPr>
          <w:rFonts w:ascii="Arial" w:hAnsi="Arial" w:eastAsia="Arial" w:cs="Arial"/>
          <w:b w:val="1"/>
          <w:bCs w:val="1"/>
          <w:noProof w:val="0"/>
          <w:sz w:val="22"/>
          <w:szCs w:val="22"/>
          <w:lang w:val="en-GB"/>
        </w:rPr>
      </w:pPr>
      <w:bookmarkStart w:name="_Toc400230454" w:id="2097220051"/>
      <w:r w:rsidRPr="5FF0A1E2" w:rsidR="65631615">
        <w:rPr>
          <w:rFonts w:ascii="Arial" w:hAnsi="Arial" w:eastAsia="Arial" w:cs="Arial"/>
          <w:b w:val="1"/>
          <w:bCs w:val="1"/>
          <w:noProof w:val="0"/>
          <w:sz w:val="22"/>
          <w:szCs w:val="22"/>
          <w:lang w:val="en-GB"/>
        </w:rPr>
        <w:t>Overcoming Barriers</w:t>
      </w:r>
      <w:bookmarkEnd w:id="2097220051"/>
    </w:p>
    <w:p w:rsidRPr="00636D9A" w:rsidR="00211184" w:rsidP="5FF0A1E2" w:rsidRDefault="00211184" w14:paraId="5B213699" w14:textId="51AC02F4">
      <w:pPr>
        <w:pStyle w:val="ListParagraph"/>
        <w:numPr>
          <w:ilvl w:val="0"/>
          <w:numId w:val="112"/>
        </w:num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Local authorities can provide digital equipment loans or subsidies for families in need.</w:t>
      </w:r>
    </w:p>
    <w:p w:rsidRPr="00636D9A" w:rsidR="00211184" w:rsidP="5FF0A1E2" w:rsidRDefault="00211184" w14:paraId="0F9152C1" w14:textId="669B1DBD">
      <w:pPr>
        <w:pStyle w:val="ListParagraph"/>
        <w:numPr>
          <w:ilvl w:val="0"/>
          <w:numId w:val="112"/>
        </w:num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 xml:space="preserve">Schools can adopt timetable management software to </w:t>
      </w:r>
      <w:r w:rsidRPr="5FF0A1E2" w:rsidR="65631615">
        <w:rPr>
          <w:rFonts w:ascii="Arial" w:hAnsi="Arial" w:eastAsia="Arial" w:cs="Arial"/>
          <w:noProof w:val="0"/>
          <w:sz w:val="22"/>
          <w:szCs w:val="22"/>
          <w:lang w:val="en-GB"/>
        </w:rPr>
        <w:t>maintain</w:t>
      </w:r>
      <w:r w:rsidRPr="5FF0A1E2" w:rsidR="65631615">
        <w:rPr>
          <w:rFonts w:ascii="Arial" w:hAnsi="Arial" w:eastAsia="Arial" w:cs="Arial"/>
          <w:noProof w:val="0"/>
          <w:sz w:val="22"/>
          <w:szCs w:val="22"/>
          <w:lang w:val="en-GB"/>
        </w:rPr>
        <w:t xml:space="preserve"> consistency.</w:t>
      </w:r>
    </w:p>
    <w:p w:rsidRPr="00636D9A" w:rsidR="00211184" w:rsidP="5FF0A1E2" w:rsidRDefault="00211184" w14:paraId="69FFFFE1" w14:textId="445C4DAC">
      <w:pPr>
        <w:pStyle w:val="ListParagraph"/>
        <w:numPr>
          <w:ilvl w:val="0"/>
          <w:numId w:val="112"/>
        </w:numPr>
        <w:spacing w:before="240" w:beforeAutospacing="off" w:after="240" w:afterAutospacing="off" w:line="360" w:lineRule="auto"/>
        <w:ind/>
        <w:rPr>
          <w:rFonts w:ascii="Arial" w:hAnsi="Arial" w:eastAsia="Arial" w:cs="Arial"/>
          <w:noProof w:val="0"/>
          <w:sz w:val="22"/>
          <w:szCs w:val="22"/>
          <w:lang w:val="en-GB"/>
        </w:rPr>
      </w:pPr>
      <w:r w:rsidRPr="5FF0A1E2" w:rsidR="65631615">
        <w:rPr>
          <w:rFonts w:ascii="Arial" w:hAnsi="Arial" w:eastAsia="Arial" w:cs="Arial"/>
          <w:noProof w:val="0"/>
          <w:sz w:val="22"/>
          <w:szCs w:val="22"/>
          <w:lang w:val="en-GB"/>
        </w:rPr>
        <w:t>Staff training should emphasise that flexibility is an equality measure, not an exception, aligning with inclusive education principles.</w:t>
      </w:r>
    </w:p>
    <w:p w:rsidRPr="00636D9A" w:rsidR="00211184" w:rsidP="5FF0A1E2" w:rsidRDefault="00211184" w14:paraId="21F5DC1C" w14:textId="065911F0">
      <w:pPr>
        <w:pStyle w:val="Heading3"/>
        <w:spacing w:before="281" w:beforeAutospacing="off" w:after="281" w:afterAutospacing="off" w:line="360" w:lineRule="auto"/>
        <w:ind/>
        <w:rPr>
          <w:rFonts w:ascii="Arial" w:hAnsi="Arial" w:eastAsia="Arial" w:cs="Arial"/>
          <w:b w:val="1"/>
          <w:bCs w:val="1"/>
          <w:noProof w:val="0"/>
          <w:sz w:val="28"/>
          <w:szCs w:val="28"/>
          <w:lang w:val="en-GB"/>
        </w:rPr>
      </w:pPr>
      <w:bookmarkStart w:name="_Toc960540071" w:id="973901053"/>
      <w:r w:rsidRPr="5FF0A1E2" w:rsidR="5F1F14E7">
        <w:rPr>
          <w:rFonts w:ascii="Arial" w:hAnsi="Arial" w:eastAsia="Arial" w:cs="Arial"/>
          <w:b w:val="1"/>
          <w:bCs w:val="1"/>
          <w:noProof w:val="0"/>
          <w:sz w:val="28"/>
          <w:szCs w:val="28"/>
          <w:lang w:val="en-GB"/>
        </w:rPr>
        <w:t>5.3 Limitations</w:t>
      </w:r>
      <w:bookmarkEnd w:id="973901053"/>
    </w:p>
    <w:p w:rsidRPr="00636D9A" w:rsidR="00211184" w:rsidP="5FF0A1E2" w:rsidRDefault="00211184" w14:paraId="72EB271B" w14:textId="6F765C9D">
      <w:pPr>
        <w:spacing w:before="240" w:beforeAutospacing="off" w:after="240" w:afterAutospacing="off" w:line="360" w:lineRule="auto"/>
        <w:ind/>
        <w:rPr>
          <w:rFonts w:ascii="Arial" w:hAnsi="Arial" w:eastAsia="Arial" w:cs="Arial"/>
          <w:noProof w:val="0"/>
          <w:sz w:val="22"/>
          <w:szCs w:val="22"/>
          <w:lang w:val="en-GB"/>
        </w:rPr>
      </w:pPr>
      <w:r w:rsidRPr="5FF0A1E2" w:rsidR="5F1F14E7">
        <w:rPr>
          <w:rFonts w:ascii="Arial" w:hAnsi="Arial" w:eastAsia="Arial" w:cs="Arial"/>
          <w:noProof w:val="0"/>
          <w:sz w:val="22"/>
          <w:szCs w:val="22"/>
          <w:lang w:val="en-GB"/>
        </w:rPr>
        <w:t xml:space="preserve">While this dissertation provides a comprehensive review of supporting chronically ill children in educational settings, several limitations should be acknowledged. First, the research relied entirely on secondary sources, meaning no primary data was collected. This limits the ability to explore lived experiences directly or capture emerging practices that have not yet been published. Second, gaps and inconsistencies exist within the available literature; some studies focus on specific chronic illnesses or regions, which may reduce the generalisability of findings to all children with chronic conditions. Additionally, the quality and methodological rigor of sources varied, with some qualitative studies having small sample sizes or limited scope. These limitations suggest that while the thematic findings and recommendations </w:t>
      </w:r>
      <w:r w:rsidRPr="5FF0A1E2" w:rsidR="5F1F14E7">
        <w:rPr>
          <w:rFonts w:ascii="Arial" w:hAnsi="Arial" w:eastAsia="Arial" w:cs="Arial"/>
          <w:noProof w:val="0"/>
          <w:sz w:val="22"/>
          <w:szCs w:val="22"/>
          <w:lang w:val="en-GB"/>
        </w:rPr>
        <w:t>provide</w:t>
      </w:r>
      <w:r w:rsidRPr="5FF0A1E2" w:rsidR="5F1F14E7">
        <w:rPr>
          <w:rFonts w:ascii="Arial" w:hAnsi="Arial" w:eastAsia="Arial" w:cs="Arial"/>
          <w:noProof w:val="0"/>
          <w:sz w:val="22"/>
          <w:szCs w:val="22"/>
          <w:lang w:val="en-GB"/>
        </w:rPr>
        <w:t xml:space="preserve"> valuable insights, they should be interpreted with caution, and further primary research is needed to </w:t>
      </w:r>
      <w:r w:rsidRPr="5FF0A1E2" w:rsidR="5F1F14E7">
        <w:rPr>
          <w:rFonts w:ascii="Arial" w:hAnsi="Arial" w:eastAsia="Arial" w:cs="Arial"/>
          <w:noProof w:val="0"/>
          <w:sz w:val="22"/>
          <w:szCs w:val="22"/>
          <w:lang w:val="en-GB"/>
        </w:rPr>
        <w:t>validate</w:t>
      </w:r>
      <w:r w:rsidRPr="5FF0A1E2" w:rsidR="5F1F14E7">
        <w:rPr>
          <w:rFonts w:ascii="Arial" w:hAnsi="Arial" w:eastAsia="Arial" w:cs="Arial"/>
          <w:noProof w:val="0"/>
          <w:sz w:val="22"/>
          <w:szCs w:val="22"/>
          <w:lang w:val="en-GB"/>
        </w:rPr>
        <w:t xml:space="preserve"> and expand upon the conclusions drawn.</w:t>
      </w:r>
    </w:p>
    <w:p w:rsidRPr="00636D9A" w:rsidR="00211184" w:rsidP="5FF0A1E2" w:rsidRDefault="00211184" w14:paraId="7D42E59E" w14:textId="2F7094F9">
      <w:pPr>
        <w:pStyle w:val="Heading1"/>
        <w:ind/>
        <w:rPr>
          <w:rFonts w:ascii="Aptos" w:hAnsi="Aptos"/>
          <w:sz w:val="28"/>
          <w:szCs w:val="28"/>
        </w:rPr>
      </w:pPr>
    </w:p>
    <w:p w:rsidRPr="00636D9A" w:rsidR="00211184" w:rsidP="5FF0A1E2" w:rsidRDefault="00211184" w14:paraId="00A705DD" w14:textId="761CD8E9">
      <w:pPr>
        <w:pStyle w:val="Heading1"/>
        <w:ind/>
        <w:rPr>
          <w:rFonts w:ascii="Aptos" w:hAnsi="Aptos"/>
        </w:rPr>
      </w:pPr>
    </w:p>
    <w:p w:rsidRPr="00636D9A" w:rsidR="00211184" w:rsidP="5FF0A1E2" w:rsidRDefault="00211184" w14:paraId="673969D3" w14:textId="407CAB65">
      <w:pPr>
        <w:pStyle w:val="Heading1"/>
        <w:ind w:left="0"/>
        <w:rPr>
          <w:rFonts w:ascii="Aptos" w:hAnsi="Aptos"/>
        </w:rPr>
      </w:pPr>
    </w:p>
    <w:p w:rsidRPr="00636D9A" w:rsidR="00211184" w:rsidP="5FF0A1E2" w:rsidRDefault="00211184" w14:paraId="724E529A" w14:textId="45B77EB7">
      <w:pPr>
        <w:pStyle w:val="Heading1"/>
        <w:ind w:left="0"/>
        <w:rPr>
          <w:rFonts w:ascii="Aptos" w:hAnsi="Aptos"/>
        </w:rPr>
      </w:pPr>
    </w:p>
    <w:p w:rsidRPr="00636D9A" w:rsidR="00211184" w:rsidP="5FF0A1E2" w:rsidRDefault="00211184" w14:paraId="65680EFA" w14:textId="57FE41BE">
      <w:pPr>
        <w:pStyle w:val="Heading1"/>
        <w:ind w:left="0"/>
        <w:rPr>
          <w:rFonts w:ascii="Aptos" w:hAnsi="Aptos"/>
        </w:rPr>
      </w:pPr>
    </w:p>
    <w:p w:rsidRPr="00636D9A" w:rsidR="00211184" w:rsidP="5FF0A1E2" w:rsidRDefault="00211184" w14:paraId="67CC3CE4" w14:textId="33B407B7">
      <w:pPr>
        <w:pStyle w:val="Heading1"/>
        <w:ind w:left="0"/>
        <w:rPr>
          <w:rFonts w:ascii="Aptos" w:hAnsi="Aptos"/>
        </w:rPr>
      </w:pPr>
    </w:p>
    <w:p w:rsidRPr="00636D9A" w:rsidR="00211184" w:rsidP="5FF0A1E2" w:rsidRDefault="00211184" w14:paraId="7B6BF67F" w14:textId="5BD2626A">
      <w:pPr>
        <w:pStyle w:val="Heading1"/>
        <w:ind w:left="0"/>
        <w:rPr>
          <w:rFonts w:ascii="Aptos" w:hAnsi="Aptos"/>
        </w:rPr>
      </w:pPr>
    </w:p>
    <w:p w:rsidRPr="00636D9A" w:rsidR="00211184" w:rsidP="5FF0A1E2" w:rsidRDefault="00211184" w14:paraId="40FF20C1" w14:textId="4E8645B9">
      <w:pPr>
        <w:pStyle w:val="Heading1"/>
        <w:ind w:left="0"/>
        <w:rPr>
          <w:rFonts w:ascii="Aptos" w:hAnsi="Aptos"/>
        </w:rPr>
      </w:pPr>
    </w:p>
    <w:p w:rsidRPr="00636D9A" w:rsidR="00211184" w:rsidP="5FF0A1E2" w:rsidRDefault="00211184" w14:paraId="7B1908B1" w14:textId="4375833A">
      <w:pPr>
        <w:pStyle w:val="Heading1"/>
        <w:ind w:left="0"/>
        <w:rPr>
          <w:rFonts w:ascii="Aptos" w:hAnsi="Aptos"/>
        </w:rPr>
      </w:pPr>
    </w:p>
    <w:p w:rsidRPr="00636D9A" w:rsidR="00211184" w:rsidP="5FF0A1E2" w:rsidRDefault="00211184" w14:paraId="549B97A8" w14:textId="0A459191">
      <w:pPr>
        <w:pStyle w:val="Heading1"/>
        <w:ind w:left="0"/>
        <w:rPr>
          <w:rFonts w:ascii="Aptos" w:hAnsi="Aptos"/>
        </w:rPr>
      </w:pPr>
    </w:p>
    <w:p w:rsidRPr="00636D9A" w:rsidR="00211184" w:rsidP="5FF0A1E2" w:rsidRDefault="00211184" w14:paraId="76FFE2DF" w14:textId="148E07AC">
      <w:pPr>
        <w:pStyle w:val="Heading1"/>
        <w:ind w:left="0"/>
        <w:rPr>
          <w:rFonts w:ascii="Aptos" w:hAnsi="Aptos"/>
        </w:rPr>
      </w:pPr>
    </w:p>
    <w:p w:rsidRPr="00636D9A" w:rsidR="00211184" w:rsidP="5FF0A1E2" w:rsidRDefault="00211184" w14:paraId="1F1BC4B6" w14:textId="1CBFB524">
      <w:pPr>
        <w:pStyle w:val="Heading1"/>
        <w:ind w:left="0"/>
        <w:rPr>
          <w:rFonts w:ascii="Aptos" w:hAnsi="Aptos"/>
        </w:rPr>
      </w:pPr>
    </w:p>
    <w:p w:rsidRPr="00636D9A" w:rsidR="00211184" w:rsidP="5FF0A1E2" w:rsidRDefault="00211184" w14:paraId="7522628F" w14:textId="23FA3891">
      <w:pPr>
        <w:pStyle w:val="Heading1"/>
        <w:ind w:left="0"/>
        <w:rPr>
          <w:rFonts w:ascii="Aptos" w:hAnsi="Aptos"/>
        </w:rPr>
      </w:pPr>
    </w:p>
    <w:p w:rsidRPr="00636D9A" w:rsidR="00211184" w:rsidP="5FF0A1E2" w:rsidRDefault="00211184" w14:paraId="51881389" w14:textId="3FCCE558">
      <w:pPr>
        <w:pStyle w:val="Heading1"/>
        <w:ind w:left="0"/>
        <w:rPr>
          <w:rFonts w:ascii="Aptos" w:hAnsi="Aptos"/>
        </w:rPr>
      </w:pPr>
    </w:p>
    <w:p w:rsidRPr="00636D9A" w:rsidR="00211184" w:rsidP="5FF0A1E2" w:rsidRDefault="00211184" w14:paraId="7F483498" w14:textId="628EF237">
      <w:pPr>
        <w:pStyle w:val="Heading1"/>
        <w:ind w:left="0"/>
        <w:rPr>
          <w:rFonts w:ascii="Aptos" w:hAnsi="Aptos"/>
        </w:rPr>
      </w:pPr>
    </w:p>
    <w:p w:rsidRPr="00636D9A" w:rsidR="00211184" w:rsidP="5FF0A1E2" w:rsidRDefault="00211184" w14:paraId="36EFFD1A" w14:textId="1981B915">
      <w:pPr>
        <w:pStyle w:val="Heading1"/>
        <w:ind w:left="0"/>
        <w:rPr>
          <w:rFonts w:ascii="Aptos" w:hAnsi="Aptos"/>
        </w:rPr>
      </w:pPr>
    </w:p>
    <w:p w:rsidRPr="00636D9A" w:rsidR="00211184" w:rsidP="5FF0A1E2" w:rsidRDefault="00211184" w14:paraId="1C4E2FAB" w14:textId="23843C7D">
      <w:pPr>
        <w:pStyle w:val="Heading1"/>
        <w:ind w:left="0"/>
        <w:rPr>
          <w:rFonts w:ascii="Aptos" w:hAnsi="Aptos"/>
        </w:rPr>
      </w:pPr>
    </w:p>
    <w:p w:rsidRPr="00636D9A" w:rsidR="00211184" w:rsidP="5FF0A1E2" w:rsidRDefault="00211184" w14:paraId="3AF5855F" w14:textId="5821887D">
      <w:pPr>
        <w:pStyle w:val="Heading1"/>
        <w:ind w:left="0"/>
        <w:rPr>
          <w:rFonts w:ascii="Aptos" w:hAnsi="Aptos"/>
        </w:rPr>
      </w:pPr>
    </w:p>
    <w:p w:rsidRPr="00636D9A" w:rsidR="00211184" w:rsidP="5FF0A1E2" w:rsidRDefault="00211184" w14:paraId="437D84C8" w14:textId="364276B6">
      <w:pPr>
        <w:pStyle w:val="Heading1"/>
        <w:ind w:left="0"/>
        <w:rPr>
          <w:rFonts w:ascii="Aptos" w:hAnsi="Aptos"/>
        </w:rPr>
      </w:pPr>
    </w:p>
    <w:p w:rsidRPr="00636D9A" w:rsidR="00211184" w:rsidP="5FF0A1E2" w:rsidRDefault="00211184" w14:paraId="3015983A" w14:textId="0235B3CB">
      <w:pPr>
        <w:pStyle w:val="Heading1"/>
        <w:ind w:left="0"/>
        <w:rPr>
          <w:rFonts w:ascii="Aptos" w:hAnsi="Aptos"/>
        </w:rPr>
      </w:pPr>
    </w:p>
    <w:p w:rsidRPr="00636D9A" w:rsidR="00211184" w:rsidP="5FF0A1E2" w:rsidRDefault="00211184" w14:paraId="52484FA2" w14:textId="7507173B">
      <w:pPr>
        <w:pStyle w:val="Heading1"/>
        <w:ind w:left="0"/>
        <w:rPr>
          <w:rFonts w:ascii="Aptos" w:hAnsi="Aptos"/>
        </w:rPr>
      </w:pPr>
    </w:p>
    <w:p w:rsidRPr="00636D9A" w:rsidR="00211184" w:rsidP="5FF0A1E2" w:rsidRDefault="00211184" w14:paraId="3B812DCC" w14:textId="3C43A5F5">
      <w:pPr>
        <w:pStyle w:val="Heading1"/>
        <w:ind w:left="0"/>
        <w:rPr>
          <w:rFonts w:ascii="Aptos" w:hAnsi="Aptos"/>
        </w:rPr>
      </w:pPr>
    </w:p>
    <w:p w:rsidRPr="00636D9A" w:rsidR="00211184" w:rsidP="00211184" w:rsidRDefault="00211184" w14:paraId="3D3F3B28" w14:textId="6A9E76B5">
      <w:pPr>
        <w:pStyle w:val="Heading1"/>
        <w:ind w:left="0"/>
        <w:rPr>
          <w:rFonts w:ascii="Aptos" w:hAnsi="Aptos"/>
        </w:rPr>
      </w:pPr>
      <w:bookmarkStart w:name="_Toc410033719" w:id="1450465512"/>
      <w:r w:rsidRPr="5FF0A1E2" w:rsidR="2B6BC76F">
        <w:rPr>
          <w:rFonts w:ascii="Aptos" w:hAnsi="Aptos"/>
        </w:rPr>
        <w:t>C</w:t>
      </w:r>
      <w:r w:rsidRPr="5FF0A1E2" w:rsidR="2B6BC76F">
        <w:rPr>
          <w:rFonts w:ascii="Aptos" w:hAnsi="Aptos"/>
        </w:rPr>
        <w:t>HAPTER</w:t>
      </w:r>
      <w:r w:rsidRPr="5FF0A1E2" w:rsidR="2B6BC76F">
        <w:rPr>
          <w:rFonts w:ascii="Aptos" w:hAnsi="Aptos"/>
        </w:rPr>
        <w:t xml:space="preserve"> </w:t>
      </w:r>
      <w:r w:rsidRPr="5FF0A1E2" w:rsidR="2B6BC76F">
        <w:rPr>
          <w:rFonts w:ascii="Aptos" w:hAnsi="Aptos"/>
        </w:rPr>
        <w:t>6</w:t>
      </w:r>
      <w:r w:rsidRPr="5FF0A1E2" w:rsidR="2B6BC76F">
        <w:rPr>
          <w:rFonts w:ascii="Aptos" w:hAnsi="Aptos"/>
        </w:rPr>
        <w:t xml:space="preserve"> – </w:t>
      </w:r>
      <w:r w:rsidRPr="5FF0A1E2" w:rsidR="2B6BC76F">
        <w:rPr>
          <w:rFonts w:ascii="Aptos" w:hAnsi="Aptos"/>
        </w:rPr>
        <w:t>References and Appendices</w:t>
      </w:r>
      <w:bookmarkEnd w:id="1450465512"/>
      <w:r w:rsidRPr="5FF0A1E2" w:rsidR="2B6BC76F">
        <w:rPr>
          <w:rFonts w:ascii="Aptos" w:hAnsi="Aptos"/>
        </w:rPr>
        <w:t xml:space="preserve"> </w:t>
      </w:r>
    </w:p>
    <w:p w:rsidR="00211184" w:rsidRDefault="00211184" w14:paraId="2EE69DD1" w14:textId="77777777"/>
    <w:p w:rsidRPr="008C38C3" w:rsidR="00621776" w:rsidP="00621776" w:rsidRDefault="00621776" w14:paraId="020975DD" w14:textId="16A395E8" w14:noSpellErr="1">
      <w:pPr>
        <w:pStyle w:val="Heading1"/>
        <w:ind w:left="0"/>
        <w:rPr>
          <w:rFonts w:ascii="Aptos" w:hAnsi="Aptos"/>
          <w:sz w:val="28"/>
          <w:szCs w:val="28"/>
        </w:rPr>
      </w:pPr>
      <w:bookmarkStart w:name="_Toc2064997738" w:id="1052365864"/>
      <w:r w:rsidRPr="5FF0A1E2" w:rsidR="3B18BEB4">
        <w:rPr>
          <w:rFonts w:ascii="Aptos" w:hAnsi="Aptos"/>
          <w:sz w:val="28"/>
          <w:szCs w:val="28"/>
        </w:rPr>
        <w:t>6.1 – References</w:t>
      </w:r>
      <w:bookmarkEnd w:id="1052365864"/>
      <w:r w:rsidRPr="5FF0A1E2" w:rsidR="3B18BEB4">
        <w:rPr>
          <w:rFonts w:ascii="Aptos" w:hAnsi="Aptos"/>
          <w:sz w:val="28"/>
          <w:szCs w:val="28"/>
        </w:rPr>
        <w:t xml:space="preserve"> </w:t>
      </w:r>
    </w:p>
    <w:p w:rsidR="00621776" w:rsidP="5FF0A1E2" w:rsidRDefault="00621776" w14:paraId="177D47C3" w14:textId="47468074">
      <w:pPr>
        <w:pStyle w:val="Normal"/>
        <w:ind w:left="0"/>
        <w:rPr>
          <w:rFonts w:ascii="Aptos" w:hAnsi="Aptos"/>
          <w:sz w:val="28"/>
          <w:szCs w:val="28"/>
        </w:rPr>
      </w:pPr>
    </w:p>
    <w:p w:rsidR="00621776" w:rsidP="5FF0A1E2" w:rsidRDefault="00621776" w14:paraId="24CF30C4" w14:textId="336589FF">
      <w:pPr>
        <w:pStyle w:val="ListParagraph"/>
        <w:numPr>
          <w:ilvl w:val="0"/>
          <w:numId w:val="104"/>
        </w:numPr>
        <w:spacing w:before="240" w:beforeAutospacing="off" w:after="24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Ainscow, M. (2020) </w:t>
      </w:r>
      <w:r w:rsidRPr="5FF0A1E2" w:rsidR="4B8FF233">
        <w:rPr>
          <w:rFonts w:ascii="Arial" w:hAnsi="Arial" w:eastAsia="Arial" w:cs="Arial"/>
          <w:i w:val="1"/>
          <w:iCs w:val="1"/>
          <w:noProof w:val="0"/>
          <w:sz w:val="22"/>
          <w:szCs w:val="22"/>
          <w:lang w:val="en-GB"/>
        </w:rPr>
        <w:t>Promoting Inclusive Education</w:t>
      </w:r>
      <w:r w:rsidRPr="5FF0A1E2" w:rsidR="4B8FF233">
        <w:rPr>
          <w:rFonts w:ascii="Arial" w:hAnsi="Arial" w:eastAsia="Arial" w:cs="Arial"/>
          <w:noProof w:val="0"/>
          <w:sz w:val="22"/>
          <w:szCs w:val="22"/>
          <w:lang w:val="en-GB"/>
        </w:rPr>
        <w:t>: From Policy to Practice. London: Routledge</w:t>
      </w:r>
      <w:r w:rsidRPr="5FF0A1E2" w:rsidR="4B8FF233">
        <w:rPr>
          <w:rFonts w:ascii="Arial" w:hAnsi="Arial" w:eastAsia="Arial" w:cs="Arial"/>
          <w:noProof w:val="0"/>
          <w:sz w:val="22"/>
          <w:szCs w:val="22"/>
          <w:lang w:val="en-GB"/>
        </w:rPr>
        <w:t xml:space="preserve">.  </w:t>
      </w:r>
    </w:p>
    <w:p w:rsidR="00621776" w:rsidP="5FF0A1E2" w:rsidRDefault="00621776" w14:paraId="490653B3" w14:textId="6D6EA94F">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Ainscow, M. (2020) </w:t>
      </w:r>
      <w:r w:rsidRPr="5FF0A1E2" w:rsidR="4B8FF233">
        <w:rPr>
          <w:rFonts w:ascii="Arial" w:hAnsi="Arial" w:eastAsia="Arial" w:cs="Arial"/>
          <w:i w:val="1"/>
          <w:iCs w:val="1"/>
          <w:noProof w:val="0"/>
          <w:sz w:val="22"/>
          <w:szCs w:val="22"/>
          <w:lang w:val="en-GB"/>
        </w:rPr>
        <w:t>Promoting Inclusive Education</w:t>
      </w:r>
      <w:r w:rsidRPr="5FF0A1E2" w:rsidR="4B8FF233">
        <w:rPr>
          <w:rFonts w:ascii="Arial" w:hAnsi="Arial" w:eastAsia="Arial" w:cs="Arial"/>
          <w:noProof w:val="0"/>
          <w:sz w:val="22"/>
          <w:szCs w:val="22"/>
          <w:lang w:val="en-GB"/>
        </w:rPr>
        <w:t xml:space="preserve">: Lessons from International Experiences. London: Routledge. — Publisher page: </w:t>
      </w:r>
      <w:hyperlink r:id="Rbfbe3a640e4c4ada">
        <w:r w:rsidRPr="5FF0A1E2" w:rsidR="4B8FF233">
          <w:rPr>
            <w:rStyle w:val="Hyperlink"/>
            <w:rFonts w:ascii="Arial" w:hAnsi="Arial" w:eastAsia="Arial" w:cs="Arial"/>
            <w:noProof w:val="0"/>
            <w:sz w:val="22"/>
            <w:szCs w:val="22"/>
            <w:lang w:val="en-GB"/>
          </w:rPr>
          <w:t>https://www.routledge.com/Promoting-Inclusive-Education-Lessons-from-International-Experiences/Ainscow/p/book/9780367202423</w:t>
        </w:r>
      </w:hyperlink>
      <w:r w:rsidRPr="5FF0A1E2" w:rsidR="4B8FF233">
        <w:rPr>
          <w:rFonts w:ascii="Arial" w:hAnsi="Arial" w:eastAsia="Arial" w:cs="Arial"/>
          <w:noProof w:val="0"/>
          <w:sz w:val="22"/>
          <w:szCs w:val="22"/>
          <w:lang w:val="en-GB"/>
        </w:rPr>
        <w:t xml:space="preserve"> </w:t>
      </w:r>
    </w:p>
    <w:p w:rsidR="00621776" w:rsidP="5FF0A1E2" w:rsidRDefault="00621776" w14:paraId="1CB896F8" w14:textId="6391536A">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Andrew, A. et al. (2020) </w:t>
      </w:r>
      <w:r w:rsidRPr="5FF0A1E2" w:rsidR="4B8FF233">
        <w:rPr>
          <w:rFonts w:ascii="Arial" w:hAnsi="Arial" w:eastAsia="Arial" w:cs="Arial"/>
          <w:i w:val="1"/>
          <w:iCs w:val="1"/>
          <w:noProof w:val="0"/>
          <w:sz w:val="22"/>
          <w:szCs w:val="22"/>
          <w:lang w:val="en-GB"/>
        </w:rPr>
        <w:t>Learning during the pandemic</w:t>
      </w:r>
      <w:r w:rsidRPr="5FF0A1E2" w:rsidR="4B8FF233">
        <w:rPr>
          <w:rFonts w:ascii="Arial" w:hAnsi="Arial" w:eastAsia="Arial" w:cs="Arial"/>
          <w:noProof w:val="0"/>
          <w:sz w:val="22"/>
          <w:szCs w:val="22"/>
          <w:lang w:val="en-GB"/>
        </w:rPr>
        <w:t>: Insights from the UK. Institute for Fiscal Studies</w:t>
      </w:r>
      <w:r w:rsidRPr="5FF0A1E2" w:rsidR="4B8FF233">
        <w:rPr>
          <w:rFonts w:ascii="Arial" w:hAnsi="Arial" w:eastAsia="Arial" w:cs="Arial"/>
          <w:noProof w:val="0"/>
          <w:sz w:val="22"/>
          <w:szCs w:val="22"/>
          <w:lang w:val="en-GB"/>
        </w:rPr>
        <w:t xml:space="preserve">.  </w:t>
      </w:r>
    </w:p>
    <w:p w:rsidR="00621776" w:rsidP="5FF0A1E2" w:rsidRDefault="00621776" w14:paraId="42D011E6" w14:textId="31E4707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‌Andrew, A., Cattan, S., Dias, M.C., Farquharson, C., </w:t>
      </w:r>
      <w:r w:rsidRPr="5FF0A1E2" w:rsidR="4B8FF233">
        <w:rPr>
          <w:rFonts w:ascii="Arial" w:hAnsi="Arial" w:eastAsia="Arial" w:cs="Arial"/>
          <w:noProof w:val="0"/>
          <w:sz w:val="22"/>
          <w:szCs w:val="22"/>
          <w:lang w:val="en-GB"/>
        </w:rPr>
        <w:t>Kraftman</w:t>
      </w:r>
      <w:r w:rsidRPr="5FF0A1E2" w:rsidR="4B8FF233">
        <w:rPr>
          <w:rFonts w:ascii="Arial" w:hAnsi="Arial" w:eastAsia="Arial" w:cs="Arial"/>
          <w:noProof w:val="0"/>
          <w:sz w:val="22"/>
          <w:szCs w:val="22"/>
          <w:lang w:val="en-GB"/>
        </w:rPr>
        <w:t xml:space="preserve">, L., </w:t>
      </w:r>
      <w:r w:rsidRPr="5FF0A1E2" w:rsidR="4B8FF233">
        <w:rPr>
          <w:rFonts w:ascii="Arial" w:hAnsi="Arial" w:eastAsia="Arial" w:cs="Arial"/>
          <w:noProof w:val="0"/>
          <w:sz w:val="22"/>
          <w:szCs w:val="22"/>
          <w:lang w:val="en-GB"/>
        </w:rPr>
        <w:t>Krutikova</w:t>
      </w:r>
      <w:r w:rsidRPr="5FF0A1E2" w:rsidR="4B8FF233">
        <w:rPr>
          <w:rFonts w:ascii="Arial" w:hAnsi="Arial" w:eastAsia="Arial" w:cs="Arial"/>
          <w:noProof w:val="0"/>
          <w:sz w:val="22"/>
          <w:szCs w:val="22"/>
          <w:lang w:val="en-GB"/>
        </w:rPr>
        <w:t xml:space="preserve">, S., Phimister, A. &amp; Sevilla, A. (2020) </w:t>
      </w:r>
      <w:r w:rsidRPr="5FF0A1E2" w:rsidR="4B8FF233">
        <w:rPr>
          <w:rFonts w:ascii="Arial" w:hAnsi="Arial" w:eastAsia="Arial" w:cs="Arial"/>
          <w:i w:val="1"/>
          <w:iCs w:val="1"/>
          <w:noProof w:val="0"/>
          <w:sz w:val="22"/>
          <w:szCs w:val="22"/>
          <w:lang w:val="en-GB"/>
        </w:rPr>
        <w:t>Learning during the pandemic</w:t>
      </w:r>
      <w:r w:rsidRPr="5FF0A1E2" w:rsidR="4B8FF233">
        <w:rPr>
          <w:rFonts w:ascii="Arial" w:hAnsi="Arial" w:eastAsia="Arial" w:cs="Arial"/>
          <w:noProof w:val="0"/>
          <w:sz w:val="22"/>
          <w:szCs w:val="22"/>
          <w:lang w:val="en-GB"/>
        </w:rPr>
        <w:t xml:space="preserve">: Insights from the UK. London: Institute for Fiscal Studies. Available at: </w:t>
      </w:r>
      <w:hyperlink r:id="R2d379a8858ad453a">
        <w:r w:rsidRPr="5FF0A1E2" w:rsidR="4B8FF233">
          <w:rPr>
            <w:rStyle w:val="Hyperlink"/>
            <w:rFonts w:ascii="Arial" w:hAnsi="Arial" w:eastAsia="Arial" w:cs="Arial"/>
            <w:noProof w:val="0"/>
            <w:sz w:val="22"/>
            <w:szCs w:val="22"/>
            <w:lang w:val="en-GB"/>
          </w:rPr>
          <w:t>https://www.ifs.org.uk/publications/14848</w:t>
        </w:r>
      </w:hyperlink>
      <w:r w:rsidRPr="5FF0A1E2" w:rsidR="4B8FF233">
        <w:rPr>
          <w:rFonts w:ascii="Arial" w:hAnsi="Arial" w:eastAsia="Arial" w:cs="Arial"/>
          <w:noProof w:val="0"/>
          <w:sz w:val="22"/>
          <w:szCs w:val="22"/>
          <w:lang w:val="en-GB"/>
        </w:rPr>
        <w:t xml:space="preserve"> (Accessed: 25 November 2025). </w:t>
      </w:r>
    </w:p>
    <w:p w:rsidR="00621776" w:rsidP="5FF0A1E2" w:rsidRDefault="00621776" w14:paraId="7BB61ED5" w14:textId="252A9C2D">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Ayyagari, R., Grover, </w:t>
      </w:r>
      <w:r w:rsidRPr="5FF0A1E2" w:rsidR="4B8FF233">
        <w:rPr>
          <w:rFonts w:ascii="Arial" w:hAnsi="Arial" w:eastAsia="Arial" w:cs="Arial"/>
          <w:noProof w:val="0"/>
          <w:sz w:val="22"/>
          <w:szCs w:val="22"/>
          <w:lang w:val="en-GB"/>
        </w:rPr>
        <w:t>V.</w:t>
      </w:r>
      <w:r w:rsidRPr="5FF0A1E2" w:rsidR="4B8FF233">
        <w:rPr>
          <w:rFonts w:ascii="Arial" w:hAnsi="Arial" w:eastAsia="Arial" w:cs="Arial"/>
          <w:noProof w:val="0"/>
          <w:sz w:val="22"/>
          <w:szCs w:val="22"/>
          <w:lang w:val="en-GB"/>
        </w:rPr>
        <w:t xml:space="preserve"> and Purvis, R. (2011) ‘</w:t>
      </w:r>
      <w:r w:rsidRPr="5FF0A1E2" w:rsidR="4B8FF233">
        <w:rPr>
          <w:rFonts w:ascii="Arial" w:hAnsi="Arial" w:eastAsia="Arial" w:cs="Arial"/>
          <w:i w:val="1"/>
          <w:iCs w:val="1"/>
          <w:noProof w:val="0"/>
          <w:sz w:val="22"/>
          <w:szCs w:val="22"/>
          <w:lang w:val="en-GB"/>
        </w:rPr>
        <w:t>Technostress</w:t>
      </w:r>
      <w:r w:rsidRPr="5FF0A1E2" w:rsidR="4B8FF233">
        <w:rPr>
          <w:rFonts w:ascii="Arial" w:hAnsi="Arial" w:eastAsia="Arial" w:cs="Arial"/>
          <w:noProof w:val="0"/>
          <w:sz w:val="22"/>
          <w:szCs w:val="22"/>
          <w:lang w:val="en-GB"/>
        </w:rPr>
        <w:t>: Technological antecedents and implications’, MIS Quarterly, 35(4), pp. 831–858</w:t>
      </w:r>
      <w:r w:rsidRPr="5FF0A1E2" w:rsidR="4B8FF233">
        <w:rPr>
          <w:rFonts w:ascii="Arial" w:hAnsi="Arial" w:eastAsia="Arial" w:cs="Arial"/>
          <w:noProof w:val="0"/>
          <w:sz w:val="22"/>
          <w:szCs w:val="22"/>
          <w:lang w:val="en-GB"/>
        </w:rPr>
        <w:t xml:space="preserve">.  </w:t>
      </w:r>
    </w:p>
    <w:p w:rsidR="00621776" w:rsidP="5FF0A1E2" w:rsidRDefault="00621776" w14:paraId="00617D49" w14:textId="6FB657E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Beckmann, N. (2021) ‘Teacher preparedness for medical needs in mainstream classrooms’, </w:t>
      </w:r>
      <w:r w:rsidRPr="5FF0A1E2" w:rsidR="4B8FF233">
        <w:rPr>
          <w:rFonts w:ascii="Arial" w:hAnsi="Arial" w:eastAsia="Arial" w:cs="Arial"/>
          <w:i w:val="1"/>
          <w:iCs w:val="1"/>
          <w:noProof w:val="0"/>
          <w:sz w:val="22"/>
          <w:szCs w:val="22"/>
          <w:lang w:val="en-GB"/>
        </w:rPr>
        <w:t>Educational Review,</w:t>
      </w:r>
      <w:r w:rsidRPr="5FF0A1E2" w:rsidR="4B8FF233">
        <w:rPr>
          <w:rFonts w:ascii="Arial" w:hAnsi="Arial" w:eastAsia="Arial" w:cs="Arial"/>
          <w:noProof w:val="0"/>
          <w:sz w:val="22"/>
          <w:szCs w:val="22"/>
          <w:lang w:val="en-GB"/>
        </w:rPr>
        <w:t xml:space="preserve"> 73(4), pp. 526–540. </w:t>
      </w:r>
    </w:p>
    <w:p w:rsidR="00621776" w:rsidP="5FF0A1E2" w:rsidRDefault="00621776" w14:paraId="625513F9" w14:textId="1076602F">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Bernell, S. and Howard, S.W. (2016) </w:t>
      </w:r>
      <w:r w:rsidRPr="5FF0A1E2" w:rsidR="4B8FF233">
        <w:rPr>
          <w:rFonts w:ascii="Arial" w:hAnsi="Arial" w:eastAsia="Arial" w:cs="Arial"/>
          <w:i w:val="1"/>
          <w:iCs w:val="1"/>
          <w:noProof w:val="0"/>
          <w:sz w:val="22"/>
          <w:szCs w:val="22"/>
          <w:lang w:val="en-GB"/>
        </w:rPr>
        <w:t>‘Use your words carefully</w:t>
      </w:r>
      <w:r w:rsidRPr="5FF0A1E2" w:rsidR="4B8FF233">
        <w:rPr>
          <w:rFonts w:ascii="Arial" w:hAnsi="Arial" w:eastAsia="Arial" w:cs="Arial"/>
          <w:noProof w:val="0"/>
          <w:sz w:val="22"/>
          <w:szCs w:val="22"/>
          <w:lang w:val="en-GB"/>
        </w:rPr>
        <w:t>: What is a chronic disease?’, Frontiers in Public Health, 4(159), pp. 1–3</w:t>
      </w:r>
      <w:r w:rsidRPr="5FF0A1E2" w:rsidR="4B8FF233">
        <w:rPr>
          <w:rFonts w:ascii="Arial" w:hAnsi="Arial" w:eastAsia="Arial" w:cs="Arial"/>
          <w:noProof w:val="0"/>
          <w:sz w:val="22"/>
          <w:szCs w:val="22"/>
          <w:lang w:val="en-GB"/>
        </w:rPr>
        <w:t xml:space="preserve">.  </w:t>
      </w:r>
    </w:p>
    <w:p w:rsidR="00621776" w:rsidP="5FF0A1E2" w:rsidRDefault="00621776" w14:paraId="20068681" w14:textId="6339651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Blackburn, C. (2021) ‘The impact of policy on supporting children with medical needs in school’, </w:t>
      </w:r>
      <w:r w:rsidRPr="5FF0A1E2" w:rsidR="4B8FF233">
        <w:rPr>
          <w:rFonts w:ascii="Arial" w:hAnsi="Arial" w:eastAsia="Arial" w:cs="Arial"/>
          <w:i w:val="1"/>
          <w:iCs w:val="1"/>
          <w:noProof w:val="0"/>
          <w:sz w:val="22"/>
          <w:szCs w:val="22"/>
          <w:lang w:val="en-GB"/>
        </w:rPr>
        <w:t>British Journal of Special Education</w:t>
      </w:r>
      <w:r w:rsidRPr="5FF0A1E2" w:rsidR="4B8FF233">
        <w:rPr>
          <w:rFonts w:ascii="Arial" w:hAnsi="Arial" w:eastAsia="Arial" w:cs="Arial"/>
          <w:noProof w:val="0"/>
          <w:sz w:val="22"/>
          <w:szCs w:val="22"/>
          <w:lang w:val="en-GB"/>
        </w:rPr>
        <w:t xml:space="preserve">, 48(2), pp. 195–210. </w:t>
      </w:r>
    </w:p>
    <w:p w:rsidR="00621776" w:rsidP="5FF0A1E2" w:rsidRDefault="00621776" w14:paraId="2C07601C" w14:textId="6C13D7E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Blackburn, C. (2021) ‘The impact of policy on supporting children with medical needs in school’, </w:t>
      </w:r>
      <w:r w:rsidRPr="5FF0A1E2" w:rsidR="4B8FF233">
        <w:rPr>
          <w:rFonts w:ascii="Arial" w:hAnsi="Arial" w:eastAsia="Arial" w:cs="Arial"/>
          <w:i w:val="1"/>
          <w:iCs w:val="1"/>
          <w:noProof w:val="0"/>
          <w:sz w:val="22"/>
          <w:szCs w:val="22"/>
          <w:lang w:val="en-GB"/>
        </w:rPr>
        <w:t>British Journal of Special Education</w:t>
      </w:r>
      <w:r w:rsidRPr="5FF0A1E2" w:rsidR="4B8FF233">
        <w:rPr>
          <w:rFonts w:ascii="Arial" w:hAnsi="Arial" w:eastAsia="Arial" w:cs="Arial"/>
          <w:noProof w:val="0"/>
          <w:sz w:val="22"/>
          <w:szCs w:val="22"/>
          <w:lang w:val="en-GB"/>
        </w:rPr>
        <w:t>, 48(2), pp. 195–210</w:t>
      </w:r>
      <w:r w:rsidRPr="5FF0A1E2" w:rsidR="4B8FF233">
        <w:rPr>
          <w:rFonts w:ascii="Arial" w:hAnsi="Arial" w:eastAsia="Arial" w:cs="Arial"/>
          <w:noProof w:val="0"/>
          <w:sz w:val="22"/>
          <w:szCs w:val="22"/>
          <w:lang w:val="en-GB"/>
        </w:rPr>
        <w:t xml:space="preserve">.  </w:t>
      </w:r>
    </w:p>
    <w:p w:rsidR="00621776" w:rsidP="5FF0A1E2" w:rsidRDefault="00621776" w14:paraId="5D241A76" w14:textId="219A5735">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Booth, A., Sutton, A. &amp; Papaioannou, D. (2021)</w:t>
      </w:r>
      <w:r w:rsidRPr="5FF0A1E2" w:rsidR="4B8FF233">
        <w:rPr>
          <w:rFonts w:ascii="Arial" w:hAnsi="Arial" w:eastAsia="Arial" w:cs="Arial"/>
          <w:i w:val="1"/>
          <w:iCs w:val="1"/>
          <w:noProof w:val="0"/>
          <w:sz w:val="22"/>
          <w:szCs w:val="22"/>
          <w:lang w:val="en-GB"/>
        </w:rPr>
        <w:t xml:space="preserve"> Systematic Approaches to a Successful Literature Review</w:t>
      </w:r>
      <w:r w:rsidRPr="5FF0A1E2" w:rsidR="4B8FF233">
        <w:rPr>
          <w:rFonts w:ascii="Arial" w:hAnsi="Arial" w:eastAsia="Arial" w:cs="Arial"/>
          <w:noProof w:val="0"/>
          <w:sz w:val="22"/>
          <w:szCs w:val="22"/>
          <w:lang w:val="en-GB"/>
        </w:rPr>
        <w:t xml:space="preserve">. 3rd </w:t>
      </w:r>
      <w:r w:rsidRPr="5FF0A1E2" w:rsidR="4B8FF233">
        <w:rPr>
          <w:rFonts w:ascii="Arial" w:hAnsi="Arial" w:eastAsia="Arial" w:cs="Arial"/>
          <w:noProof w:val="0"/>
          <w:sz w:val="22"/>
          <w:szCs w:val="22"/>
          <w:lang w:val="en-GB"/>
        </w:rPr>
        <w:t>edn</w:t>
      </w:r>
      <w:r w:rsidRPr="5FF0A1E2" w:rsidR="4B8FF233">
        <w:rPr>
          <w:rFonts w:ascii="Arial" w:hAnsi="Arial" w:eastAsia="Arial" w:cs="Arial"/>
          <w:noProof w:val="0"/>
          <w:sz w:val="22"/>
          <w:szCs w:val="22"/>
          <w:lang w:val="en-GB"/>
        </w:rPr>
        <w:t>. London: Sage</w:t>
      </w:r>
      <w:r w:rsidRPr="5FF0A1E2" w:rsidR="4B8FF233">
        <w:rPr>
          <w:rFonts w:ascii="Arial" w:hAnsi="Arial" w:eastAsia="Arial" w:cs="Arial"/>
          <w:noProof w:val="0"/>
          <w:sz w:val="22"/>
          <w:szCs w:val="22"/>
          <w:lang w:val="en-GB"/>
        </w:rPr>
        <w:t xml:space="preserve">.  </w:t>
      </w:r>
    </w:p>
    <w:p w:rsidR="00621776" w:rsidP="5FF0A1E2" w:rsidRDefault="00621776" w14:paraId="7A7274F1" w14:textId="3742EA47">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Borgi, M., </w:t>
      </w:r>
      <w:r w:rsidRPr="5FF0A1E2" w:rsidR="4B8FF233">
        <w:rPr>
          <w:rFonts w:ascii="Arial" w:hAnsi="Arial" w:eastAsia="Arial" w:cs="Arial"/>
          <w:noProof w:val="0"/>
          <w:sz w:val="22"/>
          <w:szCs w:val="22"/>
          <w:lang w:val="en-GB"/>
        </w:rPr>
        <w:t>Bieleninik</w:t>
      </w:r>
      <w:r w:rsidRPr="5FF0A1E2" w:rsidR="4B8FF233">
        <w:rPr>
          <w:rFonts w:ascii="Arial" w:hAnsi="Arial" w:eastAsia="Arial" w:cs="Arial"/>
          <w:noProof w:val="0"/>
          <w:sz w:val="22"/>
          <w:szCs w:val="22"/>
          <w:lang w:val="en-GB"/>
        </w:rPr>
        <w:t xml:space="preserve">, Ł., </w:t>
      </w:r>
      <w:r w:rsidRPr="5FF0A1E2" w:rsidR="4B8FF233">
        <w:rPr>
          <w:rFonts w:ascii="Arial" w:hAnsi="Arial" w:eastAsia="Arial" w:cs="Arial"/>
          <w:noProof w:val="0"/>
          <w:sz w:val="22"/>
          <w:szCs w:val="22"/>
          <w:lang w:val="en-GB"/>
        </w:rPr>
        <w:t>Mascheroni</w:t>
      </w:r>
      <w:r w:rsidRPr="5FF0A1E2" w:rsidR="4B8FF233">
        <w:rPr>
          <w:rFonts w:ascii="Arial" w:hAnsi="Arial" w:eastAsia="Arial" w:cs="Arial"/>
          <w:noProof w:val="0"/>
          <w:sz w:val="22"/>
          <w:szCs w:val="22"/>
          <w:lang w:val="en-GB"/>
        </w:rPr>
        <w:t xml:space="preserve">, E. &amp; Feldman, R. (2020) ‘School inclusion for children with chronic health conditions: evidence and recommendations’, </w:t>
      </w:r>
      <w:r w:rsidRPr="5FF0A1E2" w:rsidR="4B8FF233">
        <w:rPr>
          <w:rFonts w:ascii="Arial" w:hAnsi="Arial" w:eastAsia="Arial" w:cs="Arial"/>
          <w:i w:val="1"/>
          <w:iCs w:val="1"/>
          <w:noProof w:val="0"/>
          <w:sz w:val="22"/>
          <w:szCs w:val="22"/>
          <w:lang w:val="en-GB"/>
        </w:rPr>
        <w:t>International Journal of Inclusive Education</w:t>
      </w:r>
      <w:r w:rsidRPr="5FF0A1E2" w:rsidR="4B8FF233">
        <w:rPr>
          <w:rFonts w:ascii="Arial" w:hAnsi="Arial" w:eastAsia="Arial" w:cs="Arial"/>
          <w:noProof w:val="0"/>
          <w:sz w:val="22"/>
          <w:szCs w:val="22"/>
          <w:lang w:val="en-GB"/>
        </w:rPr>
        <w:t xml:space="preserve">, 24(12), pp. 1270–1285. </w:t>
      </w:r>
      <w:hyperlink r:id="R825ea9a4d8f74e8a">
        <w:r w:rsidRPr="5FF0A1E2" w:rsidR="4B8FF233">
          <w:rPr>
            <w:rStyle w:val="Hyperlink"/>
            <w:rFonts w:ascii="Arial" w:hAnsi="Arial" w:eastAsia="Arial" w:cs="Arial"/>
            <w:noProof w:val="0"/>
            <w:sz w:val="22"/>
            <w:szCs w:val="22"/>
            <w:lang w:val="en-GB"/>
          </w:rPr>
          <w:t>https://www.tandfonline.com/doi/full/10.1080/13603116.2019.1695011</w:t>
        </w:r>
      </w:hyperlink>
      <w:r w:rsidRPr="5FF0A1E2" w:rsidR="4B8FF233">
        <w:rPr>
          <w:rFonts w:ascii="Arial" w:hAnsi="Arial" w:eastAsia="Arial" w:cs="Arial"/>
          <w:noProof w:val="0"/>
          <w:sz w:val="22"/>
          <w:szCs w:val="22"/>
          <w:lang w:val="en-GB"/>
        </w:rPr>
        <w:t xml:space="preserve"> </w:t>
      </w:r>
    </w:p>
    <w:p w:rsidR="00621776" w:rsidP="5FF0A1E2" w:rsidRDefault="00621776" w14:paraId="6011F458" w14:textId="041E520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Braun &amp; Clarke (2012) chapter ‘</w:t>
      </w:r>
      <w:r w:rsidRPr="5FF0A1E2" w:rsidR="4B8FF233">
        <w:rPr>
          <w:rFonts w:ascii="Arial" w:hAnsi="Arial" w:eastAsia="Arial" w:cs="Arial"/>
          <w:i w:val="1"/>
          <w:iCs w:val="1"/>
          <w:noProof w:val="0"/>
          <w:sz w:val="22"/>
          <w:szCs w:val="22"/>
          <w:lang w:val="en-GB"/>
        </w:rPr>
        <w:t>Thematic analysis’ in APA Handbook of Research Methods in Psychology</w:t>
      </w:r>
      <w:r w:rsidRPr="5FF0A1E2" w:rsidR="4B8FF233">
        <w:rPr>
          <w:rFonts w:ascii="Arial" w:hAnsi="Arial" w:eastAsia="Arial" w:cs="Arial"/>
          <w:noProof w:val="0"/>
          <w:sz w:val="22"/>
          <w:szCs w:val="22"/>
          <w:lang w:val="en-GB"/>
        </w:rPr>
        <w:t xml:space="preserve"> — Book chapter page: </w:t>
      </w:r>
      <w:hyperlink r:id="R733312725fb84eaa">
        <w:r w:rsidRPr="5FF0A1E2" w:rsidR="4B8FF233">
          <w:rPr>
            <w:rStyle w:val="Hyperlink"/>
            <w:rFonts w:ascii="Arial" w:hAnsi="Arial" w:eastAsia="Arial" w:cs="Arial"/>
            <w:noProof w:val="0"/>
            <w:sz w:val="22"/>
            <w:szCs w:val="22"/>
            <w:lang w:val="en-GB"/>
          </w:rPr>
          <w:t>https://psycnet.apa.org/record/2012-17558-003</w:t>
        </w:r>
      </w:hyperlink>
      <w:r w:rsidRPr="5FF0A1E2" w:rsidR="4B8FF233">
        <w:rPr>
          <w:rFonts w:ascii="Arial" w:hAnsi="Arial" w:eastAsia="Arial" w:cs="Arial"/>
          <w:noProof w:val="0"/>
          <w:sz w:val="22"/>
          <w:szCs w:val="22"/>
          <w:lang w:val="en-GB"/>
        </w:rPr>
        <w:t xml:space="preserve"> </w:t>
      </w:r>
      <w:r w:rsidRPr="5FF0A1E2" w:rsidR="4B8FF233">
        <w:rPr>
          <w:rFonts w:ascii="Arial" w:hAnsi="Arial" w:eastAsia="Arial" w:cs="Arial"/>
          <w:noProof w:val="0"/>
          <w:sz w:val="22"/>
          <w:szCs w:val="22"/>
          <w:lang w:val="en-GB"/>
        </w:rPr>
        <w:t xml:space="preserve"> </w:t>
      </w:r>
    </w:p>
    <w:p w:rsidR="00621776" w:rsidP="5FF0A1E2" w:rsidRDefault="00621776" w14:paraId="47EEDF71" w14:textId="1755BA2D">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Braun, </w:t>
      </w:r>
      <w:r w:rsidRPr="5FF0A1E2" w:rsidR="4B8FF233">
        <w:rPr>
          <w:rFonts w:ascii="Arial" w:hAnsi="Arial" w:eastAsia="Arial" w:cs="Arial"/>
          <w:noProof w:val="0"/>
          <w:sz w:val="22"/>
          <w:szCs w:val="22"/>
          <w:lang w:val="en-GB"/>
        </w:rPr>
        <w:t>V.</w:t>
      </w:r>
      <w:r w:rsidRPr="5FF0A1E2" w:rsidR="4B8FF233">
        <w:rPr>
          <w:rFonts w:ascii="Arial" w:hAnsi="Arial" w:eastAsia="Arial" w:cs="Arial"/>
          <w:noProof w:val="0"/>
          <w:sz w:val="22"/>
          <w:szCs w:val="22"/>
          <w:lang w:val="en-GB"/>
        </w:rPr>
        <w:t xml:space="preserve"> and Clarke, V. (2006) ‘</w:t>
      </w:r>
      <w:r w:rsidRPr="5FF0A1E2" w:rsidR="4B8FF233">
        <w:rPr>
          <w:rFonts w:ascii="Arial" w:hAnsi="Arial" w:eastAsia="Arial" w:cs="Arial"/>
          <w:i w:val="1"/>
          <w:iCs w:val="1"/>
          <w:noProof w:val="0"/>
          <w:sz w:val="22"/>
          <w:szCs w:val="22"/>
          <w:lang w:val="en-GB"/>
        </w:rPr>
        <w:t>Using thematic analysis in psychology’</w:t>
      </w:r>
      <w:r w:rsidRPr="5FF0A1E2" w:rsidR="4B8FF233">
        <w:rPr>
          <w:rFonts w:ascii="Arial" w:hAnsi="Arial" w:eastAsia="Arial" w:cs="Arial"/>
          <w:noProof w:val="0"/>
          <w:sz w:val="22"/>
          <w:szCs w:val="22"/>
          <w:lang w:val="en-GB"/>
        </w:rPr>
        <w:t>, Qualitative Research in Psychology, 3(2), pp. 77–101</w:t>
      </w:r>
      <w:r w:rsidRPr="5FF0A1E2" w:rsidR="4B8FF233">
        <w:rPr>
          <w:rFonts w:ascii="Arial" w:hAnsi="Arial" w:eastAsia="Arial" w:cs="Arial"/>
          <w:noProof w:val="0"/>
          <w:sz w:val="22"/>
          <w:szCs w:val="22"/>
          <w:lang w:val="en-GB"/>
        </w:rPr>
        <w:t xml:space="preserve">.  </w:t>
      </w:r>
    </w:p>
    <w:p w:rsidR="00621776" w:rsidP="5FF0A1E2" w:rsidRDefault="00621776" w14:paraId="46D5B975" w14:textId="3BF4308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Braun, </w:t>
      </w:r>
      <w:r w:rsidRPr="5FF0A1E2" w:rsidR="4B8FF233">
        <w:rPr>
          <w:rFonts w:ascii="Arial" w:hAnsi="Arial" w:eastAsia="Arial" w:cs="Arial"/>
          <w:noProof w:val="0"/>
          <w:sz w:val="22"/>
          <w:szCs w:val="22"/>
          <w:lang w:val="en-GB"/>
        </w:rPr>
        <w:t>V.</w:t>
      </w:r>
      <w:r w:rsidRPr="5FF0A1E2" w:rsidR="4B8FF233">
        <w:rPr>
          <w:rFonts w:ascii="Arial" w:hAnsi="Arial" w:eastAsia="Arial" w:cs="Arial"/>
          <w:noProof w:val="0"/>
          <w:sz w:val="22"/>
          <w:szCs w:val="22"/>
          <w:lang w:val="en-GB"/>
        </w:rPr>
        <w:t xml:space="preserve"> and Clarke, V. (2006) ‘</w:t>
      </w:r>
      <w:r w:rsidRPr="5FF0A1E2" w:rsidR="4B8FF233">
        <w:rPr>
          <w:rFonts w:ascii="Arial" w:hAnsi="Arial" w:eastAsia="Arial" w:cs="Arial"/>
          <w:i w:val="1"/>
          <w:iCs w:val="1"/>
          <w:noProof w:val="0"/>
          <w:sz w:val="22"/>
          <w:szCs w:val="22"/>
          <w:lang w:val="en-GB"/>
        </w:rPr>
        <w:t>Using thematic analysis in psycholog</w:t>
      </w:r>
      <w:r w:rsidRPr="5FF0A1E2" w:rsidR="4B8FF233">
        <w:rPr>
          <w:rFonts w:ascii="Arial" w:hAnsi="Arial" w:eastAsia="Arial" w:cs="Arial"/>
          <w:noProof w:val="0"/>
          <w:sz w:val="22"/>
          <w:szCs w:val="22"/>
          <w:lang w:val="en-GB"/>
        </w:rPr>
        <w:t>y’, Qualitative Research in Psychology, 3(2), pp. 77–101</w:t>
      </w:r>
      <w:r w:rsidRPr="5FF0A1E2" w:rsidR="4B8FF233">
        <w:rPr>
          <w:rFonts w:ascii="Arial" w:hAnsi="Arial" w:eastAsia="Arial" w:cs="Arial"/>
          <w:noProof w:val="0"/>
          <w:sz w:val="22"/>
          <w:szCs w:val="22"/>
          <w:lang w:val="en-GB"/>
        </w:rPr>
        <w:t xml:space="preserve">.  </w:t>
      </w:r>
    </w:p>
    <w:p w:rsidR="00621776" w:rsidP="5FF0A1E2" w:rsidRDefault="00621776" w14:paraId="552E28FD" w14:textId="50F5703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Braun, </w:t>
      </w:r>
      <w:r w:rsidRPr="5FF0A1E2" w:rsidR="4B8FF233">
        <w:rPr>
          <w:rFonts w:ascii="Arial" w:hAnsi="Arial" w:eastAsia="Arial" w:cs="Arial"/>
          <w:noProof w:val="0"/>
          <w:sz w:val="22"/>
          <w:szCs w:val="22"/>
          <w:lang w:val="en-GB"/>
        </w:rPr>
        <w:t>V.</w:t>
      </w:r>
      <w:r w:rsidRPr="5FF0A1E2" w:rsidR="4B8FF233">
        <w:rPr>
          <w:rFonts w:ascii="Arial" w:hAnsi="Arial" w:eastAsia="Arial" w:cs="Arial"/>
          <w:noProof w:val="0"/>
          <w:sz w:val="22"/>
          <w:szCs w:val="22"/>
          <w:lang w:val="en-GB"/>
        </w:rPr>
        <w:t xml:space="preserve"> and Clarke, V. (2012) </w:t>
      </w:r>
      <w:r w:rsidRPr="5FF0A1E2" w:rsidR="4B8FF233">
        <w:rPr>
          <w:rFonts w:ascii="Arial" w:hAnsi="Arial" w:eastAsia="Arial" w:cs="Arial"/>
          <w:i w:val="1"/>
          <w:iCs w:val="1"/>
          <w:noProof w:val="0"/>
          <w:sz w:val="22"/>
          <w:szCs w:val="22"/>
          <w:lang w:val="en-GB"/>
        </w:rPr>
        <w:t>Thematic analysis</w:t>
      </w:r>
      <w:r w:rsidRPr="5FF0A1E2" w:rsidR="4B8FF233">
        <w:rPr>
          <w:rFonts w:ascii="Arial" w:hAnsi="Arial" w:eastAsia="Arial" w:cs="Arial"/>
          <w:noProof w:val="0"/>
          <w:sz w:val="22"/>
          <w:szCs w:val="22"/>
          <w:lang w:val="en-GB"/>
        </w:rPr>
        <w:t>. In: Cooper, H. (ed.) APA Handbook of Research Methods in Psychology: Vol. 2. Washington, DC: American Psychological Association, pp. 57–71</w:t>
      </w:r>
      <w:r w:rsidRPr="5FF0A1E2" w:rsidR="4B8FF233">
        <w:rPr>
          <w:rFonts w:ascii="Arial" w:hAnsi="Arial" w:eastAsia="Arial" w:cs="Arial"/>
          <w:noProof w:val="0"/>
          <w:sz w:val="22"/>
          <w:szCs w:val="22"/>
          <w:lang w:val="en-GB"/>
        </w:rPr>
        <w:t xml:space="preserve">.  </w:t>
      </w:r>
    </w:p>
    <w:p w:rsidR="00621776" w:rsidP="5FF0A1E2" w:rsidRDefault="00621776" w14:paraId="7FADB993" w14:textId="6F47A098">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Bronfenbrenner, U. (1979)</w:t>
      </w:r>
      <w:r w:rsidRPr="5FF0A1E2" w:rsidR="4B8FF233">
        <w:rPr>
          <w:rFonts w:ascii="Arial" w:hAnsi="Arial" w:eastAsia="Arial" w:cs="Arial"/>
          <w:i w:val="1"/>
          <w:iCs w:val="1"/>
          <w:noProof w:val="0"/>
          <w:sz w:val="22"/>
          <w:szCs w:val="22"/>
          <w:lang w:val="en-GB"/>
        </w:rPr>
        <w:t xml:space="preserve"> The Ecology of Human Development</w:t>
      </w:r>
      <w:r w:rsidRPr="5FF0A1E2" w:rsidR="4B8FF233">
        <w:rPr>
          <w:rFonts w:ascii="Arial" w:hAnsi="Arial" w:eastAsia="Arial" w:cs="Arial"/>
          <w:noProof w:val="0"/>
          <w:sz w:val="22"/>
          <w:szCs w:val="22"/>
          <w:lang w:val="en-GB"/>
        </w:rPr>
        <w:t xml:space="preserve">. Cambridge, MA: Harvard University Press. — Book page: </w:t>
      </w:r>
      <w:hyperlink r:id="R2c70aaf45617405d">
        <w:r w:rsidRPr="5FF0A1E2" w:rsidR="4B8FF233">
          <w:rPr>
            <w:rStyle w:val="Hyperlink"/>
            <w:rFonts w:ascii="Arial" w:hAnsi="Arial" w:eastAsia="Arial" w:cs="Arial"/>
            <w:noProof w:val="0"/>
            <w:sz w:val="22"/>
            <w:szCs w:val="22"/>
            <w:lang w:val="en-GB"/>
          </w:rPr>
          <w:t>https://www.hup.harvard.edu/catalog.php?isbn=9780674224575</w:t>
        </w:r>
      </w:hyperlink>
      <w:r w:rsidRPr="5FF0A1E2" w:rsidR="4B8FF233">
        <w:rPr>
          <w:rFonts w:ascii="Arial" w:hAnsi="Arial" w:eastAsia="Arial" w:cs="Arial"/>
          <w:noProof w:val="0"/>
          <w:sz w:val="22"/>
          <w:szCs w:val="22"/>
          <w:lang w:val="en-GB"/>
        </w:rPr>
        <w:t xml:space="preserve"> </w:t>
      </w:r>
    </w:p>
    <w:p w:rsidR="00621776" w:rsidP="5FF0A1E2" w:rsidRDefault="00621776" w14:paraId="69E597BC" w14:textId="3AD62F4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Bronfenbrenner, U. (1979) </w:t>
      </w:r>
      <w:r w:rsidRPr="5FF0A1E2" w:rsidR="4B8FF233">
        <w:rPr>
          <w:rFonts w:ascii="Arial" w:hAnsi="Arial" w:eastAsia="Arial" w:cs="Arial"/>
          <w:i w:val="1"/>
          <w:iCs w:val="1"/>
          <w:noProof w:val="0"/>
          <w:sz w:val="22"/>
          <w:szCs w:val="22"/>
          <w:lang w:val="en-GB"/>
        </w:rPr>
        <w:t>The Ecology of Human Development.</w:t>
      </w:r>
      <w:r w:rsidRPr="5FF0A1E2" w:rsidR="4B8FF233">
        <w:rPr>
          <w:rFonts w:ascii="Arial" w:hAnsi="Arial" w:eastAsia="Arial" w:cs="Arial"/>
          <w:noProof w:val="0"/>
          <w:sz w:val="22"/>
          <w:szCs w:val="22"/>
          <w:lang w:val="en-GB"/>
        </w:rPr>
        <w:t xml:space="preserve"> Cambridge: Harvard University Press</w:t>
      </w:r>
      <w:r w:rsidRPr="5FF0A1E2" w:rsidR="4B8FF233">
        <w:rPr>
          <w:rFonts w:ascii="Arial" w:hAnsi="Arial" w:eastAsia="Arial" w:cs="Arial"/>
          <w:noProof w:val="0"/>
          <w:sz w:val="22"/>
          <w:szCs w:val="22"/>
          <w:lang w:val="en-GB"/>
        </w:rPr>
        <w:t xml:space="preserve">.  </w:t>
      </w:r>
    </w:p>
    <w:p w:rsidR="00621776" w:rsidP="5FF0A1E2" w:rsidRDefault="00621776" w14:paraId="211410FC" w14:textId="7700E28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Bryman, A. (2016)</w:t>
      </w:r>
      <w:r w:rsidRPr="5FF0A1E2" w:rsidR="4B8FF233">
        <w:rPr>
          <w:rFonts w:ascii="Arial" w:hAnsi="Arial" w:eastAsia="Arial" w:cs="Arial"/>
          <w:i w:val="1"/>
          <w:iCs w:val="1"/>
          <w:noProof w:val="0"/>
          <w:sz w:val="22"/>
          <w:szCs w:val="22"/>
          <w:lang w:val="en-GB"/>
        </w:rPr>
        <w:t xml:space="preserve"> Social Research Methods. </w:t>
      </w:r>
      <w:r w:rsidRPr="5FF0A1E2" w:rsidR="4B8FF233">
        <w:rPr>
          <w:rFonts w:ascii="Arial" w:hAnsi="Arial" w:eastAsia="Arial" w:cs="Arial"/>
          <w:noProof w:val="0"/>
          <w:sz w:val="22"/>
          <w:szCs w:val="22"/>
          <w:lang w:val="en-GB"/>
        </w:rPr>
        <w:t xml:space="preserve">5th </w:t>
      </w:r>
      <w:r w:rsidRPr="5FF0A1E2" w:rsidR="4B8FF233">
        <w:rPr>
          <w:rFonts w:ascii="Arial" w:hAnsi="Arial" w:eastAsia="Arial" w:cs="Arial"/>
          <w:noProof w:val="0"/>
          <w:sz w:val="22"/>
          <w:szCs w:val="22"/>
          <w:lang w:val="en-GB"/>
        </w:rPr>
        <w:t>edn</w:t>
      </w:r>
      <w:r w:rsidRPr="5FF0A1E2" w:rsidR="4B8FF233">
        <w:rPr>
          <w:rFonts w:ascii="Arial" w:hAnsi="Arial" w:eastAsia="Arial" w:cs="Arial"/>
          <w:noProof w:val="0"/>
          <w:sz w:val="22"/>
          <w:szCs w:val="22"/>
          <w:lang w:val="en-GB"/>
        </w:rPr>
        <w:t>. Oxford: Oxford University Press</w:t>
      </w:r>
      <w:r w:rsidRPr="5FF0A1E2" w:rsidR="4B8FF233">
        <w:rPr>
          <w:rFonts w:ascii="Arial" w:hAnsi="Arial" w:eastAsia="Arial" w:cs="Arial"/>
          <w:noProof w:val="0"/>
          <w:sz w:val="22"/>
          <w:szCs w:val="22"/>
          <w:lang w:val="en-GB"/>
        </w:rPr>
        <w:t xml:space="preserve">.  </w:t>
      </w:r>
    </w:p>
    <w:p w:rsidR="00621776" w:rsidP="5FF0A1E2" w:rsidRDefault="00621776" w14:paraId="228D4A54" w14:textId="3DFAA29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Büchi</w:t>
      </w:r>
      <w:r w:rsidRPr="5FF0A1E2" w:rsidR="4B8FF233">
        <w:rPr>
          <w:rFonts w:ascii="Arial" w:hAnsi="Arial" w:eastAsia="Arial" w:cs="Arial"/>
          <w:noProof w:val="0"/>
          <w:sz w:val="22"/>
          <w:szCs w:val="22"/>
          <w:lang w:val="en-GB"/>
        </w:rPr>
        <w:t xml:space="preserve">, M. and </w:t>
      </w:r>
      <w:r w:rsidRPr="5FF0A1E2" w:rsidR="4B8FF233">
        <w:rPr>
          <w:rFonts w:ascii="Arial" w:hAnsi="Arial" w:eastAsia="Arial" w:cs="Arial"/>
          <w:noProof w:val="0"/>
          <w:sz w:val="22"/>
          <w:szCs w:val="22"/>
          <w:lang w:val="en-GB"/>
        </w:rPr>
        <w:t>Festic</w:t>
      </w:r>
      <w:r w:rsidRPr="5FF0A1E2" w:rsidR="4B8FF233">
        <w:rPr>
          <w:rFonts w:ascii="Arial" w:hAnsi="Arial" w:eastAsia="Arial" w:cs="Arial"/>
          <w:noProof w:val="0"/>
          <w:sz w:val="22"/>
          <w:szCs w:val="22"/>
          <w:lang w:val="en-GB"/>
        </w:rPr>
        <w:t>, N. (2023) ‘</w:t>
      </w:r>
      <w:r w:rsidRPr="5FF0A1E2" w:rsidR="4B8FF233">
        <w:rPr>
          <w:rFonts w:ascii="Arial" w:hAnsi="Arial" w:eastAsia="Arial" w:cs="Arial"/>
          <w:i w:val="1"/>
          <w:iCs w:val="1"/>
          <w:noProof w:val="0"/>
          <w:sz w:val="22"/>
          <w:szCs w:val="22"/>
          <w:lang w:val="en-GB"/>
        </w:rPr>
        <w:t>Digital wellbeing:</w:t>
      </w:r>
      <w:r w:rsidRPr="5FF0A1E2" w:rsidR="4B8FF233">
        <w:rPr>
          <w:rFonts w:ascii="Arial" w:hAnsi="Arial" w:eastAsia="Arial" w:cs="Arial"/>
          <w:noProof w:val="0"/>
          <w:sz w:val="22"/>
          <w:szCs w:val="22"/>
          <w:lang w:val="en-GB"/>
        </w:rPr>
        <w:t xml:space="preserve"> Conceptual debates and empirical findings’, New Media &amp; Society, 25(3), pp. 650–667</w:t>
      </w:r>
      <w:r w:rsidRPr="5FF0A1E2" w:rsidR="4B8FF233">
        <w:rPr>
          <w:rFonts w:ascii="Arial" w:hAnsi="Arial" w:eastAsia="Arial" w:cs="Arial"/>
          <w:noProof w:val="0"/>
          <w:sz w:val="22"/>
          <w:szCs w:val="22"/>
          <w:lang w:val="en-GB"/>
        </w:rPr>
        <w:t xml:space="preserve">.  </w:t>
      </w:r>
    </w:p>
    <w:p w:rsidR="00621776" w:rsidP="5FF0A1E2" w:rsidRDefault="00621776" w14:paraId="6D007248" w14:textId="522422CC">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Castleberry, </w:t>
      </w:r>
      <w:r w:rsidRPr="5FF0A1E2" w:rsidR="4B8FF233">
        <w:rPr>
          <w:rFonts w:ascii="Arial" w:hAnsi="Arial" w:eastAsia="Arial" w:cs="Arial"/>
          <w:noProof w:val="0"/>
          <w:sz w:val="22"/>
          <w:szCs w:val="22"/>
          <w:lang w:val="en-GB"/>
        </w:rPr>
        <w:t>A.</w:t>
      </w:r>
      <w:r w:rsidRPr="5FF0A1E2" w:rsidR="4B8FF233">
        <w:rPr>
          <w:rFonts w:ascii="Arial" w:hAnsi="Arial" w:eastAsia="Arial" w:cs="Arial"/>
          <w:noProof w:val="0"/>
          <w:sz w:val="22"/>
          <w:szCs w:val="22"/>
          <w:lang w:val="en-GB"/>
        </w:rPr>
        <w:t xml:space="preserve"> and Nolen, A. (2018) ‘Thematic analysis of qualitative research data: Is it as easy as it sounds?’, </w:t>
      </w:r>
      <w:r w:rsidRPr="5FF0A1E2" w:rsidR="4B8FF233">
        <w:rPr>
          <w:rFonts w:ascii="Arial" w:hAnsi="Arial" w:eastAsia="Arial" w:cs="Arial"/>
          <w:i w:val="1"/>
          <w:iCs w:val="1"/>
          <w:noProof w:val="0"/>
          <w:sz w:val="22"/>
          <w:szCs w:val="22"/>
          <w:lang w:val="en-GB"/>
        </w:rPr>
        <w:t>Currents in Pharmacy Teaching and Learning,</w:t>
      </w:r>
      <w:r w:rsidRPr="5FF0A1E2" w:rsidR="4B8FF233">
        <w:rPr>
          <w:rFonts w:ascii="Arial" w:hAnsi="Arial" w:eastAsia="Arial" w:cs="Arial"/>
          <w:noProof w:val="0"/>
          <w:sz w:val="22"/>
          <w:szCs w:val="22"/>
          <w:lang w:val="en-GB"/>
        </w:rPr>
        <w:t xml:space="preserve"> 10(6), pp. 807–815</w:t>
      </w:r>
      <w:r w:rsidRPr="5FF0A1E2" w:rsidR="4B8FF233">
        <w:rPr>
          <w:rFonts w:ascii="Arial" w:hAnsi="Arial" w:eastAsia="Arial" w:cs="Arial"/>
          <w:noProof w:val="0"/>
          <w:sz w:val="22"/>
          <w:szCs w:val="22"/>
          <w:lang w:val="en-GB"/>
        </w:rPr>
        <w:t xml:space="preserve">.  </w:t>
      </w:r>
    </w:p>
    <w:p w:rsidR="00621776" w:rsidP="5FF0A1E2" w:rsidRDefault="00621776" w14:paraId="5E36F8E1" w14:textId="3E7986B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Children’s Commissioner (2022) </w:t>
      </w:r>
      <w:r w:rsidRPr="5FF0A1E2" w:rsidR="4B8FF233">
        <w:rPr>
          <w:rFonts w:ascii="Arial" w:hAnsi="Arial" w:eastAsia="Arial" w:cs="Arial"/>
          <w:i w:val="1"/>
          <w:iCs w:val="1"/>
          <w:noProof w:val="0"/>
          <w:sz w:val="22"/>
          <w:szCs w:val="22"/>
          <w:lang w:val="en-GB"/>
        </w:rPr>
        <w:t xml:space="preserve">School Absence and Vulnerable Children. </w:t>
      </w:r>
      <w:r w:rsidRPr="5FF0A1E2" w:rsidR="4B8FF233">
        <w:rPr>
          <w:rFonts w:ascii="Arial" w:hAnsi="Arial" w:eastAsia="Arial" w:cs="Arial"/>
          <w:noProof w:val="0"/>
          <w:sz w:val="22"/>
          <w:szCs w:val="22"/>
          <w:lang w:val="en-GB"/>
        </w:rPr>
        <w:t xml:space="preserve">— Report page: </w:t>
      </w:r>
      <w:hyperlink r:id="Ra0a5ef349967449d">
        <w:r w:rsidRPr="5FF0A1E2" w:rsidR="4B8FF233">
          <w:rPr>
            <w:rStyle w:val="Hyperlink"/>
            <w:rFonts w:ascii="Arial" w:hAnsi="Arial" w:eastAsia="Arial" w:cs="Arial"/>
            <w:noProof w:val="0"/>
            <w:sz w:val="22"/>
            <w:szCs w:val="22"/>
            <w:lang w:val="en-GB"/>
          </w:rPr>
          <w:t>https://www.childrenscommissioner.gov.uk/report/school-absence-and-vulnerable-children/</w:t>
        </w:r>
      </w:hyperlink>
      <w:r w:rsidRPr="5FF0A1E2" w:rsidR="4B8FF233">
        <w:rPr>
          <w:rFonts w:ascii="Arial" w:hAnsi="Arial" w:eastAsia="Arial" w:cs="Arial"/>
          <w:noProof w:val="0"/>
          <w:sz w:val="22"/>
          <w:szCs w:val="22"/>
          <w:lang w:val="en-GB"/>
        </w:rPr>
        <w:t xml:space="preserve"> </w:t>
      </w:r>
    </w:p>
    <w:p w:rsidR="00621776" w:rsidP="5FF0A1E2" w:rsidRDefault="00621776" w14:paraId="53111336" w14:textId="119CB348">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Children’s Commissioner (2022) </w:t>
      </w:r>
      <w:r w:rsidRPr="5FF0A1E2" w:rsidR="4B8FF233">
        <w:rPr>
          <w:rFonts w:ascii="Arial" w:hAnsi="Arial" w:eastAsia="Arial" w:cs="Arial"/>
          <w:i w:val="1"/>
          <w:iCs w:val="1"/>
          <w:noProof w:val="0"/>
          <w:sz w:val="22"/>
          <w:szCs w:val="22"/>
          <w:lang w:val="en-GB"/>
        </w:rPr>
        <w:t>School Absence and Vulnerable Children.</w:t>
      </w:r>
      <w:r w:rsidRPr="5FF0A1E2" w:rsidR="4B8FF233">
        <w:rPr>
          <w:rFonts w:ascii="Arial" w:hAnsi="Arial" w:eastAsia="Arial" w:cs="Arial"/>
          <w:noProof w:val="0"/>
          <w:sz w:val="22"/>
          <w:szCs w:val="22"/>
          <w:lang w:val="en-GB"/>
        </w:rPr>
        <w:t xml:space="preserve"> London: Children’s Commissioner</w:t>
      </w:r>
      <w:r w:rsidRPr="5FF0A1E2" w:rsidR="4B8FF233">
        <w:rPr>
          <w:rFonts w:ascii="Arial" w:hAnsi="Arial" w:eastAsia="Arial" w:cs="Arial"/>
          <w:noProof w:val="0"/>
          <w:sz w:val="22"/>
          <w:szCs w:val="22"/>
          <w:lang w:val="en-GB"/>
        </w:rPr>
        <w:t xml:space="preserve">.  </w:t>
      </w:r>
    </w:p>
    <w:p w:rsidR="00621776" w:rsidP="5FF0A1E2" w:rsidRDefault="00621776" w14:paraId="4E2F3453" w14:textId="05EC627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Clarke, J. &amp; Abbott, D. (2021) ‘Supporting pupils with medical needs in mainstream schools’, </w:t>
      </w:r>
      <w:r w:rsidRPr="5FF0A1E2" w:rsidR="4B8FF233">
        <w:rPr>
          <w:rFonts w:ascii="Arial" w:hAnsi="Arial" w:eastAsia="Arial" w:cs="Arial"/>
          <w:i w:val="1"/>
          <w:iCs w:val="1"/>
          <w:noProof w:val="0"/>
          <w:sz w:val="22"/>
          <w:szCs w:val="22"/>
          <w:lang w:val="en-GB"/>
        </w:rPr>
        <w:t>British Educational Research Journal</w:t>
      </w:r>
      <w:r w:rsidRPr="5FF0A1E2" w:rsidR="4B8FF233">
        <w:rPr>
          <w:rFonts w:ascii="Arial" w:hAnsi="Arial" w:eastAsia="Arial" w:cs="Arial"/>
          <w:noProof w:val="0"/>
          <w:sz w:val="22"/>
          <w:szCs w:val="22"/>
          <w:lang w:val="en-GB"/>
        </w:rPr>
        <w:t xml:space="preserve">, 47(6), pp. 1452–1469. </w:t>
      </w:r>
    </w:p>
    <w:p w:rsidR="00621776" w:rsidP="5FF0A1E2" w:rsidRDefault="00621776" w14:paraId="78E2629B" w14:textId="04127EA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w:t>
      </w:r>
      <w:r w:rsidRPr="5FF0A1E2" w:rsidR="4B8FF233">
        <w:rPr>
          <w:rFonts w:ascii="Arial" w:hAnsi="Arial" w:eastAsia="Arial" w:cs="Arial"/>
          <w:noProof w:val="0"/>
          <w:sz w:val="22"/>
          <w:szCs w:val="22"/>
          <w:lang w:val="en-GB"/>
        </w:rPr>
        <w:t>Compas</w:t>
      </w:r>
      <w:r w:rsidRPr="5FF0A1E2" w:rsidR="4B8FF233">
        <w:rPr>
          <w:rFonts w:ascii="Arial" w:hAnsi="Arial" w:eastAsia="Arial" w:cs="Arial"/>
          <w:noProof w:val="0"/>
          <w:sz w:val="22"/>
          <w:szCs w:val="22"/>
          <w:lang w:val="en-GB"/>
        </w:rPr>
        <w:t xml:space="preserve">, B.E., Jaser, S.S., Dunn, M.J. &amp; Rodriguez, E.M. (2011) ‘Coping with chronic illness in childhood and adolescence’, Annual Review of Clinical Psychology, 7, pp. 455–480. — DOI: 10.1146/annurev-clinpsy-032511-143108. </w:t>
      </w:r>
    </w:p>
    <w:p w:rsidR="00621776" w:rsidP="5FF0A1E2" w:rsidRDefault="00621776" w14:paraId="10018F9F" w14:textId="09E4A16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Coyne, I., O’Neill, C., Murphy, M. &amp; Costello, T. (2022) </w:t>
      </w:r>
      <w:r w:rsidRPr="5FF0A1E2" w:rsidR="4B8FF233">
        <w:rPr>
          <w:rFonts w:ascii="Arial" w:hAnsi="Arial" w:eastAsia="Arial" w:cs="Arial"/>
          <w:i w:val="1"/>
          <w:iCs w:val="1"/>
          <w:noProof w:val="0"/>
          <w:sz w:val="22"/>
          <w:szCs w:val="22"/>
          <w:lang w:val="en-GB"/>
        </w:rPr>
        <w:t>‘School lives of adolescent school students living with chronic physical conditions: a qualitative synthesis</w:t>
      </w:r>
      <w:r w:rsidRPr="5FF0A1E2" w:rsidR="4B8FF233">
        <w:rPr>
          <w:rFonts w:ascii="Arial" w:hAnsi="Arial" w:eastAsia="Arial" w:cs="Arial"/>
          <w:noProof w:val="0"/>
          <w:sz w:val="22"/>
          <w:szCs w:val="22"/>
          <w:lang w:val="en-GB"/>
        </w:rPr>
        <w:t xml:space="preserve">’, Child: Care, Health &amp; Development, 48(1), pp. 115–126.  </w:t>
      </w:r>
      <w:hyperlink r:id="R64d4ffe435ff4ec0">
        <w:r w:rsidRPr="5FF0A1E2" w:rsidR="4B8FF233">
          <w:rPr>
            <w:rStyle w:val="Hyperlink"/>
            <w:rFonts w:ascii="Arial" w:hAnsi="Arial" w:eastAsia="Arial" w:cs="Arial"/>
            <w:noProof w:val="0"/>
            <w:sz w:val="22"/>
            <w:szCs w:val="22"/>
            <w:lang w:val="en-GB"/>
          </w:rPr>
          <w:t>https://onlinelibrary.wiley.com/</w:t>
        </w:r>
      </w:hyperlink>
      <w:r w:rsidRPr="5FF0A1E2" w:rsidR="4B8FF233">
        <w:rPr>
          <w:rFonts w:ascii="Arial" w:hAnsi="Arial" w:eastAsia="Arial" w:cs="Arial"/>
          <w:noProof w:val="0"/>
          <w:sz w:val="22"/>
          <w:szCs w:val="22"/>
          <w:lang w:val="en-GB"/>
        </w:rPr>
        <w:t xml:space="preserve">  </w:t>
      </w:r>
    </w:p>
    <w:p w:rsidR="00621776" w:rsidP="5FF0A1E2" w:rsidRDefault="00621776" w14:paraId="40833D57" w14:textId="63BD708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Creswell, J.W. and Creswell, J.D. (2018) </w:t>
      </w:r>
      <w:r w:rsidRPr="5FF0A1E2" w:rsidR="4B8FF233">
        <w:rPr>
          <w:rFonts w:ascii="Arial" w:hAnsi="Arial" w:eastAsia="Arial" w:cs="Arial"/>
          <w:i w:val="1"/>
          <w:iCs w:val="1"/>
          <w:noProof w:val="0"/>
          <w:sz w:val="22"/>
          <w:szCs w:val="22"/>
          <w:lang w:val="en-GB"/>
        </w:rPr>
        <w:t>Research Design</w:t>
      </w:r>
      <w:r w:rsidRPr="5FF0A1E2" w:rsidR="4B8FF233">
        <w:rPr>
          <w:rFonts w:ascii="Arial" w:hAnsi="Arial" w:eastAsia="Arial" w:cs="Arial"/>
          <w:noProof w:val="0"/>
          <w:sz w:val="22"/>
          <w:szCs w:val="22"/>
          <w:lang w:val="en-GB"/>
        </w:rPr>
        <w:t xml:space="preserve">: Qualitative, Quantitative, and Mixed Methods Approaches. 5th </w:t>
      </w:r>
      <w:r w:rsidRPr="5FF0A1E2" w:rsidR="4B8FF233">
        <w:rPr>
          <w:rFonts w:ascii="Arial" w:hAnsi="Arial" w:eastAsia="Arial" w:cs="Arial"/>
          <w:noProof w:val="0"/>
          <w:sz w:val="22"/>
          <w:szCs w:val="22"/>
          <w:lang w:val="en-GB"/>
        </w:rPr>
        <w:t>edn</w:t>
      </w:r>
      <w:r w:rsidRPr="5FF0A1E2" w:rsidR="4B8FF233">
        <w:rPr>
          <w:rFonts w:ascii="Arial" w:hAnsi="Arial" w:eastAsia="Arial" w:cs="Arial"/>
          <w:noProof w:val="0"/>
          <w:sz w:val="22"/>
          <w:szCs w:val="22"/>
          <w:lang w:val="en-GB"/>
        </w:rPr>
        <w:t>. London: SAGE</w:t>
      </w:r>
      <w:r w:rsidRPr="5FF0A1E2" w:rsidR="4B8FF233">
        <w:rPr>
          <w:rFonts w:ascii="Arial" w:hAnsi="Arial" w:eastAsia="Arial" w:cs="Arial"/>
          <w:noProof w:val="0"/>
          <w:sz w:val="22"/>
          <w:szCs w:val="22"/>
          <w:lang w:val="en-GB"/>
        </w:rPr>
        <w:t xml:space="preserve">.  </w:t>
      </w:r>
    </w:p>
    <w:p w:rsidR="00621776" w:rsidP="5FF0A1E2" w:rsidRDefault="00621776" w14:paraId="49C22304" w14:textId="6FBABC1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Davies, L. (2022) ‘</w:t>
      </w:r>
      <w:r w:rsidRPr="5FF0A1E2" w:rsidR="4B8FF233">
        <w:rPr>
          <w:rFonts w:ascii="Arial" w:hAnsi="Arial" w:eastAsia="Arial" w:cs="Arial"/>
          <w:i w:val="1"/>
          <w:iCs w:val="1"/>
          <w:noProof w:val="0"/>
          <w:sz w:val="22"/>
          <w:szCs w:val="22"/>
          <w:lang w:val="en-GB"/>
        </w:rPr>
        <w:t>Inclusion and chronic illness:</w:t>
      </w:r>
      <w:r w:rsidRPr="5FF0A1E2" w:rsidR="4B8FF233">
        <w:rPr>
          <w:rFonts w:ascii="Arial" w:hAnsi="Arial" w:eastAsia="Arial" w:cs="Arial"/>
          <w:noProof w:val="0"/>
          <w:sz w:val="22"/>
          <w:szCs w:val="22"/>
          <w:lang w:val="en-GB"/>
        </w:rPr>
        <w:t xml:space="preserve"> A UK policy overview’, Educational Review, 74(4), pp. 510–525</w:t>
      </w:r>
      <w:r w:rsidRPr="5FF0A1E2" w:rsidR="4B8FF233">
        <w:rPr>
          <w:rFonts w:ascii="Arial" w:hAnsi="Arial" w:eastAsia="Arial" w:cs="Arial"/>
          <w:noProof w:val="0"/>
          <w:sz w:val="22"/>
          <w:szCs w:val="22"/>
          <w:lang w:val="en-GB"/>
        </w:rPr>
        <w:t xml:space="preserve">.  </w:t>
      </w:r>
    </w:p>
    <w:p w:rsidR="00621776" w:rsidP="5FF0A1E2" w:rsidRDefault="00621776" w14:paraId="7CA15386" w14:textId="60AB21F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Deloitte (2023) </w:t>
      </w:r>
      <w:r w:rsidRPr="5FF0A1E2" w:rsidR="4B8FF233">
        <w:rPr>
          <w:rFonts w:ascii="Arial" w:hAnsi="Arial" w:eastAsia="Arial" w:cs="Arial"/>
          <w:i w:val="1"/>
          <w:iCs w:val="1"/>
          <w:noProof w:val="0"/>
          <w:sz w:val="22"/>
          <w:szCs w:val="22"/>
          <w:lang w:val="en-GB"/>
        </w:rPr>
        <w:t>Digital Consumer Trends Report 2023</w:t>
      </w:r>
      <w:r w:rsidRPr="5FF0A1E2" w:rsidR="4B8FF233">
        <w:rPr>
          <w:rFonts w:ascii="Arial" w:hAnsi="Arial" w:eastAsia="Arial" w:cs="Arial"/>
          <w:noProof w:val="0"/>
          <w:sz w:val="22"/>
          <w:szCs w:val="22"/>
          <w:lang w:val="en-GB"/>
        </w:rPr>
        <w:t>. Deloitte</w:t>
      </w:r>
      <w:r w:rsidRPr="5FF0A1E2" w:rsidR="4B8FF233">
        <w:rPr>
          <w:rFonts w:ascii="Arial" w:hAnsi="Arial" w:eastAsia="Arial" w:cs="Arial"/>
          <w:noProof w:val="0"/>
          <w:sz w:val="22"/>
          <w:szCs w:val="22"/>
          <w:lang w:val="en-GB"/>
        </w:rPr>
        <w:t xml:space="preserve">.  </w:t>
      </w:r>
    </w:p>
    <w:p w:rsidR="00621776" w:rsidP="5FF0A1E2" w:rsidRDefault="00621776" w14:paraId="5DCAD101" w14:textId="32574C2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Denny, S., Lewy, </w:t>
      </w:r>
      <w:r w:rsidRPr="5FF0A1E2" w:rsidR="4B8FF233">
        <w:rPr>
          <w:rFonts w:ascii="Arial" w:hAnsi="Arial" w:eastAsia="Arial" w:cs="Arial"/>
          <w:noProof w:val="0"/>
          <w:sz w:val="22"/>
          <w:szCs w:val="22"/>
          <w:lang w:val="en-GB"/>
        </w:rPr>
        <w:t>A.</w:t>
      </w:r>
      <w:r w:rsidRPr="5FF0A1E2" w:rsidR="4B8FF233">
        <w:rPr>
          <w:rFonts w:ascii="Arial" w:hAnsi="Arial" w:eastAsia="Arial" w:cs="Arial"/>
          <w:noProof w:val="0"/>
          <w:sz w:val="22"/>
          <w:szCs w:val="22"/>
          <w:lang w:val="en-GB"/>
        </w:rPr>
        <w:t xml:space="preserve"> and Clark, T. (2021) ‘Teachers' experiences supporting students with chronic illnesses’, Child: </w:t>
      </w:r>
      <w:r w:rsidRPr="5FF0A1E2" w:rsidR="4B8FF233">
        <w:rPr>
          <w:rFonts w:ascii="Arial" w:hAnsi="Arial" w:eastAsia="Arial" w:cs="Arial"/>
          <w:i w:val="1"/>
          <w:iCs w:val="1"/>
          <w:noProof w:val="0"/>
          <w:sz w:val="22"/>
          <w:szCs w:val="22"/>
          <w:lang w:val="en-GB"/>
        </w:rPr>
        <w:t xml:space="preserve">Care, </w:t>
      </w:r>
      <w:r w:rsidRPr="5FF0A1E2" w:rsidR="4B8FF233">
        <w:rPr>
          <w:rFonts w:ascii="Arial" w:hAnsi="Arial" w:eastAsia="Arial" w:cs="Arial"/>
          <w:i w:val="1"/>
          <w:iCs w:val="1"/>
          <w:noProof w:val="0"/>
          <w:sz w:val="22"/>
          <w:szCs w:val="22"/>
          <w:lang w:val="en-GB"/>
        </w:rPr>
        <w:t>Health</w:t>
      </w:r>
      <w:r w:rsidRPr="5FF0A1E2" w:rsidR="4B8FF233">
        <w:rPr>
          <w:rFonts w:ascii="Arial" w:hAnsi="Arial" w:eastAsia="Arial" w:cs="Arial"/>
          <w:i w:val="1"/>
          <w:iCs w:val="1"/>
          <w:noProof w:val="0"/>
          <w:sz w:val="22"/>
          <w:szCs w:val="22"/>
          <w:lang w:val="en-GB"/>
        </w:rPr>
        <w:t xml:space="preserve"> and Development,</w:t>
      </w:r>
      <w:r w:rsidRPr="5FF0A1E2" w:rsidR="4B8FF233">
        <w:rPr>
          <w:rFonts w:ascii="Arial" w:hAnsi="Arial" w:eastAsia="Arial" w:cs="Arial"/>
          <w:noProof w:val="0"/>
          <w:sz w:val="22"/>
          <w:szCs w:val="22"/>
          <w:lang w:val="en-GB"/>
        </w:rPr>
        <w:t xml:space="preserve"> 47(5), pp. 688–697</w:t>
      </w:r>
      <w:r w:rsidRPr="5FF0A1E2" w:rsidR="4B8FF233">
        <w:rPr>
          <w:rFonts w:ascii="Arial" w:hAnsi="Arial" w:eastAsia="Arial" w:cs="Arial"/>
          <w:noProof w:val="0"/>
          <w:sz w:val="22"/>
          <w:szCs w:val="22"/>
          <w:lang w:val="en-GB"/>
        </w:rPr>
        <w:t xml:space="preserve">.  </w:t>
      </w:r>
    </w:p>
    <w:p w:rsidR="00621776" w:rsidP="5FF0A1E2" w:rsidRDefault="00621776" w14:paraId="1F3D77EE" w14:textId="75A11EDC">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Department for Education (2015) </w:t>
      </w:r>
      <w:r w:rsidRPr="5FF0A1E2" w:rsidR="4B8FF233">
        <w:rPr>
          <w:rFonts w:ascii="Arial" w:hAnsi="Arial" w:eastAsia="Arial" w:cs="Arial"/>
          <w:i w:val="1"/>
          <w:iCs w:val="1"/>
          <w:noProof w:val="0"/>
          <w:sz w:val="22"/>
          <w:szCs w:val="22"/>
          <w:lang w:val="en-GB"/>
        </w:rPr>
        <w:t>Supporting Pupils at School with Medical Conditions</w:t>
      </w:r>
      <w:r w:rsidRPr="5FF0A1E2" w:rsidR="4B8FF233">
        <w:rPr>
          <w:rFonts w:ascii="Arial" w:hAnsi="Arial" w:eastAsia="Arial" w:cs="Arial"/>
          <w:noProof w:val="0"/>
          <w:sz w:val="22"/>
          <w:szCs w:val="22"/>
          <w:lang w:val="en-GB"/>
        </w:rPr>
        <w:t xml:space="preserve">: Statutory Guidance. </w:t>
      </w:r>
      <w:hyperlink r:id="R2d893c18dd0e4d59">
        <w:r w:rsidRPr="5FF0A1E2" w:rsidR="4B8FF233">
          <w:rPr>
            <w:rStyle w:val="Hyperlink"/>
            <w:rFonts w:ascii="Arial" w:hAnsi="Arial" w:eastAsia="Arial" w:cs="Arial"/>
            <w:noProof w:val="0"/>
            <w:sz w:val="22"/>
            <w:szCs w:val="22"/>
            <w:lang w:val="en-GB"/>
          </w:rPr>
          <w:t>https://www.gov.uk/government/publications/supporting-pupils-at-school-with-medical-conditions--3</w:t>
        </w:r>
      </w:hyperlink>
      <w:r w:rsidRPr="5FF0A1E2" w:rsidR="4B8FF233">
        <w:rPr>
          <w:rFonts w:ascii="Arial" w:hAnsi="Arial" w:eastAsia="Arial" w:cs="Arial"/>
          <w:noProof w:val="0"/>
          <w:sz w:val="22"/>
          <w:szCs w:val="22"/>
          <w:lang w:val="en-GB"/>
        </w:rPr>
        <w:t xml:space="preserve"> </w:t>
      </w:r>
    </w:p>
    <w:p w:rsidR="00621776" w:rsidP="5FF0A1E2" w:rsidRDefault="00621776" w14:paraId="4C2E9632" w14:textId="6C1C6E7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Department for Education (2015) </w:t>
      </w:r>
      <w:r w:rsidRPr="5FF0A1E2" w:rsidR="4B8FF233">
        <w:rPr>
          <w:rFonts w:ascii="Arial" w:hAnsi="Arial" w:eastAsia="Arial" w:cs="Arial"/>
          <w:i w:val="1"/>
          <w:iCs w:val="1"/>
          <w:noProof w:val="0"/>
          <w:sz w:val="22"/>
          <w:szCs w:val="22"/>
          <w:lang w:val="en-GB"/>
        </w:rPr>
        <w:t>Supporting Pupils at School with Medical Conditions: Statutory Guidance.</w:t>
      </w:r>
      <w:r w:rsidRPr="5FF0A1E2" w:rsidR="4B8FF233">
        <w:rPr>
          <w:rFonts w:ascii="Arial" w:hAnsi="Arial" w:eastAsia="Arial" w:cs="Arial"/>
          <w:noProof w:val="0"/>
          <w:sz w:val="22"/>
          <w:szCs w:val="22"/>
          <w:lang w:val="en-GB"/>
        </w:rPr>
        <w:t xml:space="preserve"> London: DfE</w:t>
      </w:r>
      <w:r w:rsidRPr="5FF0A1E2" w:rsidR="4B8FF233">
        <w:rPr>
          <w:rFonts w:ascii="Arial" w:hAnsi="Arial" w:eastAsia="Arial" w:cs="Arial"/>
          <w:noProof w:val="0"/>
          <w:sz w:val="22"/>
          <w:szCs w:val="22"/>
          <w:lang w:val="en-GB"/>
        </w:rPr>
        <w:t xml:space="preserve">.  </w:t>
      </w:r>
    </w:p>
    <w:p w:rsidR="00621776" w:rsidP="5FF0A1E2" w:rsidRDefault="00621776" w14:paraId="4672B1BA" w14:textId="66A01A5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Department of Health and Social Care (2020) Long-term Conditions Compendium. — Link (UK DHSC): </w:t>
      </w:r>
      <w:hyperlink r:id="R94478ebf97964211">
        <w:r w:rsidRPr="5FF0A1E2" w:rsidR="4B8FF233">
          <w:rPr>
            <w:rStyle w:val="Hyperlink"/>
            <w:rFonts w:ascii="Arial" w:hAnsi="Arial" w:eastAsia="Arial" w:cs="Arial"/>
            <w:noProof w:val="0"/>
            <w:sz w:val="22"/>
            <w:szCs w:val="22"/>
            <w:lang w:val="en-GB"/>
          </w:rPr>
          <w:t>https://www.gov.uk/government/publications/long-term-conditions-compendium-of-information</w:t>
        </w:r>
      </w:hyperlink>
      <w:r w:rsidRPr="5FF0A1E2" w:rsidR="4B8FF233">
        <w:rPr>
          <w:rFonts w:ascii="Arial" w:hAnsi="Arial" w:eastAsia="Arial" w:cs="Arial"/>
          <w:noProof w:val="0"/>
          <w:sz w:val="22"/>
          <w:szCs w:val="22"/>
          <w:lang w:val="en-GB"/>
        </w:rPr>
        <w:t xml:space="preserve"> </w:t>
      </w:r>
    </w:p>
    <w:p w:rsidR="00621776" w:rsidP="5FF0A1E2" w:rsidRDefault="00621776" w14:paraId="1B78FC06" w14:textId="755BE84D">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Department of Health and Social Care (2020) </w:t>
      </w:r>
      <w:r w:rsidRPr="5FF0A1E2" w:rsidR="4B8FF233">
        <w:rPr>
          <w:rFonts w:ascii="Arial" w:hAnsi="Arial" w:eastAsia="Arial" w:cs="Arial"/>
          <w:i w:val="1"/>
          <w:iCs w:val="1"/>
          <w:noProof w:val="0"/>
          <w:sz w:val="22"/>
          <w:szCs w:val="22"/>
          <w:lang w:val="en-GB"/>
        </w:rPr>
        <w:t>Long-term Conditions Compendium</w:t>
      </w:r>
      <w:r w:rsidRPr="5FF0A1E2" w:rsidR="4B8FF233">
        <w:rPr>
          <w:rFonts w:ascii="Arial" w:hAnsi="Arial" w:eastAsia="Arial" w:cs="Arial"/>
          <w:noProof w:val="0"/>
          <w:sz w:val="22"/>
          <w:szCs w:val="22"/>
          <w:lang w:val="en-GB"/>
        </w:rPr>
        <w:t>. London: DHSC</w:t>
      </w:r>
      <w:r w:rsidRPr="5FF0A1E2" w:rsidR="4B8FF233">
        <w:rPr>
          <w:rFonts w:ascii="Arial" w:hAnsi="Arial" w:eastAsia="Arial" w:cs="Arial"/>
          <w:noProof w:val="0"/>
          <w:sz w:val="22"/>
          <w:szCs w:val="22"/>
          <w:lang w:val="en-GB"/>
        </w:rPr>
        <w:t xml:space="preserve">.  </w:t>
      </w:r>
    </w:p>
    <w:p w:rsidR="00621776" w:rsidP="5FF0A1E2" w:rsidRDefault="00621776" w14:paraId="15692BAA" w14:textId="368826E7">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DfE (2015) Supporting Pupils at School with Medical Conditions: Statutory Guidance. London: </w:t>
      </w:r>
      <w:r w:rsidRPr="5FF0A1E2" w:rsidR="4B8FF233">
        <w:rPr>
          <w:rFonts w:ascii="Arial" w:hAnsi="Arial" w:eastAsia="Arial" w:cs="Arial"/>
          <w:i w:val="1"/>
          <w:iCs w:val="1"/>
          <w:noProof w:val="0"/>
          <w:sz w:val="22"/>
          <w:szCs w:val="22"/>
          <w:lang w:val="en-GB"/>
        </w:rPr>
        <w:t>Department for Education</w:t>
      </w:r>
      <w:r w:rsidRPr="5FF0A1E2" w:rsidR="4B8FF233">
        <w:rPr>
          <w:rFonts w:ascii="Arial" w:hAnsi="Arial" w:eastAsia="Arial" w:cs="Arial"/>
          <w:noProof w:val="0"/>
          <w:sz w:val="22"/>
          <w:szCs w:val="22"/>
          <w:lang w:val="en-GB"/>
        </w:rPr>
        <w:t xml:space="preserve">. Available at: </w:t>
      </w:r>
      <w:hyperlink r:id="Rcec58a8865194f04">
        <w:r w:rsidRPr="5FF0A1E2" w:rsidR="4B8FF233">
          <w:rPr>
            <w:rStyle w:val="Hyperlink"/>
            <w:rFonts w:ascii="Arial" w:hAnsi="Arial" w:eastAsia="Arial" w:cs="Arial"/>
            <w:noProof w:val="0"/>
            <w:sz w:val="22"/>
            <w:szCs w:val="22"/>
            <w:lang w:val="en-GB"/>
          </w:rPr>
          <w:t>https://www.gov.uk/government/publications/supporting-pupils-at-school-with-medical-conditions--3</w:t>
        </w:r>
      </w:hyperlink>
      <w:r w:rsidRPr="5FF0A1E2" w:rsidR="4B8FF233">
        <w:rPr>
          <w:rFonts w:ascii="Arial" w:hAnsi="Arial" w:eastAsia="Arial" w:cs="Arial"/>
          <w:noProof w:val="0"/>
          <w:sz w:val="22"/>
          <w:szCs w:val="22"/>
          <w:lang w:val="en-GB"/>
        </w:rPr>
        <w:t xml:space="preserve"> (Accessed: 25 October 2025). </w:t>
      </w:r>
    </w:p>
    <w:p w:rsidR="00621776" w:rsidP="5FF0A1E2" w:rsidRDefault="00621776" w14:paraId="7D99059A" w14:textId="068730EF">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Fitzgerald, M., Rawdon, </w:t>
      </w:r>
      <w:r w:rsidRPr="5FF0A1E2" w:rsidR="4B8FF233">
        <w:rPr>
          <w:rFonts w:ascii="Arial" w:hAnsi="Arial" w:eastAsia="Arial" w:cs="Arial"/>
          <w:noProof w:val="0"/>
          <w:sz w:val="22"/>
          <w:szCs w:val="22"/>
          <w:lang w:val="en-GB"/>
        </w:rPr>
        <w:t>C.</w:t>
      </w:r>
      <w:r w:rsidRPr="5FF0A1E2" w:rsidR="4B8FF233">
        <w:rPr>
          <w:rFonts w:ascii="Arial" w:hAnsi="Arial" w:eastAsia="Arial" w:cs="Arial"/>
          <w:noProof w:val="0"/>
          <w:sz w:val="22"/>
          <w:szCs w:val="22"/>
          <w:lang w:val="en-GB"/>
        </w:rPr>
        <w:t xml:space="preserve"> and Prentice, P. (2019) </w:t>
      </w:r>
      <w:r w:rsidRPr="5FF0A1E2" w:rsidR="4B8FF233">
        <w:rPr>
          <w:rFonts w:ascii="Arial" w:hAnsi="Arial" w:eastAsia="Arial" w:cs="Arial"/>
          <w:i w:val="1"/>
          <w:iCs w:val="1"/>
          <w:noProof w:val="0"/>
          <w:sz w:val="22"/>
          <w:szCs w:val="22"/>
          <w:lang w:val="en-GB"/>
        </w:rPr>
        <w:t>‘Managing Type 1 diabetes in UK primary schools</w:t>
      </w:r>
      <w:r w:rsidRPr="5FF0A1E2" w:rsidR="4B8FF233">
        <w:rPr>
          <w:rFonts w:ascii="Arial" w:hAnsi="Arial" w:eastAsia="Arial" w:cs="Arial"/>
          <w:noProof w:val="0"/>
          <w:sz w:val="22"/>
          <w:szCs w:val="22"/>
          <w:lang w:val="en-GB"/>
        </w:rPr>
        <w:t>’, Health Education Journal, 78(4), pp. 456–469</w:t>
      </w:r>
      <w:r w:rsidRPr="5FF0A1E2" w:rsidR="4B8FF233">
        <w:rPr>
          <w:rFonts w:ascii="Arial" w:hAnsi="Arial" w:eastAsia="Arial" w:cs="Arial"/>
          <w:noProof w:val="0"/>
          <w:sz w:val="22"/>
          <w:szCs w:val="22"/>
          <w:lang w:val="en-GB"/>
        </w:rPr>
        <w:t xml:space="preserve">.  </w:t>
      </w:r>
    </w:p>
    <w:p w:rsidR="00621776" w:rsidP="5FF0A1E2" w:rsidRDefault="00621776" w14:paraId="3E305D92" w14:textId="72BE7D0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Florian, L. (2015) </w:t>
      </w:r>
      <w:r w:rsidRPr="5FF0A1E2" w:rsidR="4B8FF233">
        <w:rPr>
          <w:rFonts w:ascii="Arial" w:hAnsi="Arial" w:eastAsia="Arial" w:cs="Arial"/>
          <w:i w:val="1"/>
          <w:iCs w:val="1"/>
          <w:noProof w:val="0"/>
          <w:sz w:val="22"/>
          <w:szCs w:val="22"/>
          <w:lang w:val="en-GB"/>
        </w:rPr>
        <w:t>Inclusive Pedagogy Across the Curriculum</w:t>
      </w:r>
      <w:r w:rsidRPr="5FF0A1E2" w:rsidR="4B8FF233">
        <w:rPr>
          <w:rFonts w:ascii="Arial" w:hAnsi="Arial" w:eastAsia="Arial" w:cs="Arial"/>
          <w:noProof w:val="0"/>
          <w:sz w:val="22"/>
          <w:szCs w:val="22"/>
          <w:lang w:val="en-GB"/>
        </w:rPr>
        <w:t xml:space="preserve">. London: Routledge. — Publisher page: </w:t>
      </w:r>
      <w:hyperlink r:id="Ra6302a1478f7422a">
        <w:r w:rsidRPr="5FF0A1E2" w:rsidR="4B8FF233">
          <w:rPr>
            <w:rStyle w:val="Hyperlink"/>
            <w:rFonts w:ascii="Arial" w:hAnsi="Arial" w:eastAsia="Arial" w:cs="Arial"/>
            <w:noProof w:val="0"/>
            <w:sz w:val="22"/>
            <w:szCs w:val="22"/>
            <w:lang w:val="en-GB"/>
          </w:rPr>
          <w:t>https://www.routledge.com/Inclusive-Pedagogy-Across-the-Curriculum/Florian/p/book/9781138788770</w:t>
        </w:r>
      </w:hyperlink>
      <w:r w:rsidRPr="5FF0A1E2" w:rsidR="4B8FF233">
        <w:rPr>
          <w:rFonts w:ascii="Arial" w:hAnsi="Arial" w:eastAsia="Arial" w:cs="Arial"/>
          <w:noProof w:val="0"/>
          <w:sz w:val="22"/>
          <w:szCs w:val="22"/>
          <w:lang w:val="en-GB"/>
        </w:rPr>
        <w:t xml:space="preserve"> </w:t>
      </w:r>
    </w:p>
    <w:p w:rsidR="00621776" w:rsidP="5FF0A1E2" w:rsidRDefault="00621776" w14:paraId="2C95CC5E" w14:textId="3F9DAFF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‌G</w:t>
      </w:r>
      <w:r w:rsidRPr="5FF0A1E2" w:rsidR="4B8FF233">
        <w:rPr>
          <w:rFonts w:ascii="Arial" w:hAnsi="Arial" w:eastAsia="Arial" w:cs="Arial"/>
          <w:i w:val="1"/>
          <w:iCs w:val="1"/>
          <w:noProof w:val="0"/>
          <w:sz w:val="22"/>
          <w:szCs w:val="22"/>
          <w:lang w:val="en-GB"/>
        </w:rPr>
        <w:t>lobal Standards for Health Promoting Schools Concept Note.</w:t>
      </w:r>
      <w:r w:rsidRPr="5FF0A1E2" w:rsidR="4B8FF233">
        <w:rPr>
          <w:rFonts w:ascii="Arial" w:hAnsi="Arial" w:eastAsia="Arial" w:cs="Arial"/>
          <w:noProof w:val="0"/>
          <w:sz w:val="22"/>
          <w:szCs w:val="22"/>
          <w:lang w:val="en-GB"/>
        </w:rPr>
        <w:t xml:space="preserve"> (n.d.). Available at: </w:t>
      </w:r>
      <w:hyperlink r:id="R969362ef39104aa0">
        <w:r w:rsidRPr="5FF0A1E2" w:rsidR="4B8FF233">
          <w:rPr>
            <w:rStyle w:val="Hyperlink"/>
            <w:rFonts w:ascii="Arial" w:hAnsi="Arial" w:eastAsia="Arial" w:cs="Arial"/>
            <w:noProof w:val="0"/>
            <w:sz w:val="22"/>
            <w:szCs w:val="22"/>
            <w:lang w:val="en-GB"/>
          </w:rPr>
          <w:t>https://www.who.int/docs/default-source/health-promoting-schools/global-standards-for-health-promoting-schools-who-unesco.pdf</w:t>
        </w:r>
      </w:hyperlink>
      <w:r w:rsidRPr="5FF0A1E2" w:rsidR="4B8FF233">
        <w:rPr>
          <w:rFonts w:ascii="Arial" w:hAnsi="Arial" w:eastAsia="Arial" w:cs="Arial"/>
          <w:noProof w:val="0"/>
          <w:sz w:val="22"/>
          <w:szCs w:val="22"/>
          <w:lang w:val="en-GB"/>
        </w:rPr>
        <w:t xml:space="preserve">. </w:t>
      </w:r>
    </w:p>
    <w:p w:rsidR="00621776" w:rsidP="5FF0A1E2" w:rsidRDefault="00621776" w14:paraId="2D8009AE" w14:textId="5840F42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Good Things Foundation (2022) </w:t>
      </w:r>
      <w:r w:rsidRPr="5FF0A1E2" w:rsidR="4B8FF233">
        <w:rPr>
          <w:rFonts w:ascii="Arial" w:hAnsi="Arial" w:eastAsia="Arial" w:cs="Arial"/>
          <w:i w:val="1"/>
          <w:iCs w:val="1"/>
          <w:noProof w:val="0"/>
          <w:sz w:val="22"/>
          <w:szCs w:val="22"/>
          <w:lang w:val="en-GB"/>
        </w:rPr>
        <w:t>Digital Nation UK</w:t>
      </w:r>
      <w:r w:rsidRPr="5FF0A1E2" w:rsidR="4B8FF233">
        <w:rPr>
          <w:rFonts w:ascii="Arial" w:hAnsi="Arial" w:eastAsia="Arial" w:cs="Arial"/>
          <w:noProof w:val="0"/>
          <w:sz w:val="22"/>
          <w:szCs w:val="22"/>
          <w:lang w:val="en-GB"/>
        </w:rPr>
        <w:t xml:space="preserve">. Available at: </w:t>
      </w:r>
      <w:hyperlink r:id="Rcf44564916da4a06">
        <w:r w:rsidRPr="5FF0A1E2" w:rsidR="4B8FF233">
          <w:rPr>
            <w:rStyle w:val="Hyperlink"/>
            <w:rFonts w:ascii="Arial" w:hAnsi="Arial" w:eastAsia="Arial" w:cs="Arial"/>
            <w:noProof w:val="0"/>
            <w:sz w:val="22"/>
            <w:szCs w:val="22"/>
            <w:lang w:val="en-GB"/>
          </w:rPr>
          <w:t>https://www.goodthingsfoundation.org/research-publications/digital-nation-uk</w:t>
        </w:r>
      </w:hyperlink>
      <w:r w:rsidRPr="5FF0A1E2" w:rsidR="4B8FF233">
        <w:rPr>
          <w:rFonts w:ascii="Arial" w:hAnsi="Arial" w:eastAsia="Arial" w:cs="Arial"/>
          <w:noProof w:val="0"/>
          <w:sz w:val="22"/>
          <w:szCs w:val="22"/>
          <w:lang w:val="en-GB"/>
        </w:rPr>
        <w:t xml:space="preserve"> (Accessed: 15 September 2025). </w:t>
      </w:r>
    </w:p>
    <w:p w:rsidR="00621776" w:rsidP="5FF0A1E2" w:rsidRDefault="00621776" w14:paraId="64072331" w14:textId="0044480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Grant, M. &amp; Booth, A. (2019) </w:t>
      </w:r>
      <w:r w:rsidRPr="5FF0A1E2" w:rsidR="4B8FF233">
        <w:rPr>
          <w:rFonts w:ascii="Arial" w:hAnsi="Arial" w:eastAsia="Arial" w:cs="Arial"/>
          <w:i w:val="1"/>
          <w:iCs w:val="1"/>
          <w:noProof w:val="0"/>
          <w:sz w:val="22"/>
          <w:szCs w:val="22"/>
          <w:lang w:val="en-GB"/>
        </w:rPr>
        <w:t>‘A typology of reviews:</w:t>
      </w:r>
      <w:r w:rsidRPr="5FF0A1E2" w:rsidR="4B8FF233">
        <w:rPr>
          <w:rFonts w:ascii="Arial" w:hAnsi="Arial" w:eastAsia="Arial" w:cs="Arial"/>
          <w:noProof w:val="0"/>
          <w:sz w:val="22"/>
          <w:szCs w:val="22"/>
          <w:lang w:val="en-GB"/>
        </w:rPr>
        <w:t xml:space="preserve"> An analysis of 14 review types’, Health Information and Libraries Journal, 36(2), pp. 91–108</w:t>
      </w:r>
      <w:r w:rsidRPr="5FF0A1E2" w:rsidR="4B8FF233">
        <w:rPr>
          <w:rFonts w:ascii="Arial" w:hAnsi="Arial" w:eastAsia="Arial" w:cs="Arial"/>
          <w:noProof w:val="0"/>
          <w:sz w:val="22"/>
          <w:szCs w:val="22"/>
          <w:lang w:val="en-GB"/>
        </w:rPr>
        <w:t xml:space="preserve">.  </w:t>
      </w:r>
    </w:p>
    <w:p w:rsidR="00621776" w:rsidP="5FF0A1E2" w:rsidRDefault="00621776" w14:paraId="1270CC76" w14:textId="20BEF777">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Greenhalgh, T., </w:t>
      </w:r>
      <w:r w:rsidRPr="5FF0A1E2" w:rsidR="4B8FF233">
        <w:rPr>
          <w:rFonts w:ascii="Arial" w:hAnsi="Arial" w:eastAsia="Arial" w:cs="Arial"/>
          <w:noProof w:val="0"/>
          <w:sz w:val="22"/>
          <w:szCs w:val="22"/>
          <w:lang w:val="en-GB"/>
        </w:rPr>
        <w:t>Wherton</w:t>
      </w:r>
      <w:r w:rsidRPr="5FF0A1E2" w:rsidR="4B8FF233">
        <w:rPr>
          <w:rFonts w:ascii="Arial" w:hAnsi="Arial" w:eastAsia="Arial" w:cs="Arial"/>
          <w:noProof w:val="0"/>
          <w:sz w:val="22"/>
          <w:szCs w:val="22"/>
          <w:lang w:val="en-GB"/>
        </w:rPr>
        <w:t xml:space="preserve">, J. &amp; Shaw, S. (2021) ‘Digital health and the digital divide’, </w:t>
      </w:r>
      <w:r w:rsidRPr="5FF0A1E2" w:rsidR="4B8FF233">
        <w:rPr>
          <w:rFonts w:ascii="Arial" w:hAnsi="Arial" w:eastAsia="Arial" w:cs="Arial"/>
          <w:i w:val="1"/>
          <w:iCs w:val="1"/>
          <w:noProof w:val="0"/>
          <w:sz w:val="22"/>
          <w:szCs w:val="22"/>
          <w:lang w:val="en-GB"/>
        </w:rPr>
        <w:t>The Lancet,</w:t>
      </w:r>
      <w:r w:rsidRPr="5FF0A1E2" w:rsidR="4B8FF233">
        <w:rPr>
          <w:rFonts w:ascii="Arial" w:hAnsi="Arial" w:eastAsia="Arial" w:cs="Arial"/>
          <w:noProof w:val="0"/>
          <w:sz w:val="22"/>
          <w:szCs w:val="22"/>
          <w:lang w:val="en-GB"/>
        </w:rPr>
        <w:t xml:space="preserve"> 397(10281), pp. 1185–1187. </w:t>
      </w:r>
    </w:p>
    <w:p w:rsidR="00621776" w:rsidP="5FF0A1E2" w:rsidRDefault="00621776" w14:paraId="5031DE2E" w14:textId="6334453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Greenhalgh, T., </w:t>
      </w:r>
      <w:r w:rsidRPr="5FF0A1E2" w:rsidR="4B8FF233">
        <w:rPr>
          <w:rFonts w:ascii="Arial" w:hAnsi="Arial" w:eastAsia="Arial" w:cs="Arial"/>
          <w:noProof w:val="0"/>
          <w:sz w:val="22"/>
          <w:szCs w:val="22"/>
          <w:lang w:val="en-GB"/>
        </w:rPr>
        <w:t>Wherton</w:t>
      </w:r>
      <w:r w:rsidRPr="5FF0A1E2" w:rsidR="4B8FF233">
        <w:rPr>
          <w:rFonts w:ascii="Arial" w:hAnsi="Arial" w:eastAsia="Arial" w:cs="Arial"/>
          <w:noProof w:val="0"/>
          <w:sz w:val="22"/>
          <w:szCs w:val="22"/>
          <w:lang w:val="en-GB"/>
        </w:rPr>
        <w:t xml:space="preserve">, J. &amp; Shaw, S. (2021) ‘Digital health and the digital divide’, </w:t>
      </w:r>
      <w:r w:rsidRPr="5FF0A1E2" w:rsidR="4B8FF233">
        <w:rPr>
          <w:rFonts w:ascii="Arial" w:hAnsi="Arial" w:eastAsia="Arial" w:cs="Arial"/>
          <w:i w:val="1"/>
          <w:iCs w:val="1"/>
          <w:noProof w:val="0"/>
          <w:sz w:val="22"/>
          <w:szCs w:val="22"/>
          <w:lang w:val="en-GB"/>
        </w:rPr>
        <w:t>The Lancet</w:t>
      </w:r>
      <w:r w:rsidRPr="5FF0A1E2" w:rsidR="4B8FF233">
        <w:rPr>
          <w:rFonts w:ascii="Arial" w:hAnsi="Arial" w:eastAsia="Arial" w:cs="Arial"/>
          <w:noProof w:val="0"/>
          <w:sz w:val="22"/>
          <w:szCs w:val="22"/>
          <w:lang w:val="en-GB"/>
        </w:rPr>
        <w:t xml:space="preserve">, 397(10281), pp. 1185–1187. — Lancet commentary page: </w:t>
      </w:r>
      <w:hyperlink r:id="R3996cfbbd2bc4a6d">
        <w:r w:rsidRPr="5FF0A1E2" w:rsidR="4B8FF233">
          <w:rPr>
            <w:rStyle w:val="Hyperlink"/>
            <w:rFonts w:ascii="Arial" w:hAnsi="Arial" w:eastAsia="Arial" w:cs="Arial"/>
            <w:noProof w:val="0"/>
            <w:sz w:val="22"/>
            <w:szCs w:val="22"/>
            <w:lang w:val="en-GB"/>
          </w:rPr>
          <w:t>https://www.thelancet.com/journals/lancet/article/PIIS0140-6736(21)00482-0/fulltext</w:t>
        </w:r>
      </w:hyperlink>
      <w:r w:rsidRPr="5FF0A1E2" w:rsidR="4B8FF233">
        <w:rPr>
          <w:rFonts w:ascii="Arial" w:hAnsi="Arial" w:eastAsia="Arial" w:cs="Arial"/>
          <w:noProof w:val="0"/>
          <w:sz w:val="22"/>
          <w:szCs w:val="22"/>
          <w:lang w:val="en-GB"/>
        </w:rPr>
        <w:t xml:space="preserve"> </w:t>
      </w:r>
    </w:p>
    <w:p w:rsidR="00621776" w:rsidP="5FF0A1E2" w:rsidRDefault="00621776" w14:paraId="3863CEBC" w14:textId="081955F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Greenhalgh, T., </w:t>
      </w:r>
      <w:r w:rsidRPr="5FF0A1E2" w:rsidR="4B8FF233">
        <w:rPr>
          <w:rFonts w:ascii="Arial" w:hAnsi="Arial" w:eastAsia="Arial" w:cs="Arial"/>
          <w:noProof w:val="0"/>
          <w:sz w:val="22"/>
          <w:szCs w:val="22"/>
          <w:lang w:val="en-GB"/>
        </w:rPr>
        <w:t>Wherton</w:t>
      </w:r>
      <w:r w:rsidRPr="5FF0A1E2" w:rsidR="4B8FF233">
        <w:rPr>
          <w:rFonts w:ascii="Arial" w:hAnsi="Arial" w:eastAsia="Arial" w:cs="Arial"/>
          <w:noProof w:val="0"/>
          <w:sz w:val="22"/>
          <w:szCs w:val="22"/>
          <w:lang w:val="en-GB"/>
        </w:rPr>
        <w:t xml:space="preserve">, J. &amp; Shaw, S. (2021) ‘Digital health and the digital divide’, </w:t>
      </w:r>
      <w:r w:rsidRPr="5FF0A1E2" w:rsidR="4B8FF233">
        <w:rPr>
          <w:rFonts w:ascii="Arial" w:hAnsi="Arial" w:eastAsia="Arial" w:cs="Arial"/>
          <w:i w:val="1"/>
          <w:iCs w:val="1"/>
          <w:noProof w:val="0"/>
          <w:sz w:val="22"/>
          <w:szCs w:val="22"/>
          <w:lang w:val="en-GB"/>
        </w:rPr>
        <w:t>The Lancet</w:t>
      </w:r>
      <w:r w:rsidRPr="5FF0A1E2" w:rsidR="4B8FF233">
        <w:rPr>
          <w:rFonts w:ascii="Arial" w:hAnsi="Arial" w:eastAsia="Arial" w:cs="Arial"/>
          <w:noProof w:val="0"/>
          <w:sz w:val="22"/>
          <w:szCs w:val="22"/>
          <w:lang w:val="en-GB"/>
        </w:rPr>
        <w:t>, 397(10281), pp. 1185–1187</w:t>
      </w:r>
      <w:r w:rsidRPr="5FF0A1E2" w:rsidR="4B8FF233">
        <w:rPr>
          <w:rFonts w:ascii="Arial" w:hAnsi="Arial" w:eastAsia="Arial" w:cs="Arial"/>
          <w:noProof w:val="0"/>
          <w:sz w:val="22"/>
          <w:szCs w:val="22"/>
          <w:lang w:val="en-GB"/>
        </w:rPr>
        <w:t xml:space="preserve">.  </w:t>
      </w:r>
    </w:p>
    <w:p w:rsidR="00621776" w:rsidP="5FF0A1E2" w:rsidRDefault="00621776" w14:paraId="6E46DCB7" w14:textId="6D72EA77">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Greenhalgh, T., </w:t>
      </w:r>
      <w:r w:rsidRPr="5FF0A1E2" w:rsidR="4B8FF233">
        <w:rPr>
          <w:rFonts w:ascii="Arial" w:hAnsi="Arial" w:eastAsia="Arial" w:cs="Arial"/>
          <w:noProof w:val="0"/>
          <w:sz w:val="22"/>
          <w:szCs w:val="22"/>
          <w:lang w:val="en-GB"/>
        </w:rPr>
        <w:t>Wherton</w:t>
      </w:r>
      <w:r w:rsidRPr="5FF0A1E2" w:rsidR="4B8FF233">
        <w:rPr>
          <w:rFonts w:ascii="Arial" w:hAnsi="Arial" w:eastAsia="Arial" w:cs="Arial"/>
          <w:noProof w:val="0"/>
          <w:sz w:val="22"/>
          <w:szCs w:val="22"/>
          <w:lang w:val="en-GB"/>
        </w:rPr>
        <w:t xml:space="preserve">, J. and Shaw, S. (2021) ‘Digital health and emotional impacts’, </w:t>
      </w:r>
      <w:r w:rsidRPr="5FF0A1E2" w:rsidR="4B8FF233">
        <w:rPr>
          <w:rFonts w:ascii="Arial" w:hAnsi="Arial" w:eastAsia="Arial" w:cs="Arial"/>
          <w:i w:val="1"/>
          <w:iCs w:val="1"/>
          <w:noProof w:val="0"/>
          <w:sz w:val="22"/>
          <w:szCs w:val="22"/>
          <w:lang w:val="en-GB"/>
        </w:rPr>
        <w:t>The Lancet,</w:t>
      </w:r>
      <w:r w:rsidRPr="5FF0A1E2" w:rsidR="4B8FF233">
        <w:rPr>
          <w:rFonts w:ascii="Arial" w:hAnsi="Arial" w:eastAsia="Arial" w:cs="Arial"/>
          <w:noProof w:val="0"/>
          <w:sz w:val="22"/>
          <w:szCs w:val="22"/>
          <w:lang w:val="en-GB"/>
        </w:rPr>
        <w:t xml:space="preserve"> 397(10283), pp. 1207–1210</w:t>
      </w:r>
      <w:r w:rsidRPr="5FF0A1E2" w:rsidR="4B8FF233">
        <w:rPr>
          <w:rFonts w:ascii="Arial" w:hAnsi="Arial" w:eastAsia="Arial" w:cs="Arial"/>
          <w:noProof w:val="0"/>
          <w:sz w:val="22"/>
          <w:szCs w:val="22"/>
          <w:lang w:val="en-GB"/>
        </w:rPr>
        <w:t xml:space="preserve">.  </w:t>
      </w:r>
    </w:p>
    <w:p w:rsidR="00621776" w:rsidP="5FF0A1E2" w:rsidRDefault="00621776" w14:paraId="0678C6DC" w14:textId="71C971C8">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Gunkel, D. (2021) </w:t>
      </w:r>
      <w:r w:rsidRPr="5FF0A1E2" w:rsidR="4B8FF233">
        <w:rPr>
          <w:rFonts w:ascii="Arial" w:hAnsi="Arial" w:eastAsia="Arial" w:cs="Arial"/>
          <w:i w:val="1"/>
          <w:iCs w:val="1"/>
          <w:noProof w:val="0"/>
          <w:sz w:val="22"/>
          <w:szCs w:val="22"/>
          <w:lang w:val="en-GB"/>
        </w:rPr>
        <w:t>The Digital Divide</w:t>
      </w:r>
      <w:r w:rsidRPr="5FF0A1E2" w:rsidR="4B8FF233">
        <w:rPr>
          <w:rFonts w:ascii="Arial" w:hAnsi="Arial" w:eastAsia="Arial" w:cs="Arial"/>
          <w:noProof w:val="0"/>
          <w:sz w:val="22"/>
          <w:szCs w:val="22"/>
          <w:lang w:val="en-GB"/>
        </w:rPr>
        <w:t>: A Philosophical Examination. Polity Press</w:t>
      </w:r>
      <w:r w:rsidRPr="5FF0A1E2" w:rsidR="4B8FF233">
        <w:rPr>
          <w:rFonts w:ascii="Arial" w:hAnsi="Arial" w:eastAsia="Arial" w:cs="Arial"/>
          <w:noProof w:val="0"/>
          <w:sz w:val="22"/>
          <w:szCs w:val="22"/>
          <w:lang w:val="en-GB"/>
        </w:rPr>
        <w:t xml:space="preserve">.  </w:t>
      </w:r>
    </w:p>
    <w:p w:rsidR="00621776" w:rsidP="5FF0A1E2" w:rsidRDefault="00621776" w14:paraId="03A4617F" w14:textId="45A23437">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Hargittai</w:t>
      </w:r>
      <w:r w:rsidRPr="5FF0A1E2" w:rsidR="4B8FF233">
        <w:rPr>
          <w:rFonts w:ascii="Arial" w:hAnsi="Arial" w:eastAsia="Arial" w:cs="Arial"/>
          <w:noProof w:val="0"/>
          <w:sz w:val="22"/>
          <w:szCs w:val="22"/>
          <w:lang w:val="en-GB"/>
        </w:rPr>
        <w:t>, E. et al. (2022) ‘</w:t>
      </w:r>
      <w:r w:rsidRPr="5FF0A1E2" w:rsidR="4B8FF233">
        <w:rPr>
          <w:rFonts w:ascii="Arial" w:hAnsi="Arial" w:eastAsia="Arial" w:cs="Arial"/>
          <w:i w:val="1"/>
          <w:iCs w:val="1"/>
          <w:noProof w:val="0"/>
          <w:sz w:val="22"/>
          <w:szCs w:val="22"/>
          <w:lang w:val="en-GB"/>
        </w:rPr>
        <w:t>Digital inequality in the post-pandemic era</w:t>
      </w:r>
      <w:r w:rsidRPr="5FF0A1E2" w:rsidR="4B8FF233">
        <w:rPr>
          <w:rFonts w:ascii="Arial" w:hAnsi="Arial" w:eastAsia="Arial" w:cs="Arial"/>
          <w:noProof w:val="0"/>
          <w:sz w:val="22"/>
          <w:szCs w:val="22"/>
          <w:lang w:val="en-GB"/>
        </w:rPr>
        <w:t>’, Information, Communication &amp; Society, 25(6), pp. 857–873</w:t>
      </w:r>
      <w:r w:rsidRPr="5FF0A1E2" w:rsidR="4B8FF233">
        <w:rPr>
          <w:rFonts w:ascii="Arial" w:hAnsi="Arial" w:eastAsia="Arial" w:cs="Arial"/>
          <w:noProof w:val="0"/>
          <w:sz w:val="22"/>
          <w:szCs w:val="22"/>
          <w:lang w:val="en-GB"/>
        </w:rPr>
        <w:t xml:space="preserve">.  </w:t>
      </w:r>
    </w:p>
    <w:p w:rsidR="00621776" w:rsidP="5FF0A1E2" w:rsidRDefault="00621776" w14:paraId="2C3D7BBF" w14:textId="721A937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Hargittai</w:t>
      </w:r>
      <w:r w:rsidRPr="5FF0A1E2" w:rsidR="4B8FF233">
        <w:rPr>
          <w:rFonts w:ascii="Arial" w:hAnsi="Arial" w:eastAsia="Arial" w:cs="Arial"/>
          <w:noProof w:val="0"/>
          <w:sz w:val="22"/>
          <w:szCs w:val="22"/>
          <w:lang w:val="en-GB"/>
        </w:rPr>
        <w:t>, E., Piper, A.M. &amp; Morris, M.R. (2022) ‘</w:t>
      </w:r>
      <w:r w:rsidRPr="5FF0A1E2" w:rsidR="4B8FF233">
        <w:rPr>
          <w:rFonts w:ascii="Arial" w:hAnsi="Arial" w:eastAsia="Arial" w:cs="Arial"/>
          <w:i w:val="1"/>
          <w:iCs w:val="1"/>
          <w:noProof w:val="0"/>
          <w:sz w:val="22"/>
          <w:szCs w:val="22"/>
          <w:lang w:val="en-GB"/>
        </w:rPr>
        <w:t>Digital inequality in the post-pandemic era’</w:t>
      </w:r>
      <w:r w:rsidRPr="5FF0A1E2" w:rsidR="4B8FF233">
        <w:rPr>
          <w:rFonts w:ascii="Arial" w:hAnsi="Arial" w:eastAsia="Arial" w:cs="Arial"/>
          <w:noProof w:val="0"/>
          <w:sz w:val="22"/>
          <w:szCs w:val="22"/>
          <w:lang w:val="en-GB"/>
        </w:rPr>
        <w:t xml:space="preserve">, Information, Communication &amp; Society, 25(6), pp. 857–873. </w:t>
      </w:r>
    </w:p>
    <w:p w:rsidR="00621776" w:rsidP="5FF0A1E2" w:rsidRDefault="00621776" w14:paraId="4AC558B2" w14:textId="1AFEE47A">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Harris, N. (2021) ‘</w:t>
      </w:r>
      <w:r w:rsidRPr="5FF0A1E2" w:rsidR="4B8FF233">
        <w:rPr>
          <w:rFonts w:ascii="Arial" w:hAnsi="Arial" w:eastAsia="Arial" w:cs="Arial"/>
          <w:i w:val="1"/>
          <w:iCs w:val="1"/>
          <w:noProof w:val="0"/>
          <w:sz w:val="22"/>
          <w:szCs w:val="22"/>
          <w:lang w:val="en-GB"/>
        </w:rPr>
        <w:t>Reasonable adjustments and chronic illness in schools’</w:t>
      </w:r>
      <w:r w:rsidRPr="5FF0A1E2" w:rsidR="4B8FF233">
        <w:rPr>
          <w:rFonts w:ascii="Arial" w:hAnsi="Arial" w:eastAsia="Arial" w:cs="Arial"/>
          <w:noProof w:val="0"/>
          <w:sz w:val="22"/>
          <w:szCs w:val="22"/>
          <w:lang w:val="en-GB"/>
        </w:rPr>
        <w:t xml:space="preserve">, Education Law Journal, 22(3), pp. 145–160. </w:t>
      </w:r>
    </w:p>
    <w:p w:rsidR="00621776" w:rsidP="5FF0A1E2" w:rsidRDefault="00621776" w14:paraId="392CA687" w14:textId="21B2F32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Harris, N. (2021) </w:t>
      </w:r>
      <w:r w:rsidRPr="5FF0A1E2" w:rsidR="4B8FF233">
        <w:rPr>
          <w:rFonts w:ascii="Arial" w:hAnsi="Arial" w:eastAsia="Arial" w:cs="Arial"/>
          <w:i w:val="1"/>
          <w:iCs w:val="1"/>
          <w:noProof w:val="0"/>
          <w:sz w:val="22"/>
          <w:szCs w:val="22"/>
          <w:lang w:val="en-GB"/>
        </w:rPr>
        <w:t>‘Reasonable adjustments and chronic illness in schools’</w:t>
      </w:r>
      <w:r w:rsidRPr="5FF0A1E2" w:rsidR="4B8FF233">
        <w:rPr>
          <w:rFonts w:ascii="Arial" w:hAnsi="Arial" w:eastAsia="Arial" w:cs="Arial"/>
          <w:noProof w:val="0"/>
          <w:sz w:val="22"/>
          <w:szCs w:val="22"/>
          <w:lang w:val="en-GB"/>
        </w:rPr>
        <w:t>, Education Law Journal, 22(3), pp. 145–160</w:t>
      </w:r>
      <w:r w:rsidRPr="5FF0A1E2" w:rsidR="4B8FF233">
        <w:rPr>
          <w:rFonts w:ascii="Arial" w:hAnsi="Arial" w:eastAsia="Arial" w:cs="Arial"/>
          <w:noProof w:val="0"/>
          <w:sz w:val="22"/>
          <w:szCs w:val="22"/>
          <w:lang w:val="en-GB"/>
        </w:rPr>
        <w:t xml:space="preserve">.  </w:t>
      </w:r>
    </w:p>
    <w:p w:rsidR="00621776" w:rsidP="5FF0A1E2" w:rsidRDefault="00621776" w14:paraId="7E0269B4" w14:textId="185B6FD8">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Hart, C. (2018) </w:t>
      </w:r>
      <w:r w:rsidRPr="5FF0A1E2" w:rsidR="4B8FF233">
        <w:rPr>
          <w:rFonts w:ascii="Arial" w:hAnsi="Arial" w:eastAsia="Arial" w:cs="Arial"/>
          <w:i w:val="1"/>
          <w:iCs w:val="1"/>
          <w:noProof w:val="0"/>
          <w:sz w:val="22"/>
          <w:szCs w:val="22"/>
          <w:lang w:val="en-GB"/>
        </w:rPr>
        <w:t>Doing a Literature Review</w:t>
      </w:r>
      <w:r w:rsidRPr="5FF0A1E2" w:rsidR="4B8FF233">
        <w:rPr>
          <w:rFonts w:ascii="Arial" w:hAnsi="Arial" w:eastAsia="Arial" w:cs="Arial"/>
          <w:noProof w:val="0"/>
          <w:sz w:val="22"/>
          <w:szCs w:val="22"/>
          <w:lang w:val="en-GB"/>
        </w:rPr>
        <w:t>. London: Sage</w:t>
      </w:r>
      <w:r w:rsidRPr="5FF0A1E2" w:rsidR="4B8FF233">
        <w:rPr>
          <w:rFonts w:ascii="Arial" w:hAnsi="Arial" w:eastAsia="Arial" w:cs="Arial"/>
          <w:noProof w:val="0"/>
          <w:sz w:val="22"/>
          <w:szCs w:val="22"/>
          <w:lang w:val="en-GB"/>
        </w:rPr>
        <w:t xml:space="preserve">.  </w:t>
      </w:r>
    </w:p>
    <w:p w:rsidR="00621776" w:rsidP="5FF0A1E2" w:rsidRDefault="00621776" w14:paraId="2D28AAD7" w14:textId="2CA35B95">
      <w:pPr>
        <w:pStyle w:val="ListParagraph"/>
        <w:spacing w:before="0" w:beforeAutospacing="off" w:after="160" w:afterAutospacing="off" w:line="360" w:lineRule="auto"/>
        <w:ind w:left="360" w:hanging="0"/>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  </w:t>
      </w:r>
    </w:p>
    <w:p w:rsidR="00621776" w:rsidP="5FF0A1E2" w:rsidRDefault="00621776" w14:paraId="55A289B3" w14:textId="1686425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‌Herlitz, L., Jay, M., Powell, C., Gilbert, </w:t>
      </w:r>
      <w:r w:rsidRPr="5FF0A1E2" w:rsidR="4B8FF233">
        <w:rPr>
          <w:rFonts w:ascii="Arial" w:hAnsi="Arial" w:eastAsia="Arial" w:cs="Arial"/>
          <w:noProof w:val="0"/>
          <w:sz w:val="22"/>
          <w:szCs w:val="22"/>
          <w:lang w:val="en-GB"/>
        </w:rPr>
        <w:t>R.</w:t>
      </w:r>
      <w:r w:rsidRPr="5FF0A1E2" w:rsidR="4B8FF233">
        <w:rPr>
          <w:rFonts w:ascii="Arial" w:hAnsi="Arial" w:eastAsia="Arial" w:cs="Arial"/>
          <w:noProof w:val="0"/>
          <w:sz w:val="22"/>
          <w:szCs w:val="22"/>
          <w:lang w:val="en-GB"/>
        </w:rPr>
        <w:t xml:space="preserve"> and Blackburn, R. (2025). Negotiating Access to Health and Wellbeing Support in Schools for Young People with Chronic Health Conditions in English Secondary Schools</w:t>
      </w:r>
      <w:r w:rsidRPr="5FF0A1E2" w:rsidR="4B8FF233">
        <w:rPr>
          <w:rFonts w:ascii="Arial" w:hAnsi="Arial" w:eastAsia="Arial" w:cs="Arial"/>
          <w:i w:val="1"/>
          <w:iCs w:val="1"/>
          <w:noProof w:val="0"/>
          <w:sz w:val="22"/>
          <w:szCs w:val="22"/>
          <w:lang w:val="en-GB"/>
        </w:rPr>
        <w:t>: A Qualitative Multi-Informant Study. Continuity in Education</w:t>
      </w:r>
      <w:r w:rsidRPr="5FF0A1E2" w:rsidR="4B8FF233">
        <w:rPr>
          <w:rFonts w:ascii="Arial" w:hAnsi="Arial" w:eastAsia="Arial" w:cs="Arial"/>
          <w:noProof w:val="0"/>
          <w:sz w:val="22"/>
          <w:szCs w:val="22"/>
          <w:lang w:val="en-GB"/>
        </w:rPr>
        <w:t xml:space="preserve">, (online) 6(1). </w:t>
      </w:r>
      <w:r w:rsidRPr="5FF0A1E2" w:rsidR="4B8FF233">
        <w:rPr>
          <w:rFonts w:ascii="Arial" w:hAnsi="Arial" w:eastAsia="Arial" w:cs="Arial"/>
          <w:noProof w:val="0"/>
          <w:sz w:val="22"/>
          <w:szCs w:val="22"/>
          <w:lang w:val="en-GB"/>
        </w:rPr>
        <w:t>doi:https</w:t>
      </w:r>
      <w:r w:rsidRPr="5FF0A1E2" w:rsidR="4B8FF233">
        <w:rPr>
          <w:rFonts w:ascii="Arial" w:hAnsi="Arial" w:eastAsia="Arial" w:cs="Arial"/>
          <w:noProof w:val="0"/>
          <w:sz w:val="22"/>
          <w:szCs w:val="22"/>
          <w:lang w:val="en-GB"/>
        </w:rPr>
        <w:t xml:space="preserve">://doi.org/10.5334/cie.149  </w:t>
      </w:r>
    </w:p>
    <w:p w:rsidR="00621776" w:rsidP="5FF0A1E2" w:rsidRDefault="00621776" w14:paraId="3BA4D96E" w14:textId="7E70C36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‌Herlitz, L., Jay, M., Powell, C., Gilbert, </w:t>
      </w:r>
      <w:r w:rsidRPr="5FF0A1E2" w:rsidR="4B8FF233">
        <w:rPr>
          <w:rFonts w:ascii="Arial" w:hAnsi="Arial" w:eastAsia="Arial" w:cs="Arial"/>
          <w:noProof w:val="0"/>
          <w:sz w:val="22"/>
          <w:szCs w:val="22"/>
          <w:lang w:val="en-GB"/>
        </w:rPr>
        <w:t>R.</w:t>
      </w:r>
      <w:r w:rsidRPr="5FF0A1E2" w:rsidR="4B8FF233">
        <w:rPr>
          <w:rFonts w:ascii="Arial" w:hAnsi="Arial" w:eastAsia="Arial" w:cs="Arial"/>
          <w:noProof w:val="0"/>
          <w:sz w:val="22"/>
          <w:szCs w:val="22"/>
          <w:lang w:val="en-GB"/>
        </w:rPr>
        <w:t xml:space="preserve"> and Blackburn, R. (2025). Negotiating Access to Health and Wellbeing Support in Schools for Young People with Chronic Health Conditions in English Secondary Schools: </w:t>
      </w:r>
      <w:r w:rsidRPr="5FF0A1E2" w:rsidR="4B8FF233">
        <w:rPr>
          <w:rFonts w:ascii="Arial" w:hAnsi="Arial" w:eastAsia="Arial" w:cs="Arial"/>
          <w:i w:val="1"/>
          <w:iCs w:val="1"/>
          <w:noProof w:val="0"/>
          <w:sz w:val="22"/>
          <w:szCs w:val="22"/>
          <w:lang w:val="en-GB"/>
        </w:rPr>
        <w:t>A Qualitative Multi-Informant Study. Continuity in Education</w:t>
      </w:r>
      <w:r w:rsidRPr="5FF0A1E2" w:rsidR="4B8FF233">
        <w:rPr>
          <w:rFonts w:ascii="Arial" w:hAnsi="Arial" w:eastAsia="Arial" w:cs="Arial"/>
          <w:noProof w:val="0"/>
          <w:sz w:val="22"/>
          <w:szCs w:val="22"/>
          <w:lang w:val="en-GB"/>
        </w:rPr>
        <w:t xml:space="preserve">, (online) 6(1). </w:t>
      </w:r>
      <w:r w:rsidRPr="5FF0A1E2" w:rsidR="4B8FF233">
        <w:rPr>
          <w:rFonts w:ascii="Arial" w:hAnsi="Arial" w:eastAsia="Arial" w:cs="Arial"/>
          <w:noProof w:val="0"/>
          <w:sz w:val="22"/>
          <w:szCs w:val="22"/>
          <w:lang w:val="en-GB"/>
        </w:rPr>
        <w:t>doi:https</w:t>
      </w:r>
      <w:r w:rsidRPr="5FF0A1E2" w:rsidR="4B8FF233">
        <w:rPr>
          <w:rFonts w:ascii="Arial" w:hAnsi="Arial" w:eastAsia="Arial" w:cs="Arial"/>
          <w:noProof w:val="0"/>
          <w:sz w:val="22"/>
          <w:szCs w:val="22"/>
          <w:lang w:val="en-GB"/>
        </w:rPr>
        <w:t xml:space="preserve">://doi.org/10.5334/cie.149. </w:t>
      </w:r>
    </w:p>
    <w:p w:rsidR="00621776" w:rsidP="5FF0A1E2" w:rsidRDefault="00621776" w14:paraId="1384F185" w14:textId="2B45FAAB">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Jay, M.A., Herlitz, L., Deighton, J., Gilbert, R. &amp; Blackburn, R. (2024) ‘Cumulative incidence of chronic health conditions recorded in hospital inpatient admissions from birth to age 16 in England’, </w:t>
      </w:r>
      <w:r w:rsidRPr="5FF0A1E2" w:rsidR="4B8FF233">
        <w:rPr>
          <w:rFonts w:ascii="Arial" w:hAnsi="Arial" w:eastAsia="Arial" w:cs="Arial"/>
          <w:i w:val="1"/>
          <w:iCs w:val="1"/>
          <w:noProof w:val="0"/>
          <w:sz w:val="22"/>
          <w:szCs w:val="22"/>
          <w:lang w:val="en-GB"/>
        </w:rPr>
        <w:t>International Journal of Epidemiology</w:t>
      </w:r>
      <w:r w:rsidRPr="5FF0A1E2" w:rsidR="4B8FF233">
        <w:rPr>
          <w:rFonts w:ascii="Arial" w:hAnsi="Arial" w:eastAsia="Arial" w:cs="Arial"/>
          <w:noProof w:val="0"/>
          <w:sz w:val="22"/>
          <w:szCs w:val="22"/>
          <w:lang w:val="en-GB"/>
        </w:rPr>
        <w:t xml:space="preserve">, 53(5), dyae138. </w:t>
      </w:r>
      <w:hyperlink r:id="R59d94f880b4a43e4">
        <w:r w:rsidRPr="5FF0A1E2" w:rsidR="4B8FF233">
          <w:rPr>
            <w:rStyle w:val="Hyperlink"/>
            <w:rFonts w:ascii="Arial" w:hAnsi="Arial" w:eastAsia="Arial" w:cs="Arial"/>
            <w:noProof w:val="0"/>
            <w:sz w:val="22"/>
            <w:szCs w:val="22"/>
            <w:lang w:val="en-GB"/>
          </w:rPr>
          <w:t>https://academic.oup.com/ije/article/53/5/dyae138/7817870</w:t>
        </w:r>
      </w:hyperlink>
      <w:r w:rsidRPr="5FF0A1E2" w:rsidR="4B8FF233">
        <w:rPr>
          <w:rFonts w:ascii="Arial" w:hAnsi="Arial" w:eastAsia="Arial" w:cs="Arial"/>
          <w:noProof w:val="0"/>
          <w:sz w:val="22"/>
          <w:szCs w:val="22"/>
          <w:lang w:val="en-GB"/>
        </w:rPr>
        <w:t xml:space="preserve"> </w:t>
      </w:r>
    </w:p>
    <w:p w:rsidR="00621776" w:rsidP="5FF0A1E2" w:rsidRDefault="00621776" w14:paraId="7F964D73" w14:textId="6AC5C67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Jay, M.A., Herlitz, L., Deighton, J., Gilbert, </w:t>
      </w:r>
      <w:r w:rsidRPr="5FF0A1E2" w:rsidR="4B8FF233">
        <w:rPr>
          <w:rFonts w:ascii="Arial" w:hAnsi="Arial" w:eastAsia="Arial" w:cs="Arial"/>
          <w:noProof w:val="0"/>
          <w:sz w:val="22"/>
          <w:szCs w:val="22"/>
          <w:lang w:val="en-GB"/>
        </w:rPr>
        <w:t>R.</w:t>
      </w:r>
      <w:r w:rsidRPr="5FF0A1E2" w:rsidR="4B8FF233">
        <w:rPr>
          <w:rFonts w:ascii="Arial" w:hAnsi="Arial" w:eastAsia="Arial" w:cs="Arial"/>
          <w:noProof w:val="0"/>
          <w:sz w:val="22"/>
          <w:szCs w:val="22"/>
          <w:lang w:val="en-GB"/>
        </w:rPr>
        <w:t xml:space="preserve"> and Blackburn, R. (2024). Cumulative incidence of chronic health conditions recorded in hospital inpatient admissions from birth to age 16 in England</w:t>
      </w:r>
      <w:r w:rsidRPr="5FF0A1E2" w:rsidR="4B8FF233">
        <w:rPr>
          <w:rFonts w:ascii="Arial" w:hAnsi="Arial" w:eastAsia="Arial" w:cs="Arial"/>
          <w:i w:val="1"/>
          <w:iCs w:val="1"/>
          <w:noProof w:val="0"/>
          <w:sz w:val="22"/>
          <w:szCs w:val="22"/>
          <w:lang w:val="en-GB"/>
        </w:rPr>
        <w:t>. International Journal of Epidemiology</w:t>
      </w:r>
      <w:r w:rsidRPr="5FF0A1E2" w:rsidR="4B8FF233">
        <w:rPr>
          <w:rFonts w:ascii="Arial" w:hAnsi="Arial" w:eastAsia="Arial" w:cs="Arial"/>
          <w:noProof w:val="0"/>
          <w:sz w:val="22"/>
          <w:szCs w:val="22"/>
          <w:lang w:val="en-GB"/>
        </w:rPr>
        <w:t xml:space="preserve">, 53(5). </w:t>
      </w:r>
      <w:r w:rsidRPr="5FF0A1E2" w:rsidR="4B8FF233">
        <w:rPr>
          <w:rFonts w:ascii="Arial" w:hAnsi="Arial" w:eastAsia="Arial" w:cs="Arial"/>
          <w:noProof w:val="0"/>
          <w:sz w:val="22"/>
          <w:szCs w:val="22"/>
          <w:lang w:val="en-GB"/>
        </w:rPr>
        <w:t>doi:https</w:t>
      </w:r>
      <w:r w:rsidRPr="5FF0A1E2" w:rsidR="4B8FF233">
        <w:rPr>
          <w:rFonts w:ascii="Arial" w:hAnsi="Arial" w:eastAsia="Arial" w:cs="Arial"/>
          <w:noProof w:val="0"/>
          <w:sz w:val="22"/>
          <w:szCs w:val="22"/>
          <w:lang w:val="en-GB"/>
        </w:rPr>
        <w:t>://doi.org/10.1093/</w:t>
      </w:r>
      <w:r w:rsidRPr="5FF0A1E2" w:rsidR="4B8FF233">
        <w:rPr>
          <w:rFonts w:ascii="Arial" w:hAnsi="Arial" w:eastAsia="Arial" w:cs="Arial"/>
          <w:noProof w:val="0"/>
          <w:sz w:val="22"/>
          <w:szCs w:val="22"/>
          <w:lang w:val="en-GB"/>
        </w:rPr>
        <w:t>ije</w:t>
      </w:r>
      <w:r w:rsidRPr="5FF0A1E2" w:rsidR="4B8FF233">
        <w:rPr>
          <w:rFonts w:ascii="Arial" w:hAnsi="Arial" w:eastAsia="Arial" w:cs="Arial"/>
          <w:noProof w:val="0"/>
          <w:sz w:val="22"/>
          <w:szCs w:val="22"/>
          <w:lang w:val="en-GB"/>
        </w:rPr>
        <w:t xml:space="preserve">/dyae138  </w:t>
      </w:r>
    </w:p>
    <w:p w:rsidR="00621776" w:rsidP="5FF0A1E2" w:rsidRDefault="00621776" w14:paraId="35686FCC" w14:textId="3E7C4E3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Jesson, J. &amp; Lacey, F. (2020) </w:t>
      </w:r>
      <w:r w:rsidRPr="5FF0A1E2" w:rsidR="4B8FF233">
        <w:rPr>
          <w:rFonts w:ascii="Arial" w:hAnsi="Arial" w:eastAsia="Arial" w:cs="Arial"/>
          <w:i w:val="1"/>
          <w:iCs w:val="1"/>
          <w:noProof w:val="0"/>
          <w:sz w:val="22"/>
          <w:szCs w:val="22"/>
          <w:lang w:val="en-GB"/>
        </w:rPr>
        <w:t>How to do a Literature Review in Health and Social Care</w:t>
      </w:r>
      <w:r w:rsidRPr="5FF0A1E2" w:rsidR="4B8FF233">
        <w:rPr>
          <w:rFonts w:ascii="Arial" w:hAnsi="Arial" w:eastAsia="Arial" w:cs="Arial"/>
          <w:noProof w:val="0"/>
          <w:sz w:val="22"/>
          <w:szCs w:val="22"/>
          <w:lang w:val="en-GB"/>
        </w:rPr>
        <w:t xml:space="preserve">. 2nd </w:t>
      </w:r>
      <w:r w:rsidRPr="5FF0A1E2" w:rsidR="4B8FF233">
        <w:rPr>
          <w:rFonts w:ascii="Arial" w:hAnsi="Arial" w:eastAsia="Arial" w:cs="Arial"/>
          <w:noProof w:val="0"/>
          <w:sz w:val="22"/>
          <w:szCs w:val="22"/>
          <w:lang w:val="en-GB"/>
        </w:rPr>
        <w:t>edn</w:t>
      </w:r>
      <w:r w:rsidRPr="5FF0A1E2" w:rsidR="4B8FF233">
        <w:rPr>
          <w:rFonts w:ascii="Arial" w:hAnsi="Arial" w:eastAsia="Arial" w:cs="Arial"/>
          <w:noProof w:val="0"/>
          <w:sz w:val="22"/>
          <w:szCs w:val="22"/>
          <w:lang w:val="en-GB"/>
        </w:rPr>
        <w:t>. London: Sage</w:t>
      </w:r>
      <w:r w:rsidRPr="5FF0A1E2" w:rsidR="4B8FF233">
        <w:rPr>
          <w:rFonts w:ascii="Arial" w:hAnsi="Arial" w:eastAsia="Arial" w:cs="Arial"/>
          <w:noProof w:val="0"/>
          <w:sz w:val="22"/>
          <w:szCs w:val="22"/>
          <w:lang w:val="en-GB"/>
        </w:rPr>
        <w:t xml:space="preserve">.  </w:t>
      </w:r>
    </w:p>
    <w:p w:rsidR="00621776" w:rsidP="5FF0A1E2" w:rsidRDefault="00621776" w14:paraId="0B670186" w14:textId="3178FE8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Lambert, K. (2021) </w:t>
      </w:r>
      <w:r w:rsidRPr="5FF0A1E2" w:rsidR="4B8FF233">
        <w:rPr>
          <w:rFonts w:ascii="Arial" w:hAnsi="Arial" w:eastAsia="Arial" w:cs="Arial"/>
          <w:i w:val="1"/>
          <w:iCs w:val="1"/>
          <w:noProof w:val="0"/>
          <w:sz w:val="22"/>
          <w:szCs w:val="22"/>
          <w:lang w:val="en-GB"/>
        </w:rPr>
        <w:t>‘Hospital and home tuition services in England</w:t>
      </w:r>
      <w:r w:rsidRPr="5FF0A1E2" w:rsidR="4B8FF233">
        <w:rPr>
          <w:rFonts w:ascii="Arial" w:hAnsi="Arial" w:eastAsia="Arial" w:cs="Arial"/>
          <w:noProof w:val="0"/>
          <w:sz w:val="22"/>
          <w:szCs w:val="22"/>
          <w:lang w:val="en-GB"/>
        </w:rPr>
        <w:t>: Variability and challenges’, British Journal of Special Education, 48(2), pp. 243–257</w:t>
      </w:r>
      <w:r w:rsidRPr="5FF0A1E2" w:rsidR="4B8FF233">
        <w:rPr>
          <w:rFonts w:ascii="Arial" w:hAnsi="Arial" w:eastAsia="Arial" w:cs="Arial"/>
          <w:noProof w:val="0"/>
          <w:sz w:val="22"/>
          <w:szCs w:val="22"/>
          <w:lang w:val="en-GB"/>
        </w:rPr>
        <w:t xml:space="preserve">.  </w:t>
      </w:r>
      <w:r w:rsidRPr="5FF0A1E2" w:rsidR="4B8FF233">
        <w:rPr>
          <w:rFonts w:ascii="Arial" w:hAnsi="Arial" w:eastAsia="Arial" w:cs="Arial"/>
          <w:noProof w:val="0"/>
          <w:sz w:val="22"/>
          <w:szCs w:val="22"/>
          <w:lang w:val="en-GB"/>
        </w:rPr>
        <w:t xml:space="preserve"> </w:t>
      </w:r>
    </w:p>
    <w:p w:rsidR="00621776" w:rsidP="5FF0A1E2" w:rsidRDefault="00621776" w14:paraId="6A5CB8E4" w14:textId="2265095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Long, R. &amp; Gulliford, A. (2023) ‘Chronic illness and inclusive education in the UK: Current issues and future directions’, </w:t>
      </w:r>
      <w:r w:rsidRPr="5FF0A1E2" w:rsidR="4B8FF233">
        <w:rPr>
          <w:rFonts w:ascii="Arial" w:hAnsi="Arial" w:eastAsia="Arial" w:cs="Arial"/>
          <w:i w:val="1"/>
          <w:iCs w:val="1"/>
          <w:noProof w:val="0"/>
          <w:sz w:val="22"/>
          <w:szCs w:val="22"/>
          <w:lang w:val="en-GB"/>
        </w:rPr>
        <w:t>Journal of Research in Special Educational Needs</w:t>
      </w:r>
      <w:r w:rsidRPr="5FF0A1E2" w:rsidR="4B8FF233">
        <w:rPr>
          <w:rFonts w:ascii="Arial" w:hAnsi="Arial" w:eastAsia="Arial" w:cs="Arial"/>
          <w:noProof w:val="0"/>
          <w:sz w:val="22"/>
          <w:szCs w:val="22"/>
          <w:lang w:val="en-GB"/>
        </w:rPr>
        <w:t>, 23(1), pp. 34–45</w:t>
      </w:r>
      <w:r w:rsidRPr="5FF0A1E2" w:rsidR="4B8FF233">
        <w:rPr>
          <w:rFonts w:ascii="Arial" w:hAnsi="Arial" w:eastAsia="Arial" w:cs="Arial"/>
          <w:noProof w:val="0"/>
          <w:sz w:val="22"/>
          <w:szCs w:val="22"/>
          <w:lang w:val="en-GB"/>
        </w:rPr>
        <w:t xml:space="preserve">.  </w:t>
      </w:r>
    </w:p>
    <w:p w:rsidR="00621776" w:rsidP="5FF0A1E2" w:rsidRDefault="00621776" w14:paraId="578F4485" w14:textId="5A399620">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Lum, A., Wakefield, C.E., Donnan, B., Burns, M.A. &amp; Fardell, J.E. (2017) </w:t>
      </w:r>
      <w:r w:rsidRPr="5FF0A1E2" w:rsidR="4B8FF233">
        <w:rPr>
          <w:rFonts w:ascii="Arial" w:hAnsi="Arial" w:eastAsia="Arial" w:cs="Arial"/>
          <w:i w:val="1"/>
          <w:iCs w:val="1"/>
          <w:noProof w:val="0"/>
          <w:sz w:val="22"/>
          <w:szCs w:val="22"/>
          <w:lang w:val="en-GB"/>
        </w:rPr>
        <w:t>‘Understanding the school experiences of children and adolescents with serious chronic illness: a systematic meta-review</w:t>
      </w:r>
      <w:r w:rsidRPr="5FF0A1E2" w:rsidR="4B8FF233">
        <w:rPr>
          <w:rFonts w:ascii="Arial" w:hAnsi="Arial" w:eastAsia="Arial" w:cs="Arial"/>
          <w:noProof w:val="0"/>
          <w:sz w:val="22"/>
          <w:szCs w:val="22"/>
          <w:lang w:val="en-GB"/>
        </w:rPr>
        <w:t xml:space="preserve">’, Child: Care, </w:t>
      </w:r>
      <w:r w:rsidRPr="5FF0A1E2" w:rsidR="4B8FF233">
        <w:rPr>
          <w:rFonts w:ascii="Arial" w:hAnsi="Arial" w:eastAsia="Arial" w:cs="Arial"/>
          <w:noProof w:val="0"/>
          <w:sz w:val="22"/>
          <w:szCs w:val="22"/>
          <w:lang w:val="en-GB"/>
        </w:rPr>
        <w:t>Health</w:t>
      </w:r>
      <w:r w:rsidRPr="5FF0A1E2" w:rsidR="4B8FF233">
        <w:rPr>
          <w:rFonts w:ascii="Arial" w:hAnsi="Arial" w:eastAsia="Arial" w:cs="Arial"/>
          <w:noProof w:val="0"/>
          <w:sz w:val="22"/>
          <w:szCs w:val="22"/>
          <w:lang w:val="en-GB"/>
        </w:rPr>
        <w:t xml:space="preserve"> and Development, 43(5), pp. 645–662. </w:t>
      </w:r>
      <w:hyperlink r:id="Rd2ef76aa52414466">
        <w:r w:rsidRPr="5FF0A1E2" w:rsidR="4B8FF233">
          <w:rPr>
            <w:rStyle w:val="Hyperlink"/>
            <w:rFonts w:ascii="Arial" w:hAnsi="Arial" w:eastAsia="Arial" w:cs="Arial"/>
            <w:noProof w:val="0"/>
            <w:sz w:val="22"/>
            <w:szCs w:val="22"/>
            <w:lang w:val="en-GB"/>
          </w:rPr>
          <w:t>https://onlinelibrary.wiley.com/doi/10.1111/cch.12475</w:t>
        </w:r>
      </w:hyperlink>
      <w:r w:rsidRPr="5FF0A1E2" w:rsidR="4B8FF233">
        <w:rPr>
          <w:rFonts w:ascii="Arial" w:hAnsi="Arial" w:eastAsia="Arial" w:cs="Arial"/>
          <w:noProof w:val="0"/>
          <w:sz w:val="22"/>
          <w:szCs w:val="22"/>
          <w:lang w:val="en-GB"/>
        </w:rPr>
        <w:t xml:space="preserve"> </w:t>
      </w:r>
    </w:p>
    <w:p w:rsidR="00621776" w:rsidP="5FF0A1E2" w:rsidRDefault="00621776" w14:paraId="23A4031F" w14:textId="65428847">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Lum, A., Wakefield, E. and Donnan, B. (2021) ‘Educational outcomes in children with chronic illness’, </w:t>
      </w:r>
      <w:r w:rsidRPr="5FF0A1E2" w:rsidR="4B8FF233">
        <w:rPr>
          <w:rFonts w:ascii="Arial" w:hAnsi="Arial" w:eastAsia="Arial" w:cs="Arial"/>
          <w:i w:val="1"/>
          <w:iCs w:val="1"/>
          <w:noProof w:val="0"/>
          <w:sz w:val="22"/>
          <w:szCs w:val="22"/>
          <w:lang w:val="en-GB"/>
        </w:rPr>
        <w:t>Journal of School Health</w:t>
      </w:r>
      <w:r w:rsidRPr="5FF0A1E2" w:rsidR="4B8FF233">
        <w:rPr>
          <w:rFonts w:ascii="Arial" w:hAnsi="Arial" w:eastAsia="Arial" w:cs="Arial"/>
          <w:noProof w:val="0"/>
          <w:sz w:val="22"/>
          <w:szCs w:val="22"/>
          <w:lang w:val="en-GB"/>
        </w:rPr>
        <w:t>, 91(1), pp. 50–58</w:t>
      </w:r>
      <w:r w:rsidRPr="5FF0A1E2" w:rsidR="4B8FF233">
        <w:rPr>
          <w:rFonts w:ascii="Arial" w:hAnsi="Arial" w:eastAsia="Arial" w:cs="Arial"/>
          <w:noProof w:val="0"/>
          <w:sz w:val="22"/>
          <w:szCs w:val="22"/>
          <w:lang w:val="en-GB"/>
        </w:rPr>
        <w:t xml:space="preserve">.  </w:t>
      </w:r>
    </w:p>
    <w:p w:rsidR="00621776" w:rsidP="5FF0A1E2" w:rsidRDefault="00621776" w14:paraId="09914A34" w14:textId="189C796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Mascheroni</w:t>
      </w:r>
      <w:r w:rsidRPr="5FF0A1E2" w:rsidR="4B8FF233">
        <w:rPr>
          <w:rFonts w:ascii="Arial" w:hAnsi="Arial" w:eastAsia="Arial" w:cs="Arial"/>
          <w:noProof w:val="0"/>
          <w:sz w:val="22"/>
          <w:szCs w:val="22"/>
          <w:lang w:val="en-GB"/>
        </w:rPr>
        <w:t xml:space="preserve">, G., Ponte, </w:t>
      </w:r>
      <w:r w:rsidRPr="5FF0A1E2" w:rsidR="4B8FF233">
        <w:rPr>
          <w:rFonts w:ascii="Arial" w:hAnsi="Arial" w:eastAsia="Arial" w:cs="Arial"/>
          <w:noProof w:val="0"/>
          <w:sz w:val="22"/>
          <w:szCs w:val="22"/>
          <w:lang w:val="en-GB"/>
        </w:rPr>
        <w:t>C.</w:t>
      </w:r>
      <w:r w:rsidRPr="5FF0A1E2" w:rsidR="4B8FF233">
        <w:rPr>
          <w:rFonts w:ascii="Arial" w:hAnsi="Arial" w:eastAsia="Arial" w:cs="Arial"/>
          <w:noProof w:val="0"/>
          <w:sz w:val="22"/>
          <w:szCs w:val="22"/>
          <w:lang w:val="en-GB"/>
        </w:rPr>
        <w:t xml:space="preserve"> and Vincent, J. (2023) Digital Wellbeing: Navigating Life Online. Palgrave Macmillan</w:t>
      </w:r>
      <w:r w:rsidRPr="5FF0A1E2" w:rsidR="4B8FF233">
        <w:rPr>
          <w:rFonts w:ascii="Arial" w:hAnsi="Arial" w:eastAsia="Arial" w:cs="Arial"/>
          <w:noProof w:val="0"/>
          <w:sz w:val="22"/>
          <w:szCs w:val="22"/>
          <w:lang w:val="en-GB"/>
        </w:rPr>
        <w:t xml:space="preserve">.  </w:t>
      </w:r>
    </w:p>
    <w:p w:rsidR="00621776" w:rsidP="5FF0A1E2" w:rsidRDefault="00621776" w14:paraId="4A212E4D" w14:textId="5436E940">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Meier, A. and Reinecke, L. (2021) ‘</w:t>
      </w:r>
      <w:r w:rsidRPr="5FF0A1E2" w:rsidR="4B8FF233">
        <w:rPr>
          <w:rFonts w:ascii="Arial" w:hAnsi="Arial" w:eastAsia="Arial" w:cs="Arial"/>
          <w:i w:val="1"/>
          <w:iCs w:val="1"/>
          <w:noProof w:val="0"/>
          <w:sz w:val="22"/>
          <w:szCs w:val="22"/>
          <w:lang w:val="en-GB"/>
        </w:rPr>
        <w:t>Social media and wellbeing</w:t>
      </w:r>
      <w:r w:rsidRPr="5FF0A1E2" w:rsidR="4B8FF233">
        <w:rPr>
          <w:rFonts w:ascii="Arial" w:hAnsi="Arial" w:eastAsia="Arial" w:cs="Arial"/>
          <w:noProof w:val="0"/>
          <w:sz w:val="22"/>
          <w:szCs w:val="22"/>
          <w:lang w:val="en-GB"/>
        </w:rPr>
        <w:t>: A meta-analysis’, Human Communication Research, 47(2), pp. 1–28</w:t>
      </w:r>
      <w:r w:rsidRPr="5FF0A1E2" w:rsidR="4B8FF233">
        <w:rPr>
          <w:rFonts w:ascii="Arial" w:hAnsi="Arial" w:eastAsia="Arial" w:cs="Arial"/>
          <w:noProof w:val="0"/>
          <w:sz w:val="22"/>
          <w:szCs w:val="22"/>
          <w:lang w:val="en-GB"/>
        </w:rPr>
        <w:t xml:space="preserve">.  </w:t>
      </w:r>
    </w:p>
    <w:p w:rsidR="00621776" w:rsidP="5FF0A1E2" w:rsidRDefault="00621776" w14:paraId="03021B2C" w14:textId="6AC89E9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Meier, </w:t>
      </w:r>
      <w:r w:rsidRPr="5FF0A1E2" w:rsidR="4B8FF233">
        <w:rPr>
          <w:rFonts w:ascii="Arial" w:hAnsi="Arial" w:eastAsia="Arial" w:cs="Arial"/>
          <w:noProof w:val="0"/>
          <w:sz w:val="22"/>
          <w:szCs w:val="22"/>
          <w:lang w:val="en-GB"/>
        </w:rPr>
        <w:t>A.</w:t>
      </w:r>
      <w:r w:rsidRPr="5FF0A1E2" w:rsidR="4B8FF233">
        <w:rPr>
          <w:rFonts w:ascii="Arial" w:hAnsi="Arial" w:eastAsia="Arial" w:cs="Arial"/>
          <w:noProof w:val="0"/>
          <w:sz w:val="22"/>
          <w:szCs w:val="22"/>
          <w:lang w:val="en-GB"/>
        </w:rPr>
        <w:t xml:space="preserve"> and Schäfer, S. (2022) ‘</w:t>
      </w:r>
      <w:r w:rsidRPr="5FF0A1E2" w:rsidR="4B8FF233">
        <w:rPr>
          <w:rFonts w:ascii="Arial" w:hAnsi="Arial" w:eastAsia="Arial" w:cs="Arial"/>
          <w:i w:val="1"/>
          <w:iCs w:val="1"/>
          <w:noProof w:val="0"/>
          <w:sz w:val="22"/>
          <w:szCs w:val="22"/>
          <w:lang w:val="en-GB"/>
        </w:rPr>
        <w:t>Digitalisation and mental health during the pandemic</w:t>
      </w:r>
      <w:r w:rsidRPr="5FF0A1E2" w:rsidR="4B8FF233">
        <w:rPr>
          <w:rFonts w:ascii="Arial" w:hAnsi="Arial" w:eastAsia="Arial" w:cs="Arial"/>
          <w:noProof w:val="0"/>
          <w:sz w:val="22"/>
          <w:szCs w:val="22"/>
          <w:lang w:val="en-GB"/>
        </w:rPr>
        <w:t>’, PLOS ONE, 17(4), pp. 1–16</w:t>
      </w:r>
      <w:r w:rsidRPr="5FF0A1E2" w:rsidR="4B8FF233">
        <w:rPr>
          <w:rFonts w:ascii="Arial" w:hAnsi="Arial" w:eastAsia="Arial" w:cs="Arial"/>
          <w:noProof w:val="0"/>
          <w:sz w:val="22"/>
          <w:szCs w:val="22"/>
          <w:lang w:val="en-GB"/>
        </w:rPr>
        <w:t xml:space="preserve">.  </w:t>
      </w:r>
    </w:p>
    <w:p w:rsidR="00621776" w:rsidP="5FF0A1E2" w:rsidRDefault="00621776" w14:paraId="05220395" w14:textId="7D82D32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Melo, E., Silva, C. and Martins, A. (2020) ‘Inclusive education for students with chronic diseases’,</w:t>
      </w:r>
      <w:r w:rsidRPr="5FF0A1E2" w:rsidR="4B8FF233">
        <w:rPr>
          <w:rFonts w:ascii="Arial" w:hAnsi="Arial" w:eastAsia="Arial" w:cs="Arial"/>
          <w:i w:val="1"/>
          <w:iCs w:val="1"/>
          <w:noProof w:val="0"/>
          <w:sz w:val="22"/>
          <w:szCs w:val="22"/>
          <w:lang w:val="en-GB"/>
        </w:rPr>
        <w:t xml:space="preserve"> International Journal of Inclusive Education</w:t>
      </w:r>
      <w:r w:rsidRPr="5FF0A1E2" w:rsidR="4B8FF233">
        <w:rPr>
          <w:rFonts w:ascii="Arial" w:hAnsi="Arial" w:eastAsia="Arial" w:cs="Arial"/>
          <w:noProof w:val="0"/>
          <w:sz w:val="22"/>
          <w:szCs w:val="22"/>
          <w:lang w:val="en-GB"/>
        </w:rPr>
        <w:t>, 24(7), pp. 755–770</w:t>
      </w:r>
      <w:r w:rsidRPr="5FF0A1E2" w:rsidR="4B8FF233">
        <w:rPr>
          <w:rFonts w:ascii="Arial" w:hAnsi="Arial" w:eastAsia="Arial" w:cs="Arial"/>
          <w:noProof w:val="0"/>
          <w:sz w:val="22"/>
          <w:szCs w:val="22"/>
          <w:lang w:val="en-GB"/>
        </w:rPr>
        <w:t xml:space="preserve">.  </w:t>
      </w:r>
    </w:p>
    <w:p w:rsidR="00621776" w:rsidP="5FF0A1E2" w:rsidRDefault="00621776" w14:paraId="1A33DA02" w14:textId="2E4B569C">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Menzies, V. &amp; Wood, S. (2022) ‘</w:t>
      </w:r>
      <w:r w:rsidRPr="5FF0A1E2" w:rsidR="4B8FF233">
        <w:rPr>
          <w:rFonts w:ascii="Arial" w:hAnsi="Arial" w:eastAsia="Arial" w:cs="Arial"/>
          <w:i w:val="1"/>
          <w:iCs w:val="1"/>
          <w:noProof w:val="0"/>
          <w:sz w:val="22"/>
          <w:szCs w:val="22"/>
          <w:lang w:val="en-GB"/>
        </w:rPr>
        <w:t>Attendance policies and chronic illness</w:t>
      </w:r>
      <w:r w:rsidRPr="5FF0A1E2" w:rsidR="4B8FF233">
        <w:rPr>
          <w:rFonts w:ascii="Arial" w:hAnsi="Arial" w:eastAsia="Arial" w:cs="Arial"/>
          <w:noProof w:val="0"/>
          <w:sz w:val="22"/>
          <w:szCs w:val="22"/>
          <w:lang w:val="en-GB"/>
        </w:rPr>
        <w:t>: A critical analysis’, Education Policy Analysis Archives, 30(87), pp. 1–18</w:t>
      </w:r>
      <w:r w:rsidRPr="5FF0A1E2" w:rsidR="4B8FF233">
        <w:rPr>
          <w:rFonts w:ascii="Arial" w:hAnsi="Arial" w:eastAsia="Arial" w:cs="Arial"/>
          <w:noProof w:val="0"/>
          <w:sz w:val="22"/>
          <w:szCs w:val="22"/>
          <w:lang w:val="en-GB"/>
        </w:rPr>
        <w:t xml:space="preserve">.  </w:t>
      </w:r>
    </w:p>
    <w:p w:rsidR="00621776" w:rsidP="5FF0A1E2" w:rsidRDefault="00621776" w14:paraId="08694E8C" w14:textId="1473679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Michaud, P.A., Suris, J.C. &amp; Viner, R. (2004/2018 citation variations) ‘The adolescent with a chronic condition: epidemiology, developmental issues and health care provision’, </w:t>
      </w:r>
      <w:r w:rsidRPr="5FF0A1E2" w:rsidR="4B8FF233">
        <w:rPr>
          <w:rFonts w:ascii="Arial" w:hAnsi="Arial" w:eastAsia="Arial" w:cs="Arial"/>
          <w:i w:val="1"/>
          <w:iCs w:val="1"/>
          <w:noProof w:val="0"/>
          <w:sz w:val="22"/>
          <w:szCs w:val="22"/>
          <w:lang w:val="en-GB"/>
        </w:rPr>
        <w:t>The Lancet</w:t>
      </w:r>
      <w:r w:rsidRPr="5FF0A1E2" w:rsidR="4B8FF233">
        <w:rPr>
          <w:rFonts w:ascii="Arial" w:hAnsi="Arial" w:eastAsia="Arial" w:cs="Arial"/>
          <w:noProof w:val="0"/>
          <w:sz w:val="22"/>
          <w:szCs w:val="22"/>
          <w:lang w:val="en-GB"/>
        </w:rPr>
        <w:t xml:space="preserve"> (reviewed across years). — Classic WHO/Arch/ Lancet pieces: Part I (developmental issues) is available: </w:t>
      </w:r>
      <w:hyperlink r:id="R00ec5f3692584614">
        <w:r w:rsidRPr="5FF0A1E2" w:rsidR="4B8FF233">
          <w:rPr>
            <w:rStyle w:val="Hyperlink"/>
            <w:rFonts w:ascii="Arial" w:hAnsi="Arial" w:eastAsia="Arial" w:cs="Arial"/>
            <w:noProof w:val="0"/>
            <w:sz w:val="22"/>
            <w:szCs w:val="22"/>
            <w:lang w:val="en-GB"/>
          </w:rPr>
          <w:t>https://www.ncbi.nlm.nih.gov/pmc/articles/PMC1719685/</w:t>
        </w:r>
      </w:hyperlink>
      <w:r w:rsidRPr="5FF0A1E2" w:rsidR="4B8FF233">
        <w:rPr>
          <w:rFonts w:ascii="Arial" w:hAnsi="Arial" w:eastAsia="Arial" w:cs="Arial"/>
          <w:noProof w:val="0"/>
          <w:sz w:val="22"/>
          <w:szCs w:val="22"/>
          <w:lang w:val="en-GB"/>
        </w:rPr>
        <w:t xml:space="preserve"> </w:t>
      </w:r>
    </w:p>
    <w:p w:rsidR="00621776" w:rsidP="5FF0A1E2" w:rsidRDefault="00621776" w14:paraId="37BED90B" w14:textId="4612FFC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Morgan, P. (2019) </w:t>
      </w:r>
      <w:r w:rsidRPr="5FF0A1E2" w:rsidR="4B8FF233">
        <w:rPr>
          <w:rFonts w:ascii="Arial" w:hAnsi="Arial" w:eastAsia="Arial" w:cs="Arial"/>
          <w:i w:val="1"/>
          <w:iCs w:val="1"/>
          <w:noProof w:val="0"/>
          <w:sz w:val="22"/>
          <w:szCs w:val="22"/>
          <w:lang w:val="en-GB"/>
        </w:rPr>
        <w:t>Research Methods in Education and Health</w:t>
      </w:r>
      <w:r w:rsidRPr="5FF0A1E2" w:rsidR="4B8FF233">
        <w:rPr>
          <w:rFonts w:ascii="Arial" w:hAnsi="Arial" w:eastAsia="Arial" w:cs="Arial"/>
          <w:noProof w:val="0"/>
          <w:sz w:val="22"/>
          <w:szCs w:val="22"/>
          <w:lang w:val="en-GB"/>
        </w:rPr>
        <w:t>. London: Sage</w:t>
      </w:r>
      <w:r w:rsidRPr="5FF0A1E2" w:rsidR="4B8FF233">
        <w:rPr>
          <w:rFonts w:ascii="Arial" w:hAnsi="Arial" w:eastAsia="Arial" w:cs="Arial"/>
          <w:noProof w:val="0"/>
          <w:sz w:val="22"/>
          <w:szCs w:val="22"/>
          <w:lang w:val="en-GB"/>
        </w:rPr>
        <w:t xml:space="preserve">.  </w:t>
      </w:r>
    </w:p>
    <w:p w:rsidR="00621776" w:rsidP="5FF0A1E2" w:rsidRDefault="00621776" w14:paraId="7A6E3881" w14:textId="16C7EDEC">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Nadler, R. (2020) ‘</w:t>
      </w:r>
      <w:r w:rsidRPr="5FF0A1E2" w:rsidR="4B8FF233">
        <w:rPr>
          <w:rFonts w:ascii="Arial" w:hAnsi="Arial" w:eastAsia="Arial" w:cs="Arial"/>
          <w:i w:val="1"/>
          <w:iCs w:val="1"/>
          <w:noProof w:val="0"/>
          <w:sz w:val="22"/>
          <w:szCs w:val="22"/>
          <w:lang w:val="en-GB"/>
        </w:rPr>
        <w:t>Understanding digital fatigue in education’</w:t>
      </w:r>
      <w:r w:rsidRPr="5FF0A1E2" w:rsidR="4B8FF233">
        <w:rPr>
          <w:rFonts w:ascii="Arial" w:hAnsi="Arial" w:eastAsia="Arial" w:cs="Arial"/>
          <w:noProof w:val="0"/>
          <w:sz w:val="22"/>
          <w:szCs w:val="22"/>
          <w:lang w:val="en-GB"/>
        </w:rPr>
        <w:t>, Computers &amp; Education, 159, pp. 1–9</w:t>
      </w:r>
      <w:r w:rsidRPr="5FF0A1E2" w:rsidR="4B8FF233">
        <w:rPr>
          <w:rFonts w:ascii="Arial" w:hAnsi="Arial" w:eastAsia="Arial" w:cs="Arial"/>
          <w:noProof w:val="0"/>
          <w:sz w:val="22"/>
          <w:szCs w:val="22"/>
          <w:lang w:val="en-GB"/>
        </w:rPr>
        <w:t xml:space="preserve">.  </w:t>
      </w:r>
    </w:p>
    <w:p w:rsidR="00621776" w:rsidP="5FF0A1E2" w:rsidRDefault="00621776" w14:paraId="53CA8A60" w14:textId="4C6C693C">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NHS England (2020) </w:t>
      </w:r>
      <w:r w:rsidRPr="5FF0A1E2" w:rsidR="4B8FF233">
        <w:rPr>
          <w:rFonts w:ascii="Arial" w:hAnsi="Arial" w:eastAsia="Arial" w:cs="Arial"/>
          <w:i w:val="1"/>
          <w:iCs w:val="1"/>
          <w:noProof w:val="0"/>
          <w:sz w:val="22"/>
          <w:szCs w:val="22"/>
          <w:lang w:val="en-GB"/>
        </w:rPr>
        <w:t>Children and Young People’s Community Health Services Review.</w:t>
      </w:r>
      <w:r w:rsidRPr="5FF0A1E2" w:rsidR="4B8FF233">
        <w:rPr>
          <w:rFonts w:ascii="Arial" w:hAnsi="Arial" w:eastAsia="Arial" w:cs="Arial"/>
          <w:noProof w:val="0"/>
          <w:sz w:val="22"/>
          <w:szCs w:val="22"/>
          <w:lang w:val="en-GB"/>
        </w:rPr>
        <w:t xml:space="preserve"> — NHS England publications: </w:t>
      </w:r>
      <w:hyperlink r:id="Rf141a9f2f8414c99">
        <w:r w:rsidRPr="5FF0A1E2" w:rsidR="4B8FF233">
          <w:rPr>
            <w:rStyle w:val="Hyperlink"/>
            <w:rFonts w:ascii="Arial" w:hAnsi="Arial" w:eastAsia="Arial" w:cs="Arial"/>
            <w:noProof w:val="0"/>
            <w:sz w:val="22"/>
            <w:szCs w:val="22"/>
            <w:lang w:val="en-GB"/>
          </w:rPr>
          <w:t>https://www.england.nhs.uk/commissioning/spec-services/nqf/long-term-conditions/</w:t>
        </w:r>
      </w:hyperlink>
      <w:r w:rsidRPr="5FF0A1E2" w:rsidR="4B8FF233">
        <w:rPr>
          <w:rFonts w:ascii="Arial" w:hAnsi="Arial" w:eastAsia="Arial" w:cs="Arial"/>
          <w:noProof w:val="0"/>
          <w:sz w:val="22"/>
          <w:szCs w:val="22"/>
          <w:lang w:val="en-GB"/>
        </w:rPr>
        <w:t xml:space="preserve"> </w:t>
      </w:r>
    </w:p>
    <w:p w:rsidR="00621776" w:rsidP="5FF0A1E2" w:rsidRDefault="00621776" w14:paraId="3F09B5ED" w14:textId="624B63F5">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NHS England (2020)</w:t>
      </w:r>
      <w:r w:rsidRPr="5FF0A1E2" w:rsidR="4B8FF233">
        <w:rPr>
          <w:rFonts w:ascii="Arial" w:hAnsi="Arial" w:eastAsia="Arial" w:cs="Arial"/>
          <w:i w:val="1"/>
          <w:iCs w:val="1"/>
          <w:noProof w:val="0"/>
          <w:sz w:val="22"/>
          <w:szCs w:val="22"/>
          <w:lang w:val="en-GB"/>
        </w:rPr>
        <w:t xml:space="preserve"> Children and Young People’s Community Health Services</w:t>
      </w:r>
      <w:r w:rsidRPr="5FF0A1E2" w:rsidR="4B8FF233">
        <w:rPr>
          <w:rFonts w:ascii="Arial" w:hAnsi="Arial" w:eastAsia="Arial" w:cs="Arial"/>
          <w:noProof w:val="0"/>
          <w:sz w:val="22"/>
          <w:szCs w:val="22"/>
          <w:lang w:val="en-GB"/>
        </w:rPr>
        <w:t xml:space="preserve"> Review. London: NHS England</w:t>
      </w:r>
      <w:r w:rsidRPr="5FF0A1E2" w:rsidR="4B8FF233">
        <w:rPr>
          <w:rFonts w:ascii="Arial" w:hAnsi="Arial" w:eastAsia="Arial" w:cs="Arial"/>
          <w:noProof w:val="0"/>
          <w:sz w:val="22"/>
          <w:szCs w:val="22"/>
          <w:lang w:val="en-GB"/>
        </w:rPr>
        <w:t xml:space="preserve">.  </w:t>
      </w:r>
    </w:p>
    <w:p w:rsidR="00621776" w:rsidP="5FF0A1E2" w:rsidRDefault="00621776" w14:paraId="6DE9CDAD" w14:textId="75261B1F">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Nichols, A., Thompson, L. &amp; Parker, B. (2023) </w:t>
      </w:r>
      <w:r w:rsidRPr="5FF0A1E2" w:rsidR="4B8FF233">
        <w:rPr>
          <w:rFonts w:ascii="Arial" w:hAnsi="Arial" w:eastAsia="Arial" w:cs="Arial"/>
          <w:i w:val="1"/>
          <w:iCs w:val="1"/>
          <w:noProof w:val="0"/>
          <w:sz w:val="22"/>
          <w:szCs w:val="22"/>
          <w:lang w:val="en-GB"/>
        </w:rPr>
        <w:t>‘Education support services for improving school engagement and academic outcomes for children with chronic health conditions</w:t>
      </w:r>
      <w:r w:rsidRPr="5FF0A1E2" w:rsidR="4B8FF233">
        <w:rPr>
          <w:rFonts w:ascii="Arial" w:hAnsi="Arial" w:eastAsia="Arial" w:cs="Arial"/>
          <w:noProof w:val="0"/>
          <w:sz w:val="22"/>
          <w:szCs w:val="22"/>
          <w:lang w:val="en-GB"/>
        </w:rPr>
        <w:t xml:space="preserve">: a systematic review’, Frontiers in Public Health, 11, article 9907052. </w:t>
      </w:r>
      <w:hyperlink r:id="R1598bd6b54fb475d">
        <w:r w:rsidRPr="5FF0A1E2" w:rsidR="4B8FF233">
          <w:rPr>
            <w:rStyle w:val="Hyperlink"/>
            <w:rFonts w:ascii="Arial" w:hAnsi="Arial" w:eastAsia="Arial" w:cs="Arial"/>
            <w:noProof w:val="0"/>
            <w:sz w:val="22"/>
            <w:szCs w:val="22"/>
            <w:lang w:val="en-GB"/>
          </w:rPr>
          <w:t>https://www.frontiersin.org/articles/10.3389/fpubh.2023.9907052/full</w:t>
        </w:r>
      </w:hyperlink>
      <w:r w:rsidRPr="5FF0A1E2" w:rsidR="4B8FF233">
        <w:rPr>
          <w:rFonts w:ascii="Arial" w:hAnsi="Arial" w:eastAsia="Arial" w:cs="Arial"/>
          <w:noProof w:val="0"/>
          <w:sz w:val="22"/>
          <w:szCs w:val="22"/>
          <w:lang w:val="en-GB"/>
        </w:rPr>
        <w:t xml:space="preserve"> </w:t>
      </w:r>
    </w:p>
    <w:p w:rsidR="00621776" w:rsidP="5FF0A1E2" w:rsidRDefault="00621776" w14:paraId="53259AE0" w14:textId="62F62630">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Norwich, B. (2019) </w:t>
      </w:r>
      <w:r w:rsidRPr="5FF0A1E2" w:rsidR="4B8FF233">
        <w:rPr>
          <w:rFonts w:ascii="Arial" w:hAnsi="Arial" w:eastAsia="Arial" w:cs="Arial"/>
          <w:i w:val="1"/>
          <w:iCs w:val="1"/>
          <w:noProof w:val="0"/>
          <w:sz w:val="22"/>
          <w:szCs w:val="22"/>
          <w:lang w:val="en-GB"/>
        </w:rPr>
        <w:t>Experiencing Special and Inclusive Education</w:t>
      </w:r>
      <w:r w:rsidRPr="5FF0A1E2" w:rsidR="4B8FF233">
        <w:rPr>
          <w:rFonts w:ascii="Arial" w:hAnsi="Arial" w:eastAsia="Arial" w:cs="Arial"/>
          <w:noProof w:val="0"/>
          <w:sz w:val="22"/>
          <w:szCs w:val="22"/>
          <w:lang w:val="en-GB"/>
        </w:rPr>
        <w:t>. London: Bloomsbury</w:t>
      </w:r>
      <w:r w:rsidRPr="5FF0A1E2" w:rsidR="4B8FF233">
        <w:rPr>
          <w:rFonts w:ascii="Arial" w:hAnsi="Arial" w:eastAsia="Arial" w:cs="Arial"/>
          <w:noProof w:val="0"/>
          <w:sz w:val="22"/>
          <w:szCs w:val="22"/>
          <w:lang w:val="en-GB"/>
        </w:rPr>
        <w:t xml:space="preserve">.  </w:t>
      </w:r>
    </w:p>
    <w:p w:rsidR="00621776" w:rsidP="5FF0A1E2" w:rsidRDefault="00621776" w14:paraId="163CCCB4" w14:textId="22455B6A">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Nowell, L.S., Norris, J.M., White, D.E. &amp; Moules, N.J. (2017) ‘</w:t>
      </w:r>
      <w:r w:rsidRPr="5FF0A1E2" w:rsidR="4B8FF233">
        <w:rPr>
          <w:rFonts w:ascii="Arial" w:hAnsi="Arial" w:eastAsia="Arial" w:cs="Arial"/>
          <w:i w:val="1"/>
          <w:iCs w:val="1"/>
          <w:noProof w:val="0"/>
          <w:sz w:val="22"/>
          <w:szCs w:val="22"/>
          <w:lang w:val="en-GB"/>
        </w:rPr>
        <w:t>Thematic analysis: Striving to meet trustworthiness criteria</w:t>
      </w:r>
      <w:r w:rsidRPr="5FF0A1E2" w:rsidR="4B8FF233">
        <w:rPr>
          <w:rFonts w:ascii="Arial" w:hAnsi="Arial" w:eastAsia="Arial" w:cs="Arial"/>
          <w:noProof w:val="0"/>
          <w:sz w:val="22"/>
          <w:szCs w:val="22"/>
          <w:lang w:val="en-GB"/>
        </w:rPr>
        <w:t xml:space="preserve">’, International Journal of Qualitative Methods, 16(1), pp. 1–13. </w:t>
      </w:r>
      <w:hyperlink r:id="R2f937760aa004482">
        <w:r w:rsidRPr="5FF0A1E2" w:rsidR="4B8FF233">
          <w:rPr>
            <w:rStyle w:val="Hyperlink"/>
            <w:rFonts w:ascii="Arial" w:hAnsi="Arial" w:eastAsia="Arial" w:cs="Arial"/>
            <w:noProof w:val="0"/>
            <w:sz w:val="22"/>
            <w:szCs w:val="22"/>
            <w:lang w:val="en-GB"/>
          </w:rPr>
          <w:t>https://journals.sagepub.com/doi/full/10.1177/1609406917733847</w:t>
        </w:r>
      </w:hyperlink>
      <w:r w:rsidRPr="5FF0A1E2" w:rsidR="4B8FF233">
        <w:rPr>
          <w:rFonts w:ascii="Arial" w:hAnsi="Arial" w:eastAsia="Arial" w:cs="Arial"/>
          <w:noProof w:val="0"/>
          <w:sz w:val="22"/>
          <w:szCs w:val="22"/>
          <w:lang w:val="en-GB"/>
        </w:rPr>
        <w:t xml:space="preserve"> </w:t>
      </w:r>
    </w:p>
    <w:p w:rsidR="00621776" w:rsidP="5FF0A1E2" w:rsidRDefault="00621776" w14:paraId="358178FA" w14:textId="70655E0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Nowell, L.S., Norris, J.M., White, D.E. and Moules, N.J. (2017) ‘Thematic analysis: Striving to meet the trustworthiness criteria’,</w:t>
      </w:r>
      <w:r w:rsidRPr="5FF0A1E2" w:rsidR="4B8FF233">
        <w:rPr>
          <w:rFonts w:ascii="Arial" w:hAnsi="Arial" w:eastAsia="Arial" w:cs="Arial"/>
          <w:i w:val="1"/>
          <w:iCs w:val="1"/>
          <w:noProof w:val="0"/>
          <w:sz w:val="22"/>
          <w:szCs w:val="22"/>
          <w:lang w:val="en-GB"/>
        </w:rPr>
        <w:t xml:space="preserve"> International Journal of Qualitative Methods</w:t>
      </w:r>
      <w:r w:rsidRPr="5FF0A1E2" w:rsidR="4B8FF233">
        <w:rPr>
          <w:rFonts w:ascii="Arial" w:hAnsi="Arial" w:eastAsia="Arial" w:cs="Arial"/>
          <w:noProof w:val="0"/>
          <w:sz w:val="22"/>
          <w:szCs w:val="22"/>
          <w:lang w:val="en-GB"/>
        </w:rPr>
        <w:t>, 16(1), pp. 1–13</w:t>
      </w:r>
      <w:r w:rsidRPr="5FF0A1E2" w:rsidR="4B8FF233">
        <w:rPr>
          <w:rFonts w:ascii="Arial" w:hAnsi="Arial" w:eastAsia="Arial" w:cs="Arial"/>
          <w:noProof w:val="0"/>
          <w:sz w:val="22"/>
          <w:szCs w:val="22"/>
          <w:lang w:val="en-GB"/>
        </w:rPr>
        <w:t xml:space="preserve">.  </w:t>
      </w:r>
    </w:p>
    <w:p w:rsidR="00621776" w:rsidP="5FF0A1E2" w:rsidRDefault="00621776" w14:paraId="16D9C9C6" w14:textId="11A7E9C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Office for National Statistics (ONS) (2023) </w:t>
      </w:r>
      <w:r w:rsidRPr="5FF0A1E2" w:rsidR="4B8FF233">
        <w:rPr>
          <w:rFonts w:ascii="Arial" w:hAnsi="Arial" w:eastAsia="Arial" w:cs="Arial"/>
          <w:i w:val="1"/>
          <w:iCs w:val="1"/>
          <w:noProof w:val="0"/>
          <w:sz w:val="22"/>
          <w:szCs w:val="22"/>
          <w:lang w:val="en-GB"/>
        </w:rPr>
        <w:t>Internet Users in the UK.</w:t>
      </w:r>
      <w:r w:rsidRPr="5FF0A1E2" w:rsidR="4B8FF233">
        <w:rPr>
          <w:rFonts w:ascii="Arial" w:hAnsi="Arial" w:eastAsia="Arial" w:cs="Arial"/>
          <w:noProof w:val="0"/>
          <w:sz w:val="22"/>
          <w:szCs w:val="22"/>
          <w:lang w:val="en-GB"/>
        </w:rPr>
        <w:t xml:space="preserve"> ONS</w:t>
      </w:r>
      <w:r w:rsidRPr="5FF0A1E2" w:rsidR="4B8FF233">
        <w:rPr>
          <w:rFonts w:ascii="Arial" w:hAnsi="Arial" w:eastAsia="Arial" w:cs="Arial"/>
          <w:noProof w:val="0"/>
          <w:sz w:val="22"/>
          <w:szCs w:val="22"/>
          <w:lang w:val="en-GB"/>
        </w:rPr>
        <w:t xml:space="preserve">.  </w:t>
      </w:r>
    </w:p>
    <w:p w:rsidR="00621776" w:rsidP="5FF0A1E2" w:rsidRDefault="00621776" w14:paraId="61E11AFA" w14:textId="3358C670">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Oliver, M. (2013) </w:t>
      </w:r>
      <w:r w:rsidRPr="5FF0A1E2" w:rsidR="4B8FF233">
        <w:rPr>
          <w:rFonts w:ascii="Arial" w:hAnsi="Arial" w:eastAsia="Arial" w:cs="Arial"/>
          <w:i w:val="1"/>
          <w:iCs w:val="1"/>
          <w:noProof w:val="0"/>
          <w:sz w:val="22"/>
          <w:szCs w:val="22"/>
          <w:lang w:val="en-GB"/>
        </w:rPr>
        <w:t>The Social Model of Disability:</w:t>
      </w:r>
      <w:r w:rsidRPr="5FF0A1E2" w:rsidR="4B8FF233">
        <w:rPr>
          <w:rFonts w:ascii="Arial" w:hAnsi="Arial" w:eastAsia="Arial" w:cs="Arial"/>
          <w:noProof w:val="0"/>
          <w:sz w:val="22"/>
          <w:szCs w:val="22"/>
          <w:lang w:val="en-GB"/>
        </w:rPr>
        <w:t xml:space="preserve"> Thirty Years On. London: Routledge</w:t>
      </w:r>
      <w:r w:rsidRPr="5FF0A1E2" w:rsidR="4B8FF233">
        <w:rPr>
          <w:rFonts w:ascii="Arial" w:hAnsi="Arial" w:eastAsia="Arial" w:cs="Arial"/>
          <w:noProof w:val="0"/>
          <w:sz w:val="22"/>
          <w:szCs w:val="22"/>
          <w:lang w:val="en-GB"/>
        </w:rPr>
        <w:t xml:space="preserve">.  </w:t>
      </w:r>
    </w:p>
    <w:p w:rsidR="00621776" w:rsidP="5FF0A1E2" w:rsidRDefault="00621776" w14:paraId="1C75D2C5" w14:textId="64E4B81E">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Patel, R. (2021) </w:t>
      </w:r>
      <w:r w:rsidRPr="5FF0A1E2" w:rsidR="4B8FF233">
        <w:rPr>
          <w:rFonts w:ascii="Arial" w:hAnsi="Arial" w:eastAsia="Arial" w:cs="Arial"/>
          <w:i w:val="1"/>
          <w:iCs w:val="1"/>
          <w:noProof w:val="0"/>
          <w:sz w:val="22"/>
          <w:szCs w:val="22"/>
          <w:lang w:val="en-GB"/>
        </w:rPr>
        <w:t>‘Local variations in medical needs provision in UK schools</w:t>
      </w:r>
      <w:r w:rsidRPr="5FF0A1E2" w:rsidR="4B8FF233">
        <w:rPr>
          <w:rFonts w:ascii="Arial" w:hAnsi="Arial" w:eastAsia="Arial" w:cs="Arial"/>
          <w:noProof w:val="0"/>
          <w:sz w:val="22"/>
          <w:szCs w:val="22"/>
          <w:lang w:val="en-GB"/>
        </w:rPr>
        <w:t>’, British Journal of Educational Studies, 69(3), pp. 367–384</w:t>
      </w:r>
      <w:r w:rsidRPr="5FF0A1E2" w:rsidR="4B8FF233">
        <w:rPr>
          <w:rFonts w:ascii="Arial" w:hAnsi="Arial" w:eastAsia="Arial" w:cs="Arial"/>
          <w:noProof w:val="0"/>
          <w:sz w:val="22"/>
          <w:szCs w:val="22"/>
          <w:lang w:val="en-GB"/>
        </w:rPr>
        <w:t xml:space="preserve">.  </w:t>
      </w:r>
    </w:p>
    <w:p w:rsidR="00621776" w:rsidP="5FF0A1E2" w:rsidRDefault="00621776" w14:paraId="77E42089" w14:textId="4DE30DF5">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Pereira, C., André, </w:t>
      </w:r>
      <w:r w:rsidRPr="5FF0A1E2" w:rsidR="4B8FF233">
        <w:rPr>
          <w:rFonts w:ascii="Arial" w:hAnsi="Arial" w:eastAsia="Arial" w:cs="Arial"/>
          <w:noProof w:val="0"/>
          <w:sz w:val="22"/>
          <w:szCs w:val="22"/>
          <w:lang w:val="en-GB"/>
        </w:rPr>
        <w:t>H.</w:t>
      </w:r>
      <w:r w:rsidRPr="5FF0A1E2" w:rsidR="4B8FF233">
        <w:rPr>
          <w:rFonts w:ascii="Arial" w:hAnsi="Arial" w:eastAsia="Arial" w:cs="Arial"/>
          <w:noProof w:val="0"/>
          <w:sz w:val="22"/>
          <w:szCs w:val="22"/>
          <w:lang w:val="en-GB"/>
        </w:rPr>
        <w:t xml:space="preserve"> and Silva, M. (2022) ‘</w:t>
      </w:r>
      <w:r w:rsidRPr="5FF0A1E2" w:rsidR="4B8FF233">
        <w:rPr>
          <w:rFonts w:ascii="Arial" w:hAnsi="Arial" w:eastAsia="Arial" w:cs="Arial"/>
          <w:i w:val="1"/>
          <w:iCs w:val="1"/>
          <w:noProof w:val="0"/>
          <w:sz w:val="22"/>
          <w:szCs w:val="22"/>
          <w:lang w:val="en-GB"/>
        </w:rPr>
        <w:t>Right to disconnect and digital burnout’,</w:t>
      </w:r>
      <w:r w:rsidRPr="5FF0A1E2" w:rsidR="4B8FF233">
        <w:rPr>
          <w:rFonts w:ascii="Arial" w:hAnsi="Arial" w:eastAsia="Arial" w:cs="Arial"/>
          <w:noProof w:val="0"/>
          <w:sz w:val="22"/>
          <w:szCs w:val="22"/>
          <w:lang w:val="en-GB"/>
        </w:rPr>
        <w:t xml:space="preserve"> Journal of Workplace Regulation, 12(1), pp. 44–59</w:t>
      </w:r>
      <w:r w:rsidRPr="5FF0A1E2" w:rsidR="4B8FF233">
        <w:rPr>
          <w:rFonts w:ascii="Arial" w:hAnsi="Arial" w:eastAsia="Arial" w:cs="Arial"/>
          <w:noProof w:val="0"/>
          <w:sz w:val="22"/>
          <w:szCs w:val="22"/>
          <w:lang w:val="en-GB"/>
        </w:rPr>
        <w:t xml:space="preserve">.  </w:t>
      </w:r>
    </w:p>
    <w:p w:rsidR="00621776" w:rsidP="5FF0A1E2" w:rsidRDefault="00621776" w14:paraId="6784334D" w14:textId="4C453AA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Peters, </w:t>
      </w:r>
      <w:r w:rsidRPr="5FF0A1E2" w:rsidR="4B8FF233">
        <w:rPr>
          <w:rFonts w:ascii="Arial" w:hAnsi="Arial" w:eastAsia="Arial" w:cs="Arial"/>
          <w:noProof w:val="0"/>
          <w:sz w:val="22"/>
          <w:szCs w:val="22"/>
          <w:lang w:val="en-GB"/>
        </w:rPr>
        <w:t>A.</w:t>
      </w:r>
      <w:r w:rsidRPr="5FF0A1E2" w:rsidR="4B8FF233">
        <w:rPr>
          <w:rFonts w:ascii="Arial" w:hAnsi="Arial" w:eastAsia="Arial" w:cs="Arial"/>
          <w:noProof w:val="0"/>
          <w:sz w:val="22"/>
          <w:szCs w:val="22"/>
          <w:lang w:val="en-GB"/>
        </w:rPr>
        <w:t xml:space="preserve"> and Jordan, K. (2022) ‘Chronic illness, attendance and academic engagement’, </w:t>
      </w:r>
      <w:r w:rsidRPr="5FF0A1E2" w:rsidR="4B8FF233">
        <w:rPr>
          <w:rFonts w:ascii="Arial" w:hAnsi="Arial" w:eastAsia="Arial" w:cs="Arial"/>
          <w:i w:val="1"/>
          <w:iCs w:val="1"/>
          <w:noProof w:val="0"/>
          <w:sz w:val="22"/>
          <w:szCs w:val="22"/>
          <w:lang w:val="en-GB"/>
        </w:rPr>
        <w:t>Journal of School Health</w:t>
      </w:r>
      <w:r w:rsidRPr="5FF0A1E2" w:rsidR="4B8FF233">
        <w:rPr>
          <w:rFonts w:ascii="Arial" w:hAnsi="Arial" w:eastAsia="Arial" w:cs="Arial"/>
          <w:noProof w:val="0"/>
          <w:sz w:val="22"/>
          <w:szCs w:val="22"/>
          <w:lang w:val="en-GB"/>
        </w:rPr>
        <w:t>, 92(6), pp. 541–549</w:t>
      </w:r>
      <w:r w:rsidRPr="5FF0A1E2" w:rsidR="4B8FF233">
        <w:rPr>
          <w:rFonts w:ascii="Arial" w:hAnsi="Arial" w:eastAsia="Arial" w:cs="Arial"/>
          <w:noProof w:val="0"/>
          <w:sz w:val="22"/>
          <w:szCs w:val="22"/>
          <w:lang w:val="en-GB"/>
        </w:rPr>
        <w:t xml:space="preserve">.  </w:t>
      </w:r>
    </w:p>
    <w:p w:rsidR="00621776" w:rsidP="5FF0A1E2" w:rsidRDefault="00621776" w14:paraId="1FA910D9" w14:textId="28E3C068">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Pinquart</w:t>
      </w:r>
      <w:r w:rsidRPr="5FF0A1E2" w:rsidR="4B8FF233">
        <w:rPr>
          <w:rFonts w:ascii="Arial" w:hAnsi="Arial" w:eastAsia="Arial" w:cs="Arial"/>
          <w:noProof w:val="0"/>
          <w:sz w:val="22"/>
          <w:szCs w:val="22"/>
          <w:lang w:val="en-GB"/>
        </w:rPr>
        <w:t xml:space="preserve">, M. (2018) ‘Academic, physical, and social functioning in children with chronic physical illness’, Child: </w:t>
      </w:r>
      <w:r w:rsidRPr="5FF0A1E2" w:rsidR="4B8FF233">
        <w:rPr>
          <w:rFonts w:ascii="Arial" w:hAnsi="Arial" w:eastAsia="Arial" w:cs="Arial"/>
          <w:i w:val="1"/>
          <w:iCs w:val="1"/>
          <w:noProof w:val="0"/>
          <w:sz w:val="22"/>
          <w:szCs w:val="22"/>
          <w:lang w:val="en-GB"/>
        </w:rPr>
        <w:t xml:space="preserve">Care, </w:t>
      </w:r>
      <w:r w:rsidRPr="5FF0A1E2" w:rsidR="4B8FF233">
        <w:rPr>
          <w:rFonts w:ascii="Arial" w:hAnsi="Arial" w:eastAsia="Arial" w:cs="Arial"/>
          <w:i w:val="1"/>
          <w:iCs w:val="1"/>
          <w:noProof w:val="0"/>
          <w:sz w:val="22"/>
          <w:szCs w:val="22"/>
          <w:lang w:val="en-GB"/>
        </w:rPr>
        <w:t>Health</w:t>
      </w:r>
      <w:r w:rsidRPr="5FF0A1E2" w:rsidR="4B8FF233">
        <w:rPr>
          <w:rFonts w:ascii="Arial" w:hAnsi="Arial" w:eastAsia="Arial" w:cs="Arial"/>
          <w:i w:val="1"/>
          <w:iCs w:val="1"/>
          <w:noProof w:val="0"/>
          <w:sz w:val="22"/>
          <w:szCs w:val="22"/>
          <w:lang w:val="en-GB"/>
        </w:rPr>
        <w:t xml:space="preserve"> and Development,</w:t>
      </w:r>
      <w:r w:rsidRPr="5FF0A1E2" w:rsidR="4B8FF233">
        <w:rPr>
          <w:rFonts w:ascii="Arial" w:hAnsi="Arial" w:eastAsia="Arial" w:cs="Arial"/>
          <w:noProof w:val="0"/>
          <w:sz w:val="22"/>
          <w:szCs w:val="22"/>
          <w:lang w:val="en-GB"/>
        </w:rPr>
        <w:t xml:space="preserve"> 44(1), pp. 74–82. —  </w:t>
      </w:r>
      <w:hyperlink r:id="R87402630e8f844bd">
        <w:r w:rsidRPr="5FF0A1E2" w:rsidR="4B8FF233">
          <w:rPr>
            <w:rStyle w:val="Hyperlink"/>
            <w:rFonts w:ascii="Arial" w:hAnsi="Arial" w:eastAsia="Arial" w:cs="Arial"/>
            <w:noProof w:val="0"/>
            <w:sz w:val="22"/>
            <w:szCs w:val="22"/>
            <w:lang w:val="en-GB"/>
          </w:rPr>
          <w:t>https://onlinelibrary.wiley.com/doi/10.1111/cch.12521</w:t>
        </w:r>
      </w:hyperlink>
      <w:r w:rsidRPr="5FF0A1E2" w:rsidR="4B8FF233">
        <w:rPr>
          <w:rFonts w:ascii="Arial" w:hAnsi="Arial" w:eastAsia="Arial" w:cs="Arial"/>
          <w:noProof w:val="0"/>
          <w:sz w:val="22"/>
          <w:szCs w:val="22"/>
          <w:lang w:val="en-GB"/>
        </w:rPr>
        <w:t xml:space="preserve"> </w:t>
      </w:r>
    </w:p>
    <w:p w:rsidR="00621776" w:rsidP="5FF0A1E2" w:rsidRDefault="00621776" w14:paraId="735D93BA" w14:textId="2176F39B">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Pinquart</w:t>
      </w:r>
      <w:r w:rsidRPr="5FF0A1E2" w:rsidR="4B8FF233">
        <w:rPr>
          <w:rFonts w:ascii="Arial" w:hAnsi="Arial" w:eastAsia="Arial" w:cs="Arial"/>
          <w:noProof w:val="0"/>
          <w:sz w:val="22"/>
          <w:szCs w:val="22"/>
          <w:lang w:val="en-GB"/>
        </w:rPr>
        <w:t xml:space="preserve">, M. (2018) ‘Academic, physical, and social functioning in children with chronic physical illness’, Child: </w:t>
      </w:r>
      <w:r w:rsidRPr="5FF0A1E2" w:rsidR="4B8FF233">
        <w:rPr>
          <w:rFonts w:ascii="Arial" w:hAnsi="Arial" w:eastAsia="Arial" w:cs="Arial"/>
          <w:i w:val="1"/>
          <w:iCs w:val="1"/>
          <w:noProof w:val="0"/>
          <w:sz w:val="22"/>
          <w:szCs w:val="22"/>
          <w:lang w:val="en-GB"/>
        </w:rPr>
        <w:t xml:space="preserve">Care, </w:t>
      </w:r>
      <w:r w:rsidRPr="5FF0A1E2" w:rsidR="4B8FF233">
        <w:rPr>
          <w:rFonts w:ascii="Arial" w:hAnsi="Arial" w:eastAsia="Arial" w:cs="Arial"/>
          <w:i w:val="1"/>
          <w:iCs w:val="1"/>
          <w:noProof w:val="0"/>
          <w:sz w:val="22"/>
          <w:szCs w:val="22"/>
          <w:lang w:val="en-GB"/>
        </w:rPr>
        <w:t>Health</w:t>
      </w:r>
      <w:r w:rsidRPr="5FF0A1E2" w:rsidR="4B8FF233">
        <w:rPr>
          <w:rFonts w:ascii="Arial" w:hAnsi="Arial" w:eastAsia="Arial" w:cs="Arial"/>
          <w:i w:val="1"/>
          <w:iCs w:val="1"/>
          <w:noProof w:val="0"/>
          <w:sz w:val="22"/>
          <w:szCs w:val="22"/>
          <w:lang w:val="en-GB"/>
        </w:rPr>
        <w:t xml:space="preserve"> and Development</w:t>
      </w:r>
      <w:r w:rsidRPr="5FF0A1E2" w:rsidR="4B8FF233">
        <w:rPr>
          <w:rFonts w:ascii="Arial" w:hAnsi="Arial" w:eastAsia="Arial" w:cs="Arial"/>
          <w:noProof w:val="0"/>
          <w:sz w:val="22"/>
          <w:szCs w:val="22"/>
          <w:lang w:val="en-GB"/>
        </w:rPr>
        <w:t xml:space="preserve">, 44(1), pp. 74–8  </w:t>
      </w:r>
    </w:p>
    <w:p w:rsidR="00621776" w:rsidP="5FF0A1E2" w:rsidRDefault="00621776" w14:paraId="1275959E" w14:textId="02B06CBB">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Putnam, R. (2000) Bowling Alone: </w:t>
      </w:r>
      <w:r w:rsidRPr="5FF0A1E2" w:rsidR="4B8FF233">
        <w:rPr>
          <w:rFonts w:ascii="Arial" w:hAnsi="Arial" w:eastAsia="Arial" w:cs="Arial"/>
          <w:i w:val="1"/>
          <w:iCs w:val="1"/>
          <w:noProof w:val="0"/>
          <w:sz w:val="22"/>
          <w:szCs w:val="22"/>
          <w:lang w:val="en-GB"/>
        </w:rPr>
        <w:t>The Collapse and Revival of American Community</w:t>
      </w:r>
      <w:r w:rsidRPr="5FF0A1E2" w:rsidR="4B8FF233">
        <w:rPr>
          <w:rFonts w:ascii="Arial" w:hAnsi="Arial" w:eastAsia="Arial" w:cs="Arial"/>
          <w:noProof w:val="0"/>
          <w:sz w:val="22"/>
          <w:szCs w:val="22"/>
          <w:lang w:val="en-GB"/>
        </w:rPr>
        <w:t>. Simon &amp; Schuster</w:t>
      </w:r>
      <w:r w:rsidRPr="5FF0A1E2" w:rsidR="4B8FF233">
        <w:rPr>
          <w:rFonts w:ascii="Arial" w:hAnsi="Arial" w:eastAsia="Arial" w:cs="Arial"/>
          <w:noProof w:val="0"/>
          <w:sz w:val="22"/>
          <w:szCs w:val="22"/>
          <w:lang w:val="en-GB"/>
        </w:rPr>
        <w:t xml:space="preserve">.  </w:t>
      </w:r>
    </w:p>
    <w:p w:rsidR="00621776" w:rsidP="5FF0A1E2" w:rsidRDefault="00621776" w14:paraId="0B8AA800" w14:textId="1AC77F0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Ridley, D. (2012) The Literature Review: A Step-by-Step Guide for Students. London: Sage</w:t>
      </w:r>
      <w:r w:rsidRPr="5FF0A1E2" w:rsidR="4B8FF233">
        <w:rPr>
          <w:rFonts w:ascii="Arial" w:hAnsi="Arial" w:eastAsia="Arial" w:cs="Arial"/>
          <w:noProof w:val="0"/>
          <w:sz w:val="22"/>
          <w:szCs w:val="22"/>
          <w:lang w:val="en-GB"/>
        </w:rPr>
        <w:t xml:space="preserve">.  </w:t>
      </w:r>
    </w:p>
    <w:p w:rsidR="00621776" w:rsidP="5FF0A1E2" w:rsidRDefault="00621776" w14:paraId="54126DF4" w14:textId="7146DF6A">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Robinson, L. et al. (2020) ‘Digital inequalities 2.0’, </w:t>
      </w:r>
      <w:r w:rsidRPr="5FF0A1E2" w:rsidR="4B8FF233">
        <w:rPr>
          <w:rFonts w:ascii="Arial" w:hAnsi="Arial" w:eastAsia="Arial" w:cs="Arial"/>
          <w:i w:val="1"/>
          <w:iCs w:val="1"/>
          <w:noProof w:val="0"/>
          <w:sz w:val="22"/>
          <w:szCs w:val="22"/>
          <w:lang w:val="en-GB"/>
        </w:rPr>
        <w:t>Journal of Information, Communication and Society</w:t>
      </w:r>
      <w:r w:rsidRPr="5FF0A1E2" w:rsidR="4B8FF233">
        <w:rPr>
          <w:rFonts w:ascii="Arial" w:hAnsi="Arial" w:eastAsia="Arial" w:cs="Arial"/>
          <w:noProof w:val="0"/>
          <w:sz w:val="22"/>
          <w:szCs w:val="22"/>
          <w:lang w:val="en-GB"/>
        </w:rPr>
        <w:t>, 23(7), pp. 983–1001</w:t>
      </w:r>
      <w:r w:rsidRPr="5FF0A1E2" w:rsidR="4B8FF233">
        <w:rPr>
          <w:rFonts w:ascii="Arial" w:hAnsi="Arial" w:eastAsia="Arial" w:cs="Arial"/>
          <w:noProof w:val="0"/>
          <w:sz w:val="22"/>
          <w:szCs w:val="22"/>
          <w:lang w:val="en-GB"/>
        </w:rPr>
        <w:t xml:space="preserve">.  </w:t>
      </w:r>
    </w:p>
    <w:p w:rsidR="00621776" w:rsidP="5FF0A1E2" w:rsidRDefault="00621776" w14:paraId="0C7A3296" w14:textId="1B788CDD">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Robinson, L., Cotten, S., Ono, H., Quan-Haase, A., Mesch, G., Chen, W., Schulz, J., Hale, T.M. &amp; Stern, M.J. (2020) ‘Digital inequalities 2.0’, </w:t>
      </w:r>
      <w:r w:rsidRPr="5FF0A1E2" w:rsidR="4B8FF233">
        <w:rPr>
          <w:rFonts w:ascii="Arial" w:hAnsi="Arial" w:eastAsia="Arial" w:cs="Arial"/>
          <w:i w:val="1"/>
          <w:iCs w:val="1"/>
          <w:noProof w:val="0"/>
          <w:sz w:val="22"/>
          <w:szCs w:val="22"/>
          <w:lang w:val="en-GB"/>
        </w:rPr>
        <w:t>Journal of Information, Communication &amp; Society</w:t>
      </w:r>
      <w:r w:rsidRPr="5FF0A1E2" w:rsidR="4B8FF233">
        <w:rPr>
          <w:rFonts w:ascii="Arial" w:hAnsi="Arial" w:eastAsia="Arial" w:cs="Arial"/>
          <w:noProof w:val="0"/>
          <w:sz w:val="22"/>
          <w:szCs w:val="22"/>
          <w:lang w:val="en-GB"/>
        </w:rPr>
        <w:t xml:space="preserve">, 23(7), pp. 983–1001. </w:t>
      </w:r>
    </w:p>
    <w:p w:rsidR="00621776" w:rsidP="5FF0A1E2" w:rsidRDefault="00621776" w14:paraId="3C8DE664" w14:textId="1D446595">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Rosa, E. &amp; Tudge, J. (2013) ‘Urie Bronfenbrenner’s theory of human development’, Journal of Family Theory &amp; Review, 5(4), pp. 243–258.  </w:t>
      </w:r>
      <w:hyperlink r:id="Rff994ffb30b24059">
        <w:r w:rsidRPr="5FF0A1E2" w:rsidR="4B8FF233">
          <w:rPr>
            <w:rStyle w:val="Hyperlink"/>
            <w:rFonts w:ascii="Arial" w:hAnsi="Arial" w:eastAsia="Arial" w:cs="Arial"/>
            <w:noProof w:val="0"/>
            <w:sz w:val="22"/>
            <w:szCs w:val="22"/>
            <w:lang w:val="en-GB"/>
          </w:rPr>
          <w:t>https://onlinelibrary.wiley.com/doi/10.1111/jftr.12022</w:t>
        </w:r>
      </w:hyperlink>
      <w:r w:rsidRPr="5FF0A1E2" w:rsidR="4B8FF233">
        <w:rPr>
          <w:rFonts w:ascii="Arial" w:hAnsi="Arial" w:eastAsia="Arial" w:cs="Arial"/>
          <w:noProof w:val="0"/>
          <w:sz w:val="22"/>
          <w:szCs w:val="22"/>
          <w:lang w:val="en-GB"/>
        </w:rPr>
        <w:t xml:space="preserve"> </w:t>
      </w:r>
    </w:p>
    <w:p w:rsidR="00621776" w:rsidP="5FF0A1E2" w:rsidRDefault="00621776" w14:paraId="63AFDC8F" w14:textId="1D6ADEC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RSPH (2022) Status of Young People’s Mental Health and Digital Use. London: Royal Society for Public Health. Available at: </w:t>
      </w:r>
      <w:hyperlink r:id="R5cf2694397e341d4">
        <w:r w:rsidRPr="5FF0A1E2" w:rsidR="4B8FF233">
          <w:rPr>
            <w:rStyle w:val="Hyperlink"/>
            <w:rFonts w:ascii="Arial" w:hAnsi="Arial" w:eastAsia="Arial" w:cs="Arial"/>
            <w:noProof w:val="0"/>
            <w:sz w:val="22"/>
            <w:szCs w:val="22"/>
            <w:lang w:val="en-GB"/>
          </w:rPr>
          <w:t>https://www.rsph.org.uk/</w:t>
        </w:r>
      </w:hyperlink>
      <w:r w:rsidRPr="5FF0A1E2" w:rsidR="4B8FF233">
        <w:rPr>
          <w:rFonts w:ascii="Arial" w:hAnsi="Arial" w:eastAsia="Arial" w:cs="Arial"/>
          <w:noProof w:val="0"/>
          <w:sz w:val="22"/>
          <w:szCs w:val="22"/>
          <w:lang w:val="en-GB"/>
        </w:rPr>
        <w:t xml:space="preserve"> (Accessed: 25 October 2025). </w:t>
      </w:r>
    </w:p>
    <w:p w:rsidR="00621776" w:rsidP="5FF0A1E2" w:rsidRDefault="00621776" w14:paraId="72D54A83" w14:textId="77F24BA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RSPH (2022) Status of Young People’s Mental Health and Digital Use. Royal Society for Public Health</w:t>
      </w:r>
      <w:r w:rsidRPr="5FF0A1E2" w:rsidR="4B8FF233">
        <w:rPr>
          <w:rFonts w:ascii="Arial" w:hAnsi="Arial" w:eastAsia="Arial" w:cs="Arial"/>
          <w:noProof w:val="0"/>
          <w:sz w:val="22"/>
          <w:szCs w:val="22"/>
          <w:lang w:val="en-GB"/>
        </w:rPr>
        <w:t xml:space="preserve">.  </w:t>
      </w:r>
    </w:p>
    <w:p w:rsidR="00621776" w:rsidP="5FF0A1E2" w:rsidRDefault="00621776" w14:paraId="44BCA0C2" w14:textId="54EC5EC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Ruggiero, T. (2000) ‘Uses and gratifications theory in the digital age’, Journal of Communication, 50(1), pp. 26–40</w:t>
      </w:r>
      <w:r w:rsidRPr="5FF0A1E2" w:rsidR="4B8FF233">
        <w:rPr>
          <w:rFonts w:ascii="Arial" w:hAnsi="Arial" w:eastAsia="Arial" w:cs="Arial"/>
          <w:noProof w:val="0"/>
          <w:sz w:val="22"/>
          <w:szCs w:val="22"/>
          <w:lang w:val="en-GB"/>
        </w:rPr>
        <w:t xml:space="preserve">.  </w:t>
      </w:r>
    </w:p>
    <w:p w:rsidR="00621776" w:rsidP="5FF0A1E2" w:rsidRDefault="00621776" w14:paraId="6BD7D969" w14:textId="751C32BA">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Scottish Government (2021) School Health Service Review. Edinburgh: Scottish Government</w:t>
      </w:r>
      <w:r w:rsidRPr="5FF0A1E2" w:rsidR="4B8FF233">
        <w:rPr>
          <w:rFonts w:ascii="Arial" w:hAnsi="Arial" w:eastAsia="Arial" w:cs="Arial"/>
          <w:noProof w:val="0"/>
          <w:sz w:val="22"/>
          <w:szCs w:val="22"/>
          <w:lang w:val="en-GB"/>
        </w:rPr>
        <w:t xml:space="preserve">.  </w:t>
      </w:r>
    </w:p>
    <w:p w:rsidR="00621776" w:rsidP="5FF0A1E2" w:rsidRDefault="00621776" w14:paraId="67BB0AC8" w14:textId="3A90098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Seifert, A., Cotten, S. &amp; Xie, B. (2021) ‘Digital exclusion among older adults’, Gerontology, 67(5), pp. 573–582</w:t>
      </w:r>
      <w:r w:rsidRPr="5FF0A1E2" w:rsidR="4B8FF233">
        <w:rPr>
          <w:rFonts w:ascii="Arial" w:hAnsi="Arial" w:eastAsia="Arial" w:cs="Arial"/>
          <w:noProof w:val="0"/>
          <w:sz w:val="22"/>
          <w:szCs w:val="22"/>
          <w:lang w:val="en-GB"/>
        </w:rPr>
        <w:t xml:space="preserve">.  </w:t>
      </w:r>
    </w:p>
    <w:p w:rsidR="00621776" w:rsidP="5FF0A1E2" w:rsidRDefault="00621776" w14:paraId="6025559A" w14:textId="5ACE0760">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Sheard, L., Andrews, L. &amp; Wright, J. (2022) ‘Integrated care and educational support for children with long-term conditions in northern England’, Child: Care, </w:t>
      </w:r>
      <w:r w:rsidRPr="5FF0A1E2" w:rsidR="4B8FF233">
        <w:rPr>
          <w:rFonts w:ascii="Arial" w:hAnsi="Arial" w:eastAsia="Arial" w:cs="Arial"/>
          <w:noProof w:val="0"/>
          <w:sz w:val="22"/>
          <w:szCs w:val="22"/>
          <w:lang w:val="en-GB"/>
        </w:rPr>
        <w:t>Health</w:t>
      </w:r>
      <w:r w:rsidRPr="5FF0A1E2" w:rsidR="4B8FF233">
        <w:rPr>
          <w:rFonts w:ascii="Arial" w:hAnsi="Arial" w:eastAsia="Arial" w:cs="Arial"/>
          <w:noProof w:val="0"/>
          <w:sz w:val="22"/>
          <w:szCs w:val="22"/>
          <w:lang w:val="en-GB"/>
        </w:rPr>
        <w:t xml:space="preserve"> and Development, 48(4), pp. 654–663</w:t>
      </w:r>
      <w:r w:rsidRPr="5FF0A1E2" w:rsidR="4B8FF233">
        <w:rPr>
          <w:rFonts w:ascii="Arial" w:hAnsi="Arial" w:eastAsia="Arial" w:cs="Arial"/>
          <w:noProof w:val="0"/>
          <w:sz w:val="22"/>
          <w:szCs w:val="22"/>
          <w:lang w:val="en-GB"/>
        </w:rPr>
        <w:t xml:space="preserve">.  </w:t>
      </w:r>
    </w:p>
    <w:p w:rsidR="00621776" w:rsidP="5FF0A1E2" w:rsidRDefault="00621776" w14:paraId="420F9CE5" w14:textId="71195B7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Smith, H. &amp; Jones, M. (2021) ‘Impact of chronic illness on children’s school functioning: a systematic review’, Journal of Child Health Care, 25(2), pp. 195–207</w:t>
      </w:r>
      <w:r w:rsidRPr="5FF0A1E2" w:rsidR="4B8FF233">
        <w:rPr>
          <w:rFonts w:ascii="Arial" w:hAnsi="Arial" w:eastAsia="Arial" w:cs="Arial"/>
          <w:noProof w:val="0"/>
          <w:sz w:val="22"/>
          <w:szCs w:val="22"/>
          <w:lang w:val="en-GB"/>
        </w:rPr>
        <w:t xml:space="preserve">.  </w:t>
      </w:r>
    </w:p>
    <w:p w:rsidR="00621776" w:rsidP="5FF0A1E2" w:rsidRDefault="00621776" w14:paraId="6AC4BF5B" w14:textId="33C4D65C">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Strand, S. (2020) ‘Teacher confidence in supporting students with long-term health conditions’, British Journal of Special Education, 47(3), pp. 302–316</w:t>
      </w:r>
      <w:r w:rsidRPr="5FF0A1E2" w:rsidR="4B8FF233">
        <w:rPr>
          <w:rFonts w:ascii="Arial" w:hAnsi="Arial" w:eastAsia="Arial" w:cs="Arial"/>
          <w:noProof w:val="0"/>
          <w:sz w:val="22"/>
          <w:szCs w:val="22"/>
          <w:lang w:val="en-GB"/>
        </w:rPr>
        <w:t xml:space="preserve">.  </w:t>
      </w:r>
    </w:p>
    <w:p w:rsidR="00621776" w:rsidP="5FF0A1E2" w:rsidRDefault="00621776" w14:paraId="05DDD8A2" w14:textId="34449B77">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Swann, M. (2021) Children’s Health and School Attendance Report. Bristol: Policy Press. </w:t>
      </w:r>
    </w:p>
    <w:p w:rsidR="00621776" w:rsidP="5FF0A1E2" w:rsidRDefault="00621776" w14:paraId="4480FDA9" w14:textId="7B331AF2">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Swann, M. (2021) Children’s Health and School Attendance Report. Bristol: Policy Press</w:t>
      </w:r>
      <w:r w:rsidRPr="5FF0A1E2" w:rsidR="4B8FF233">
        <w:rPr>
          <w:rFonts w:ascii="Arial" w:hAnsi="Arial" w:eastAsia="Arial" w:cs="Arial"/>
          <w:noProof w:val="0"/>
          <w:sz w:val="22"/>
          <w:szCs w:val="22"/>
          <w:lang w:val="en-GB"/>
        </w:rPr>
        <w:t xml:space="preserve">.  </w:t>
      </w:r>
    </w:p>
    <w:p w:rsidR="00621776" w:rsidP="5FF0A1E2" w:rsidRDefault="00621776" w14:paraId="7B202030" w14:textId="39046298">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Taylor, E., Devine, M. &amp; McEwan, A. (2020) ‘Cancer-related school absence and academic attainment’, </w:t>
      </w:r>
      <w:r w:rsidRPr="5FF0A1E2" w:rsidR="4B8FF233">
        <w:rPr>
          <w:rFonts w:ascii="Arial" w:hAnsi="Arial" w:eastAsia="Arial" w:cs="Arial"/>
          <w:noProof w:val="0"/>
          <w:sz w:val="22"/>
          <w:szCs w:val="22"/>
          <w:lang w:val="en-GB"/>
        </w:rPr>
        <w:t>Pediatric</w:t>
      </w:r>
      <w:r w:rsidRPr="5FF0A1E2" w:rsidR="4B8FF233">
        <w:rPr>
          <w:rFonts w:ascii="Arial" w:hAnsi="Arial" w:eastAsia="Arial" w:cs="Arial"/>
          <w:noProof w:val="0"/>
          <w:sz w:val="22"/>
          <w:szCs w:val="22"/>
          <w:lang w:val="en-GB"/>
        </w:rPr>
        <w:t xml:space="preserve"> Blood &amp; Cancer, 67(3), pp. 1–7. </w:t>
      </w:r>
    </w:p>
    <w:p w:rsidR="00621776" w:rsidP="5FF0A1E2" w:rsidRDefault="00621776" w14:paraId="7EF8A930" w14:textId="795CA5D3">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Taylor, E., Devine, </w:t>
      </w:r>
      <w:r w:rsidRPr="5FF0A1E2" w:rsidR="4B8FF233">
        <w:rPr>
          <w:rFonts w:ascii="Arial" w:hAnsi="Arial" w:eastAsia="Arial" w:cs="Arial"/>
          <w:noProof w:val="0"/>
          <w:sz w:val="22"/>
          <w:szCs w:val="22"/>
          <w:lang w:val="en-GB"/>
        </w:rPr>
        <w:t>M.</w:t>
      </w:r>
      <w:r w:rsidRPr="5FF0A1E2" w:rsidR="4B8FF233">
        <w:rPr>
          <w:rFonts w:ascii="Arial" w:hAnsi="Arial" w:eastAsia="Arial" w:cs="Arial"/>
          <w:noProof w:val="0"/>
          <w:sz w:val="22"/>
          <w:szCs w:val="22"/>
          <w:lang w:val="en-GB"/>
        </w:rPr>
        <w:t xml:space="preserve"> and McEwan, A. (2020) ‘Cancer-related school absence and academic attainment’, </w:t>
      </w:r>
      <w:r w:rsidRPr="5FF0A1E2" w:rsidR="4B8FF233">
        <w:rPr>
          <w:rFonts w:ascii="Arial" w:hAnsi="Arial" w:eastAsia="Arial" w:cs="Arial"/>
          <w:noProof w:val="0"/>
          <w:sz w:val="22"/>
          <w:szCs w:val="22"/>
          <w:lang w:val="en-GB"/>
        </w:rPr>
        <w:t>Pediatric</w:t>
      </w:r>
      <w:r w:rsidRPr="5FF0A1E2" w:rsidR="4B8FF233">
        <w:rPr>
          <w:rFonts w:ascii="Arial" w:hAnsi="Arial" w:eastAsia="Arial" w:cs="Arial"/>
          <w:noProof w:val="0"/>
          <w:sz w:val="22"/>
          <w:szCs w:val="22"/>
          <w:lang w:val="en-GB"/>
        </w:rPr>
        <w:t xml:space="preserve"> Blood &amp; Cancer, 67(3), pp. 1–7</w:t>
      </w:r>
      <w:r w:rsidRPr="5FF0A1E2" w:rsidR="4B8FF233">
        <w:rPr>
          <w:rFonts w:ascii="Arial" w:hAnsi="Arial" w:eastAsia="Arial" w:cs="Arial"/>
          <w:noProof w:val="0"/>
          <w:sz w:val="22"/>
          <w:szCs w:val="22"/>
          <w:lang w:val="en-GB"/>
        </w:rPr>
        <w:t xml:space="preserve">.  </w:t>
      </w:r>
    </w:p>
    <w:p w:rsidR="00621776" w:rsidP="5FF0A1E2" w:rsidRDefault="00621776" w14:paraId="61352E84" w14:textId="4E55452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Thomas, G. (2022) How to Do Your Research Project. 5th </w:t>
      </w:r>
      <w:r w:rsidRPr="5FF0A1E2" w:rsidR="4B8FF233">
        <w:rPr>
          <w:rFonts w:ascii="Arial" w:hAnsi="Arial" w:eastAsia="Arial" w:cs="Arial"/>
          <w:noProof w:val="0"/>
          <w:sz w:val="22"/>
          <w:szCs w:val="22"/>
          <w:lang w:val="en-GB"/>
        </w:rPr>
        <w:t>edn</w:t>
      </w:r>
      <w:r w:rsidRPr="5FF0A1E2" w:rsidR="4B8FF233">
        <w:rPr>
          <w:rFonts w:ascii="Arial" w:hAnsi="Arial" w:eastAsia="Arial" w:cs="Arial"/>
          <w:noProof w:val="0"/>
          <w:sz w:val="22"/>
          <w:szCs w:val="22"/>
          <w:lang w:val="en-GB"/>
        </w:rPr>
        <w:t>. London: Sage</w:t>
      </w:r>
      <w:r w:rsidRPr="5FF0A1E2" w:rsidR="4B8FF233">
        <w:rPr>
          <w:rFonts w:ascii="Arial" w:hAnsi="Arial" w:eastAsia="Arial" w:cs="Arial"/>
          <w:noProof w:val="0"/>
          <w:sz w:val="22"/>
          <w:szCs w:val="22"/>
          <w:lang w:val="en-GB"/>
        </w:rPr>
        <w:t xml:space="preserve">.  </w:t>
      </w:r>
    </w:p>
    <w:p w:rsidR="00621776" w:rsidP="5FF0A1E2" w:rsidRDefault="00621776" w14:paraId="76856559" w14:textId="7B7D520D">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UNESCO (1994) The Salamanca Statement and Framework for Action. Paris: UNESCO</w:t>
      </w:r>
      <w:r w:rsidRPr="5FF0A1E2" w:rsidR="4B8FF233">
        <w:rPr>
          <w:rFonts w:ascii="Arial" w:hAnsi="Arial" w:eastAsia="Arial" w:cs="Arial"/>
          <w:noProof w:val="0"/>
          <w:sz w:val="22"/>
          <w:szCs w:val="22"/>
          <w:lang w:val="en-GB"/>
        </w:rPr>
        <w:t xml:space="preserve">.  </w:t>
      </w:r>
    </w:p>
    <w:p w:rsidR="00621776" w:rsidP="5FF0A1E2" w:rsidRDefault="00621776" w14:paraId="2ABA691E" w14:textId="71E1681D">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UNESCO (2017) A Guide for Ensuring Inclusion and Equity in Education. Paris: UNESCO. — Official PDF: </w:t>
      </w:r>
      <w:hyperlink r:id="Rd3045e911d6c47d0">
        <w:r w:rsidRPr="5FF0A1E2" w:rsidR="4B8FF233">
          <w:rPr>
            <w:rStyle w:val="Hyperlink"/>
            <w:rFonts w:ascii="Arial" w:hAnsi="Arial" w:eastAsia="Arial" w:cs="Arial"/>
            <w:noProof w:val="0"/>
            <w:sz w:val="22"/>
            <w:szCs w:val="22"/>
            <w:lang w:val="en-GB"/>
          </w:rPr>
          <w:t>https://unesdoc.unesco.org/ark:/48223/pf0000248254</w:t>
        </w:r>
      </w:hyperlink>
      <w:r w:rsidRPr="5FF0A1E2" w:rsidR="4B8FF233">
        <w:rPr>
          <w:rFonts w:ascii="Arial" w:hAnsi="Arial" w:eastAsia="Arial" w:cs="Arial"/>
          <w:noProof w:val="0"/>
          <w:sz w:val="22"/>
          <w:szCs w:val="22"/>
          <w:lang w:val="en-GB"/>
        </w:rPr>
        <w:t xml:space="preserve"> </w:t>
      </w:r>
    </w:p>
    <w:p w:rsidR="00621776" w:rsidP="5FF0A1E2" w:rsidRDefault="00621776" w14:paraId="0692DA09" w14:textId="125DBCA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‌UNESCO (2017). A guide for ensuring inclusion and equity in education. (online) UNESCO. Available at: </w:t>
      </w:r>
      <w:hyperlink r:id="R026b9e254e8b406d">
        <w:r w:rsidRPr="5FF0A1E2" w:rsidR="4B8FF233">
          <w:rPr>
            <w:rStyle w:val="Hyperlink"/>
            <w:rFonts w:ascii="Arial" w:hAnsi="Arial" w:eastAsia="Arial" w:cs="Arial"/>
            <w:noProof w:val="0"/>
            <w:sz w:val="22"/>
            <w:szCs w:val="22"/>
            <w:lang w:val="en-GB"/>
          </w:rPr>
          <w:t>https://unesdoc.unesco.org/ark:/48223/pf0000248254</w:t>
        </w:r>
      </w:hyperlink>
      <w:r w:rsidRPr="5FF0A1E2" w:rsidR="4B8FF233">
        <w:rPr>
          <w:rFonts w:ascii="Arial" w:hAnsi="Arial" w:eastAsia="Arial" w:cs="Arial"/>
          <w:noProof w:val="0"/>
          <w:sz w:val="22"/>
          <w:szCs w:val="22"/>
          <w:lang w:val="en-GB"/>
        </w:rPr>
        <w:t xml:space="preserve">. </w:t>
      </w:r>
    </w:p>
    <w:p w:rsidR="00621776" w:rsidP="5FF0A1E2" w:rsidRDefault="00621776" w14:paraId="56F001D1" w14:textId="26E9639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UNESCO (2020) Global Education Monitoring Report: Inclusion and Education. — PDF: </w:t>
      </w:r>
      <w:hyperlink r:id="R8c4e9139a9d149c1">
        <w:r w:rsidRPr="5FF0A1E2" w:rsidR="4B8FF233">
          <w:rPr>
            <w:rStyle w:val="Hyperlink"/>
            <w:rFonts w:ascii="Arial" w:hAnsi="Arial" w:eastAsia="Arial" w:cs="Arial"/>
            <w:noProof w:val="0"/>
            <w:sz w:val="22"/>
            <w:szCs w:val="22"/>
            <w:lang w:val="en-GB"/>
          </w:rPr>
          <w:t>https://unesdoc.unesco.org/ark:/48223/pf0000373724</w:t>
        </w:r>
      </w:hyperlink>
      <w:r w:rsidRPr="5FF0A1E2" w:rsidR="4B8FF233">
        <w:rPr>
          <w:rFonts w:ascii="Arial" w:hAnsi="Arial" w:eastAsia="Arial" w:cs="Arial"/>
          <w:noProof w:val="0"/>
          <w:sz w:val="22"/>
          <w:szCs w:val="22"/>
          <w:lang w:val="en-GB"/>
        </w:rPr>
        <w:t xml:space="preserve"> </w:t>
      </w:r>
    </w:p>
    <w:p w:rsidR="00621776" w:rsidP="5FF0A1E2" w:rsidRDefault="00621776" w14:paraId="00C1FD7F" w14:textId="3C1FC87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UNESCO (2022). 2020 GEM REPORT ANIMATION. (online) Unesco.org. Available at: </w:t>
      </w:r>
      <w:hyperlink r:id="R2f55cad4c9ee49e7">
        <w:r w:rsidRPr="5FF0A1E2" w:rsidR="4B8FF233">
          <w:rPr>
            <w:rStyle w:val="Hyperlink"/>
            <w:rFonts w:ascii="Arial" w:hAnsi="Arial" w:eastAsia="Arial" w:cs="Arial"/>
            <w:noProof w:val="0"/>
            <w:sz w:val="22"/>
            <w:szCs w:val="22"/>
            <w:lang w:val="en-GB"/>
          </w:rPr>
          <w:t>https://www.unesco.org/gem-report/en/publication/inclusion-and-education</w:t>
        </w:r>
      </w:hyperlink>
      <w:r w:rsidRPr="5FF0A1E2" w:rsidR="4B8FF233">
        <w:rPr>
          <w:rFonts w:ascii="Arial" w:hAnsi="Arial" w:eastAsia="Arial" w:cs="Arial"/>
          <w:noProof w:val="0"/>
          <w:sz w:val="22"/>
          <w:szCs w:val="22"/>
          <w:lang w:val="en-GB"/>
        </w:rPr>
        <w:t xml:space="preserve">. </w:t>
      </w:r>
    </w:p>
    <w:p w:rsidR="00621776" w:rsidP="5FF0A1E2" w:rsidRDefault="00621776" w14:paraId="1A7A37D9" w14:textId="75BA84D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Van der Lee, J.H., Mulier, B., Offringa, M. &amp; van den Heuvel-</w:t>
      </w:r>
      <w:r w:rsidRPr="5FF0A1E2" w:rsidR="4B8FF233">
        <w:rPr>
          <w:rFonts w:ascii="Arial" w:hAnsi="Arial" w:eastAsia="Arial" w:cs="Arial"/>
          <w:noProof w:val="0"/>
          <w:sz w:val="22"/>
          <w:szCs w:val="22"/>
          <w:lang w:val="en-GB"/>
        </w:rPr>
        <w:t>Eibrink</w:t>
      </w:r>
      <w:r w:rsidRPr="5FF0A1E2" w:rsidR="4B8FF233">
        <w:rPr>
          <w:rFonts w:ascii="Arial" w:hAnsi="Arial" w:eastAsia="Arial" w:cs="Arial"/>
          <w:noProof w:val="0"/>
          <w:sz w:val="22"/>
          <w:szCs w:val="22"/>
          <w:lang w:val="en-GB"/>
        </w:rPr>
        <w:t xml:space="preserve">, M. (2017) ‘Characteristics of child development in the context of serious illness’, BMC </w:t>
      </w:r>
      <w:r w:rsidRPr="5FF0A1E2" w:rsidR="4B8FF233">
        <w:rPr>
          <w:rFonts w:ascii="Arial" w:hAnsi="Arial" w:eastAsia="Arial" w:cs="Arial"/>
          <w:noProof w:val="0"/>
          <w:sz w:val="22"/>
          <w:szCs w:val="22"/>
          <w:lang w:val="en-GB"/>
        </w:rPr>
        <w:t>Pediatrics</w:t>
      </w:r>
      <w:r w:rsidRPr="5FF0A1E2" w:rsidR="4B8FF233">
        <w:rPr>
          <w:rFonts w:ascii="Arial" w:hAnsi="Arial" w:eastAsia="Arial" w:cs="Arial"/>
          <w:noProof w:val="0"/>
          <w:sz w:val="22"/>
          <w:szCs w:val="22"/>
          <w:lang w:val="en-GB"/>
        </w:rPr>
        <w:t xml:space="preserve">, 17, article 61. </w:t>
      </w:r>
      <w:hyperlink r:id="R08c4973d7b08467f">
        <w:r w:rsidRPr="5FF0A1E2" w:rsidR="4B8FF233">
          <w:rPr>
            <w:rStyle w:val="Hyperlink"/>
            <w:rFonts w:ascii="Arial" w:hAnsi="Arial" w:eastAsia="Arial" w:cs="Arial"/>
            <w:noProof w:val="0"/>
            <w:sz w:val="22"/>
            <w:szCs w:val="22"/>
            <w:lang w:val="en-GB"/>
          </w:rPr>
          <w:t>https://bmcpediatr.biomedcentral.com/articles/10.1186/s12887-017-0810-1</w:t>
        </w:r>
      </w:hyperlink>
      <w:r w:rsidRPr="5FF0A1E2" w:rsidR="4B8FF233">
        <w:rPr>
          <w:rFonts w:ascii="Arial" w:hAnsi="Arial" w:eastAsia="Arial" w:cs="Arial"/>
          <w:noProof w:val="0"/>
          <w:sz w:val="22"/>
          <w:szCs w:val="22"/>
          <w:lang w:val="en-GB"/>
        </w:rPr>
        <w:t xml:space="preserve"> </w:t>
      </w:r>
    </w:p>
    <w:p w:rsidR="00621776" w:rsidP="5FF0A1E2" w:rsidRDefault="00621776" w14:paraId="6CA7FEF0" w14:textId="34C1BECA">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nl"/>
        </w:rPr>
        <w:t xml:space="preserve">van Dijk, J. (2020) The Digital Divide. </w:t>
      </w:r>
      <w:r w:rsidRPr="5FF0A1E2" w:rsidR="4B8FF233">
        <w:rPr>
          <w:rFonts w:ascii="Arial" w:hAnsi="Arial" w:eastAsia="Arial" w:cs="Arial"/>
          <w:noProof w:val="0"/>
          <w:sz w:val="22"/>
          <w:szCs w:val="22"/>
          <w:lang w:val="en-GB"/>
        </w:rPr>
        <w:t>Polity Press</w:t>
      </w:r>
      <w:r w:rsidRPr="5FF0A1E2" w:rsidR="4B8FF233">
        <w:rPr>
          <w:rFonts w:ascii="Arial" w:hAnsi="Arial" w:eastAsia="Arial" w:cs="Arial"/>
          <w:noProof w:val="0"/>
          <w:sz w:val="22"/>
          <w:szCs w:val="22"/>
          <w:lang w:val="en-GB"/>
        </w:rPr>
        <w:t xml:space="preserve">.  </w:t>
      </w:r>
    </w:p>
    <w:p w:rsidR="00621776" w:rsidP="5FF0A1E2" w:rsidRDefault="00621776" w14:paraId="69E84E45" w14:textId="04D9EA29">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Van Dijk, J. (2020) The Digital Divide. Polity Press. — Publisher: </w:t>
      </w:r>
      <w:hyperlink r:id="R22cd721881be454d">
        <w:r w:rsidRPr="5FF0A1E2" w:rsidR="4B8FF233">
          <w:rPr>
            <w:rStyle w:val="Hyperlink"/>
            <w:rFonts w:ascii="Arial" w:hAnsi="Arial" w:eastAsia="Arial" w:cs="Arial"/>
            <w:noProof w:val="0"/>
            <w:sz w:val="22"/>
            <w:szCs w:val="22"/>
            <w:lang w:val="en-GB"/>
          </w:rPr>
          <w:t>https://www.politybooks.com/bookdetail?book_slug=the-digital-divide--9781509536436</w:t>
        </w:r>
      </w:hyperlink>
      <w:r w:rsidRPr="5FF0A1E2" w:rsidR="4B8FF233">
        <w:rPr>
          <w:rFonts w:ascii="Arial" w:hAnsi="Arial" w:eastAsia="Arial" w:cs="Arial"/>
          <w:noProof w:val="0"/>
          <w:sz w:val="22"/>
          <w:szCs w:val="22"/>
          <w:lang w:val="en-GB"/>
        </w:rPr>
        <w:t xml:space="preserve"> </w:t>
      </w:r>
    </w:p>
    <w:p w:rsidR="00621776" w:rsidP="5FF0A1E2" w:rsidRDefault="00621776" w14:paraId="28C86CE3" w14:textId="762C0AB4">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Walliman</w:t>
      </w:r>
      <w:r w:rsidRPr="5FF0A1E2" w:rsidR="4B8FF233">
        <w:rPr>
          <w:rFonts w:ascii="Arial" w:hAnsi="Arial" w:eastAsia="Arial" w:cs="Arial"/>
          <w:noProof w:val="0"/>
          <w:sz w:val="22"/>
          <w:szCs w:val="22"/>
          <w:lang w:val="en-GB"/>
        </w:rPr>
        <w:t xml:space="preserve">, N. (2017) Research Methods: The Basics. 2nd </w:t>
      </w:r>
      <w:r w:rsidRPr="5FF0A1E2" w:rsidR="4B8FF233">
        <w:rPr>
          <w:rFonts w:ascii="Arial" w:hAnsi="Arial" w:eastAsia="Arial" w:cs="Arial"/>
          <w:noProof w:val="0"/>
          <w:sz w:val="22"/>
          <w:szCs w:val="22"/>
          <w:lang w:val="en-GB"/>
        </w:rPr>
        <w:t>edn</w:t>
      </w:r>
      <w:r w:rsidRPr="5FF0A1E2" w:rsidR="4B8FF233">
        <w:rPr>
          <w:rFonts w:ascii="Arial" w:hAnsi="Arial" w:eastAsia="Arial" w:cs="Arial"/>
          <w:noProof w:val="0"/>
          <w:sz w:val="22"/>
          <w:szCs w:val="22"/>
          <w:lang w:val="en-GB"/>
        </w:rPr>
        <w:t>. Abingdon: Routledge</w:t>
      </w:r>
      <w:r w:rsidRPr="5FF0A1E2" w:rsidR="4B8FF233">
        <w:rPr>
          <w:rFonts w:ascii="Arial" w:hAnsi="Arial" w:eastAsia="Arial" w:cs="Arial"/>
          <w:noProof w:val="0"/>
          <w:sz w:val="22"/>
          <w:szCs w:val="22"/>
          <w:lang w:val="en-GB"/>
        </w:rPr>
        <w:t xml:space="preserve">.  </w:t>
      </w:r>
    </w:p>
    <w:p w:rsidR="00621776" w:rsidP="5FF0A1E2" w:rsidRDefault="00621776" w14:paraId="58E3C46C" w14:textId="6907170C">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Warschauer, M. (2004) Technology and Social Inclusion. MIT Press</w:t>
      </w:r>
      <w:r w:rsidRPr="5FF0A1E2" w:rsidR="4B8FF233">
        <w:rPr>
          <w:rFonts w:ascii="Arial" w:hAnsi="Arial" w:eastAsia="Arial" w:cs="Arial"/>
          <w:noProof w:val="0"/>
          <w:sz w:val="22"/>
          <w:szCs w:val="22"/>
          <w:lang w:val="en-GB"/>
        </w:rPr>
        <w:t xml:space="preserve">.  </w:t>
      </w:r>
    </w:p>
    <w:p w:rsidR="00621776" w:rsidP="5FF0A1E2" w:rsidRDefault="00621776" w14:paraId="5BF1C870" w14:textId="4562D39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Whitehead, K. (2020) ‘Education experiences of children with chronic fatigue syndrome’, British Educational Research Journal, 46(3), pp. 524–541</w:t>
      </w:r>
      <w:r w:rsidRPr="5FF0A1E2" w:rsidR="4B8FF233">
        <w:rPr>
          <w:rFonts w:ascii="Arial" w:hAnsi="Arial" w:eastAsia="Arial" w:cs="Arial"/>
          <w:noProof w:val="0"/>
          <w:sz w:val="22"/>
          <w:szCs w:val="22"/>
          <w:lang w:val="en-GB"/>
        </w:rPr>
        <w:t xml:space="preserve">.  </w:t>
      </w:r>
    </w:p>
    <w:p w:rsidR="00621776" w:rsidP="5FF0A1E2" w:rsidRDefault="00621776" w14:paraId="1B1C4608" w14:textId="6531D516">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nl"/>
        </w:rPr>
        <w:t xml:space="preserve">‌Wijlaars, L.P.M.M., Gilbert, R. and Hardelid, P. (2016). </w:t>
      </w:r>
      <w:r w:rsidRPr="5FF0A1E2" w:rsidR="4B8FF233">
        <w:rPr>
          <w:rFonts w:ascii="Arial" w:hAnsi="Arial" w:eastAsia="Arial" w:cs="Arial"/>
          <w:noProof w:val="0"/>
          <w:sz w:val="22"/>
          <w:szCs w:val="22"/>
          <w:lang w:val="en-GB"/>
        </w:rPr>
        <w:t xml:space="preserve">Chronic conditions in children and young people: learning from administrative data. Archives of Disease in Childhood, 101(10), pp.881–885. </w:t>
      </w:r>
      <w:r w:rsidRPr="5FF0A1E2" w:rsidR="4B8FF233">
        <w:rPr>
          <w:rFonts w:ascii="Arial" w:hAnsi="Arial" w:eastAsia="Arial" w:cs="Arial"/>
          <w:noProof w:val="0"/>
          <w:sz w:val="22"/>
          <w:szCs w:val="22"/>
          <w:lang w:val="en-GB"/>
        </w:rPr>
        <w:t>doi:https</w:t>
      </w:r>
      <w:r w:rsidRPr="5FF0A1E2" w:rsidR="4B8FF233">
        <w:rPr>
          <w:rFonts w:ascii="Arial" w:hAnsi="Arial" w:eastAsia="Arial" w:cs="Arial"/>
          <w:noProof w:val="0"/>
          <w:sz w:val="22"/>
          <w:szCs w:val="22"/>
          <w:lang w:val="en-GB"/>
        </w:rPr>
        <w:t xml:space="preserve">://doi.org/10.1136/archdischild-2016-310716. </w:t>
      </w:r>
    </w:p>
    <w:p w:rsidR="00621776" w:rsidP="5FF0A1E2" w:rsidRDefault="00621776" w14:paraId="471AFC1F" w14:textId="0D87BBBF">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nl"/>
        </w:rPr>
        <w:t xml:space="preserve">Wijlaars, L.P.M.M., Madden, R., et al. </w:t>
      </w:r>
      <w:r w:rsidRPr="5FF0A1E2" w:rsidR="4B8FF233">
        <w:rPr>
          <w:rFonts w:ascii="Arial" w:hAnsi="Arial" w:eastAsia="Arial" w:cs="Arial"/>
          <w:noProof w:val="0"/>
          <w:sz w:val="22"/>
          <w:szCs w:val="22"/>
          <w:lang w:val="en-GB"/>
        </w:rPr>
        <w:t xml:space="preserve">(2016) ‘Chronic conditions in children and young people’, Archives of Disease in Childhood, 101(10), pp. 881–885. </w:t>
      </w:r>
      <w:hyperlink r:id="R9c0f3bb574084c54">
        <w:r w:rsidRPr="5FF0A1E2" w:rsidR="4B8FF233">
          <w:rPr>
            <w:rStyle w:val="Hyperlink"/>
            <w:rFonts w:ascii="Arial" w:hAnsi="Arial" w:eastAsia="Arial" w:cs="Arial"/>
            <w:noProof w:val="0"/>
            <w:sz w:val="22"/>
            <w:szCs w:val="22"/>
            <w:lang w:val="en-GB"/>
          </w:rPr>
          <w:t>https://adc.bmj.com/content/101/10/881</w:t>
        </w:r>
      </w:hyperlink>
      <w:r w:rsidRPr="5FF0A1E2" w:rsidR="4B8FF233">
        <w:rPr>
          <w:rFonts w:ascii="Arial" w:hAnsi="Arial" w:eastAsia="Arial" w:cs="Arial"/>
          <w:noProof w:val="0"/>
          <w:sz w:val="22"/>
          <w:szCs w:val="22"/>
          <w:lang w:val="en-GB"/>
        </w:rPr>
        <w:t xml:space="preserve"> </w:t>
      </w:r>
    </w:p>
    <w:p w:rsidR="00621776" w:rsidP="5FF0A1E2" w:rsidRDefault="00621776" w14:paraId="0E13FB9A" w14:textId="73500715">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Wilkinson, </w:t>
      </w:r>
      <w:r w:rsidRPr="5FF0A1E2" w:rsidR="4B8FF233">
        <w:rPr>
          <w:rFonts w:ascii="Arial" w:hAnsi="Arial" w:eastAsia="Arial" w:cs="Arial"/>
          <w:noProof w:val="0"/>
          <w:sz w:val="22"/>
          <w:szCs w:val="22"/>
          <w:lang w:val="en-GB"/>
        </w:rPr>
        <w:t>S.</w:t>
      </w:r>
      <w:r w:rsidRPr="5FF0A1E2" w:rsidR="4B8FF233">
        <w:rPr>
          <w:rFonts w:ascii="Arial" w:hAnsi="Arial" w:eastAsia="Arial" w:cs="Arial"/>
          <w:noProof w:val="0"/>
          <w:sz w:val="22"/>
          <w:szCs w:val="22"/>
          <w:lang w:val="en-GB"/>
        </w:rPr>
        <w:t xml:space="preserve"> and Nairn, K. (2020) ‘Resource constraints and interprofessional communication in child health’, Health Education Journal, 79(7), pp. 802–815</w:t>
      </w:r>
    </w:p>
    <w:p w:rsidR="00621776" w:rsidP="5FF0A1E2" w:rsidRDefault="00621776" w14:paraId="7BC0355A" w14:textId="782AC3CB">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World Health Organization (2018) Global School Health Initiative: Policy Framework. — WHO: </w:t>
      </w:r>
      <w:hyperlink r:id="Rb47037cacf334ae5">
        <w:r w:rsidRPr="5FF0A1E2" w:rsidR="4B8FF233">
          <w:rPr>
            <w:rStyle w:val="Hyperlink"/>
            <w:rFonts w:ascii="Arial" w:hAnsi="Arial" w:eastAsia="Arial" w:cs="Arial"/>
            <w:noProof w:val="0"/>
            <w:sz w:val="22"/>
            <w:szCs w:val="22"/>
            <w:lang w:val="en-GB"/>
          </w:rPr>
          <w:t>https://www.who.int/teams/health-promotion/school-health</w:t>
        </w:r>
      </w:hyperlink>
      <w:r w:rsidRPr="5FF0A1E2" w:rsidR="4B8FF233">
        <w:rPr>
          <w:rFonts w:ascii="Arial" w:hAnsi="Arial" w:eastAsia="Arial" w:cs="Arial"/>
          <w:noProof w:val="0"/>
          <w:sz w:val="22"/>
          <w:szCs w:val="22"/>
          <w:lang w:val="en-GB"/>
        </w:rPr>
        <w:t xml:space="preserve"> </w:t>
      </w:r>
    </w:p>
    <w:p w:rsidR="00621776" w:rsidP="5FF0A1E2" w:rsidRDefault="00621776" w14:paraId="412D5DFA" w14:textId="7FE0FA01">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World Health Organization (2018) Global School Health Initiative: Policy Framework. Geneva: WHO</w:t>
      </w:r>
      <w:r w:rsidRPr="5FF0A1E2" w:rsidR="4B8FF233">
        <w:rPr>
          <w:rFonts w:ascii="Arial" w:hAnsi="Arial" w:eastAsia="Arial" w:cs="Arial"/>
          <w:noProof w:val="0"/>
          <w:sz w:val="22"/>
          <w:szCs w:val="22"/>
          <w:lang w:val="en-GB"/>
        </w:rPr>
        <w:t xml:space="preserve">.  </w:t>
      </w:r>
    </w:p>
    <w:p w:rsidR="00621776" w:rsidP="5FF0A1E2" w:rsidRDefault="00621776" w14:paraId="0F86B9DE" w14:textId="5DD7D6A0">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 xml:space="preserve">World Health Organization (WHO) (2020) Noncommunicable Diseases: Key Facts. Geneva: WHO. — Webpage (fact sheet): </w:t>
      </w:r>
      <w:hyperlink r:id="R5715f7675b784170">
        <w:r w:rsidRPr="5FF0A1E2" w:rsidR="4B8FF233">
          <w:rPr>
            <w:rStyle w:val="Hyperlink"/>
            <w:rFonts w:ascii="Arial" w:hAnsi="Arial" w:eastAsia="Arial" w:cs="Arial"/>
            <w:noProof w:val="0"/>
            <w:sz w:val="22"/>
            <w:szCs w:val="22"/>
            <w:lang w:val="en-GB"/>
          </w:rPr>
          <w:t>https://www.who.int/news-room/fact-sheets/detail/noncommunicable-diseases</w:t>
        </w:r>
      </w:hyperlink>
      <w:r w:rsidRPr="5FF0A1E2" w:rsidR="4B8FF233">
        <w:rPr>
          <w:rFonts w:ascii="Arial" w:hAnsi="Arial" w:eastAsia="Arial" w:cs="Arial"/>
          <w:noProof w:val="0"/>
          <w:sz w:val="22"/>
          <w:szCs w:val="22"/>
          <w:lang w:val="en-GB"/>
        </w:rPr>
        <w:t xml:space="preserve"> </w:t>
      </w:r>
    </w:p>
    <w:p w:rsidR="00621776" w:rsidP="5FF0A1E2" w:rsidRDefault="00621776" w14:paraId="6D5E1970" w14:textId="543EA3DA">
      <w:pPr>
        <w:pStyle w:val="ListParagraph"/>
        <w:numPr>
          <w:ilvl w:val="0"/>
          <w:numId w:val="104"/>
        </w:numPr>
        <w:spacing w:before="0" w:beforeAutospacing="off" w:after="160" w:afterAutospacing="off" w:line="360" w:lineRule="auto"/>
        <w:jc w:val="left"/>
        <w:rPr>
          <w:rFonts w:ascii="Arial" w:hAnsi="Arial" w:eastAsia="Arial" w:cs="Arial"/>
          <w:noProof w:val="0"/>
          <w:sz w:val="22"/>
          <w:szCs w:val="22"/>
          <w:lang w:val="en-GB"/>
        </w:rPr>
      </w:pPr>
      <w:r w:rsidRPr="5FF0A1E2" w:rsidR="4B8FF233">
        <w:rPr>
          <w:rFonts w:ascii="Arial" w:hAnsi="Arial" w:eastAsia="Arial" w:cs="Arial"/>
          <w:noProof w:val="0"/>
          <w:sz w:val="22"/>
          <w:szCs w:val="22"/>
          <w:lang w:val="en-GB"/>
        </w:rPr>
        <w:t>‌</w:t>
      </w:r>
      <w:hyperlink r:id="Rd21a496ac18e4871">
        <w:r w:rsidRPr="5FF0A1E2" w:rsidR="4B8FF233">
          <w:rPr>
            <w:rStyle w:val="Hyperlink"/>
            <w:rFonts w:ascii="Arial" w:hAnsi="Arial" w:eastAsia="Arial" w:cs="Arial"/>
            <w:noProof w:val="0"/>
            <w:sz w:val="22"/>
            <w:szCs w:val="22"/>
            <w:lang w:val="en-GB"/>
          </w:rPr>
          <w:t>www.who.int</w:t>
        </w:r>
      </w:hyperlink>
      <w:r w:rsidRPr="5FF0A1E2" w:rsidR="4B8FF233">
        <w:rPr>
          <w:rFonts w:ascii="Arial" w:hAnsi="Arial" w:eastAsia="Arial" w:cs="Arial"/>
          <w:noProof w:val="0"/>
          <w:sz w:val="22"/>
          <w:szCs w:val="22"/>
          <w:lang w:val="en-GB"/>
        </w:rPr>
        <w:t xml:space="preserve">. (n.d.). Noncommunicable Diseases Progress Monitor 2020. (online)Available at: </w:t>
      </w:r>
      <w:hyperlink r:id="R4b1c152c848f4717">
        <w:r w:rsidRPr="5FF0A1E2" w:rsidR="4B8FF233">
          <w:rPr>
            <w:rStyle w:val="Hyperlink"/>
            <w:rFonts w:ascii="Arial" w:hAnsi="Arial" w:eastAsia="Arial" w:cs="Arial"/>
            <w:noProof w:val="0"/>
            <w:sz w:val="22"/>
            <w:szCs w:val="22"/>
            <w:lang w:val="en-GB"/>
          </w:rPr>
          <w:t>https://www.who.int/publications/i/item/ncd-progress-monitor-2020</w:t>
        </w:r>
      </w:hyperlink>
      <w:r w:rsidRPr="5FF0A1E2" w:rsidR="4B8FF233">
        <w:rPr>
          <w:rFonts w:ascii="Arial" w:hAnsi="Arial" w:eastAsia="Arial" w:cs="Arial"/>
          <w:noProof w:val="0"/>
          <w:sz w:val="22"/>
          <w:szCs w:val="22"/>
          <w:lang w:val="en-GB"/>
        </w:rPr>
        <w:t>.</w:t>
      </w:r>
    </w:p>
    <w:p w:rsidR="00621776" w:rsidP="5FF0A1E2" w:rsidRDefault="00621776" w14:paraId="2C10FD45" w14:textId="4ED792BA">
      <w:pPr>
        <w:pStyle w:val="Normal"/>
        <w:spacing w:before="240" w:beforeAutospacing="off" w:after="240" w:afterAutospacing="off" w:line="360" w:lineRule="auto"/>
        <w:ind w:left="0" w:hanging="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0621776" w:rsidP="5FF0A1E2" w:rsidRDefault="00621776" w14:paraId="3C7AA80C" w14:textId="5A3AEAD1">
      <w:pPr>
        <w:pStyle w:val="ListParagraph"/>
        <w:spacing w:before="240" w:beforeAutospacing="off" w:after="240" w:afterAutospacing="off"/>
        <w:ind w:left="720"/>
        <w:rPr>
          <w:noProof w:val="0"/>
          <w:lang w:val="en-GB"/>
        </w:rPr>
      </w:pPr>
    </w:p>
    <w:p w:rsidR="5FF0A1E2" w:rsidP="5FF0A1E2" w:rsidRDefault="5FF0A1E2" w14:paraId="4190BAA7" w14:textId="004A4ABB">
      <w:pPr>
        <w:pStyle w:val="Heading1"/>
        <w:ind w:left="0"/>
        <w:rPr>
          <w:rFonts w:ascii="Aptos" w:hAnsi="Aptos"/>
          <w:sz w:val="28"/>
          <w:szCs w:val="28"/>
        </w:rPr>
      </w:pPr>
    </w:p>
    <w:p w:rsidR="5FF0A1E2" w:rsidP="5FF0A1E2" w:rsidRDefault="5FF0A1E2" w14:paraId="779BEAA7" w14:textId="177E266C">
      <w:pPr>
        <w:pStyle w:val="Heading1"/>
        <w:ind w:left="0"/>
        <w:rPr>
          <w:rFonts w:ascii="Aptos" w:hAnsi="Aptos"/>
          <w:sz w:val="28"/>
          <w:szCs w:val="28"/>
        </w:rPr>
      </w:pPr>
    </w:p>
    <w:p w:rsidR="5FF0A1E2" w:rsidP="5FF0A1E2" w:rsidRDefault="5FF0A1E2" w14:paraId="5BC526B4" w14:textId="46B11D03">
      <w:pPr>
        <w:pStyle w:val="Heading1"/>
        <w:ind w:left="0"/>
        <w:rPr>
          <w:rFonts w:ascii="Aptos" w:hAnsi="Aptos"/>
          <w:sz w:val="28"/>
          <w:szCs w:val="28"/>
        </w:rPr>
      </w:pPr>
    </w:p>
    <w:p w:rsidR="5FF0A1E2" w:rsidP="5FF0A1E2" w:rsidRDefault="5FF0A1E2" w14:paraId="3D1EE860" w14:textId="35215CCF">
      <w:pPr>
        <w:pStyle w:val="Heading1"/>
        <w:ind w:left="0"/>
        <w:rPr>
          <w:rFonts w:ascii="Aptos" w:hAnsi="Aptos"/>
          <w:sz w:val="28"/>
          <w:szCs w:val="28"/>
        </w:rPr>
      </w:pPr>
    </w:p>
    <w:p w:rsidR="5FF0A1E2" w:rsidP="5FF0A1E2" w:rsidRDefault="5FF0A1E2" w14:paraId="002326F3" w14:textId="5F3DFBB9">
      <w:pPr>
        <w:pStyle w:val="Heading1"/>
        <w:ind w:left="0"/>
        <w:rPr>
          <w:rFonts w:ascii="Aptos" w:hAnsi="Aptos"/>
          <w:sz w:val="28"/>
          <w:szCs w:val="28"/>
        </w:rPr>
      </w:pPr>
    </w:p>
    <w:p w:rsidR="5FF0A1E2" w:rsidP="5FF0A1E2" w:rsidRDefault="5FF0A1E2" w14:paraId="0E3486FA" w14:textId="2B73970F">
      <w:pPr>
        <w:pStyle w:val="Heading1"/>
        <w:ind w:left="0"/>
        <w:rPr>
          <w:rFonts w:ascii="Aptos" w:hAnsi="Aptos"/>
          <w:sz w:val="28"/>
          <w:szCs w:val="28"/>
        </w:rPr>
      </w:pPr>
    </w:p>
    <w:p w:rsidR="5FF0A1E2" w:rsidP="5FF0A1E2" w:rsidRDefault="5FF0A1E2" w14:paraId="7DCECD7C" w14:textId="5C9609A5">
      <w:pPr>
        <w:pStyle w:val="Heading1"/>
        <w:ind w:left="0"/>
        <w:rPr>
          <w:rFonts w:ascii="Aptos" w:hAnsi="Aptos"/>
          <w:sz w:val="28"/>
          <w:szCs w:val="28"/>
        </w:rPr>
      </w:pPr>
    </w:p>
    <w:p w:rsidR="5FF0A1E2" w:rsidP="5FF0A1E2" w:rsidRDefault="5FF0A1E2" w14:paraId="62E147F3" w14:textId="171DA49C">
      <w:pPr>
        <w:pStyle w:val="Heading1"/>
        <w:ind w:left="0"/>
        <w:rPr>
          <w:rFonts w:ascii="Aptos" w:hAnsi="Aptos"/>
          <w:sz w:val="28"/>
          <w:szCs w:val="28"/>
        </w:rPr>
      </w:pPr>
    </w:p>
    <w:p w:rsidR="5FF0A1E2" w:rsidP="5FF0A1E2" w:rsidRDefault="5FF0A1E2" w14:paraId="7B62D544" w14:textId="214DFF97">
      <w:pPr>
        <w:pStyle w:val="Heading1"/>
        <w:ind w:left="0"/>
        <w:rPr>
          <w:rFonts w:ascii="Aptos" w:hAnsi="Aptos"/>
          <w:sz w:val="28"/>
          <w:szCs w:val="28"/>
        </w:rPr>
      </w:pPr>
    </w:p>
    <w:p w:rsidR="5FF0A1E2" w:rsidP="5FF0A1E2" w:rsidRDefault="5FF0A1E2" w14:paraId="4A573FA4" w14:textId="0E0ABD89">
      <w:pPr>
        <w:pStyle w:val="Heading1"/>
        <w:ind w:left="0"/>
        <w:rPr>
          <w:rFonts w:ascii="Aptos" w:hAnsi="Aptos"/>
          <w:sz w:val="28"/>
          <w:szCs w:val="28"/>
        </w:rPr>
      </w:pPr>
    </w:p>
    <w:p w:rsidR="5FF0A1E2" w:rsidP="5FF0A1E2" w:rsidRDefault="5FF0A1E2" w14:paraId="07D4A09D" w14:textId="32D199BB">
      <w:pPr>
        <w:pStyle w:val="Heading1"/>
        <w:ind w:left="0"/>
        <w:rPr>
          <w:rFonts w:ascii="Aptos" w:hAnsi="Aptos"/>
          <w:sz w:val="28"/>
          <w:szCs w:val="28"/>
        </w:rPr>
      </w:pPr>
    </w:p>
    <w:p w:rsidR="5FF0A1E2" w:rsidP="5FF0A1E2" w:rsidRDefault="5FF0A1E2" w14:paraId="1DB77D1B" w14:textId="73C31538">
      <w:pPr>
        <w:pStyle w:val="Heading1"/>
        <w:ind w:left="0"/>
        <w:rPr>
          <w:rFonts w:ascii="Aptos" w:hAnsi="Aptos"/>
          <w:sz w:val="28"/>
          <w:szCs w:val="28"/>
        </w:rPr>
      </w:pPr>
    </w:p>
    <w:p w:rsidR="5FF0A1E2" w:rsidP="5FF0A1E2" w:rsidRDefault="5FF0A1E2" w14:paraId="4A659B13" w14:textId="54368398">
      <w:pPr>
        <w:pStyle w:val="Heading1"/>
        <w:ind w:left="0"/>
        <w:rPr>
          <w:rFonts w:ascii="Aptos" w:hAnsi="Aptos"/>
          <w:sz w:val="28"/>
          <w:szCs w:val="28"/>
        </w:rPr>
      </w:pPr>
    </w:p>
    <w:p w:rsidR="5FF0A1E2" w:rsidP="5FF0A1E2" w:rsidRDefault="5FF0A1E2" w14:paraId="3142B371" w14:textId="489F475A">
      <w:pPr>
        <w:pStyle w:val="Heading1"/>
        <w:ind w:left="0"/>
        <w:rPr>
          <w:rFonts w:ascii="Aptos" w:hAnsi="Aptos"/>
          <w:sz w:val="28"/>
          <w:szCs w:val="28"/>
        </w:rPr>
      </w:pPr>
    </w:p>
    <w:p w:rsidR="5FF0A1E2" w:rsidP="5FF0A1E2" w:rsidRDefault="5FF0A1E2" w14:paraId="3BDC70C0" w14:textId="20EBF95A">
      <w:pPr>
        <w:pStyle w:val="Heading1"/>
        <w:ind w:left="0"/>
        <w:rPr>
          <w:rFonts w:ascii="Aptos" w:hAnsi="Aptos"/>
          <w:sz w:val="28"/>
          <w:szCs w:val="28"/>
        </w:rPr>
      </w:pPr>
    </w:p>
    <w:p w:rsidR="5FF0A1E2" w:rsidP="5FF0A1E2" w:rsidRDefault="5FF0A1E2" w14:paraId="65A2AF2A" w14:textId="4E002F0C">
      <w:pPr>
        <w:pStyle w:val="Heading1"/>
        <w:ind w:left="0"/>
        <w:rPr>
          <w:rFonts w:ascii="Aptos" w:hAnsi="Aptos"/>
          <w:sz w:val="28"/>
          <w:szCs w:val="28"/>
        </w:rPr>
      </w:pPr>
    </w:p>
    <w:p w:rsidR="5FF0A1E2" w:rsidP="5FF0A1E2" w:rsidRDefault="5FF0A1E2" w14:paraId="12E01889" w14:textId="0043FA1C">
      <w:pPr>
        <w:pStyle w:val="Heading1"/>
        <w:ind w:left="0"/>
        <w:rPr>
          <w:rFonts w:ascii="Aptos" w:hAnsi="Aptos"/>
          <w:sz w:val="28"/>
          <w:szCs w:val="28"/>
        </w:rPr>
      </w:pPr>
    </w:p>
    <w:p w:rsidR="5FF0A1E2" w:rsidP="5FF0A1E2" w:rsidRDefault="5FF0A1E2" w14:paraId="0C9E98DA" w14:textId="2DB93798">
      <w:pPr>
        <w:pStyle w:val="Heading1"/>
        <w:ind w:left="0"/>
        <w:rPr>
          <w:rFonts w:ascii="Aptos" w:hAnsi="Aptos"/>
          <w:sz w:val="28"/>
          <w:szCs w:val="28"/>
        </w:rPr>
      </w:pPr>
    </w:p>
    <w:p w:rsidR="5FF0A1E2" w:rsidP="5FF0A1E2" w:rsidRDefault="5FF0A1E2" w14:paraId="25A3CA09" w14:textId="09FC99BD">
      <w:pPr>
        <w:pStyle w:val="Heading1"/>
        <w:ind w:left="0"/>
        <w:rPr>
          <w:rFonts w:ascii="Aptos" w:hAnsi="Aptos"/>
          <w:sz w:val="28"/>
          <w:szCs w:val="28"/>
        </w:rPr>
      </w:pPr>
    </w:p>
    <w:p w:rsidR="5FF0A1E2" w:rsidP="5FF0A1E2" w:rsidRDefault="5FF0A1E2" w14:paraId="0CB74B3A" w14:textId="0DF077DA">
      <w:pPr>
        <w:pStyle w:val="Heading1"/>
        <w:ind w:left="0"/>
        <w:rPr>
          <w:rFonts w:ascii="Aptos" w:hAnsi="Aptos"/>
          <w:sz w:val="28"/>
          <w:szCs w:val="28"/>
        </w:rPr>
      </w:pPr>
    </w:p>
    <w:p w:rsidR="5FF0A1E2" w:rsidP="5FF0A1E2" w:rsidRDefault="5FF0A1E2" w14:paraId="7B827A55" w14:textId="19DDD601">
      <w:pPr>
        <w:pStyle w:val="Heading1"/>
        <w:ind w:left="0"/>
        <w:rPr>
          <w:rFonts w:ascii="Aptos" w:hAnsi="Aptos"/>
          <w:sz w:val="28"/>
          <w:szCs w:val="28"/>
        </w:rPr>
      </w:pPr>
    </w:p>
    <w:p w:rsidR="5FF0A1E2" w:rsidP="5FF0A1E2" w:rsidRDefault="5FF0A1E2" w14:paraId="4DC7F4A3" w14:textId="552CE753">
      <w:pPr>
        <w:pStyle w:val="Heading1"/>
        <w:ind w:left="0"/>
        <w:rPr>
          <w:rFonts w:ascii="Aptos" w:hAnsi="Aptos"/>
          <w:sz w:val="28"/>
          <w:szCs w:val="28"/>
        </w:rPr>
      </w:pPr>
    </w:p>
    <w:p w:rsidR="5FF0A1E2" w:rsidP="5FF0A1E2" w:rsidRDefault="5FF0A1E2" w14:paraId="28695CA1" w14:textId="444D4679">
      <w:pPr>
        <w:pStyle w:val="Heading1"/>
        <w:ind w:left="0"/>
        <w:rPr>
          <w:rFonts w:ascii="Aptos" w:hAnsi="Aptos"/>
          <w:sz w:val="28"/>
          <w:szCs w:val="28"/>
        </w:rPr>
      </w:pPr>
    </w:p>
    <w:p w:rsidR="5FF0A1E2" w:rsidP="5FF0A1E2" w:rsidRDefault="5FF0A1E2" w14:paraId="22E3A135" w14:textId="5EE2C5F9">
      <w:pPr>
        <w:pStyle w:val="Heading1"/>
        <w:ind w:left="0"/>
        <w:rPr>
          <w:rFonts w:ascii="Aptos" w:hAnsi="Aptos"/>
          <w:sz w:val="28"/>
          <w:szCs w:val="28"/>
        </w:rPr>
      </w:pPr>
    </w:p>
    <w:p w:rsidR="5FF0A1E2" w:rsidP="5FF0A1E2" w:rsidRDefault="5FF0A1E2" w14:paraId="3316094D" w14:textId="2495C254">
      <w:pPr>
        <w:pStyle w:val="Heading1"/>
        <w:ind w:left="0"/>
        <w:rPr>
          <w:rFonts w:ascii="Aptos" w:hAnsi="Aptos"/>
          <w:sz w:val="28"/>
          <w:szCs w:val="28"/>
        </w:rPr>
      </w:pPr>
    </w:p>
    <w:p w:rsidR="5FF0A1E2" w:rsidP="5FF0A1E2" w:rsidRDefault="5FF0A1E2" w14:paraId="1F7A394B" w14:textId="4690E844">
      <w:pPr>
        <w:pStyle w:val="Heading1"/>
        <w:ind w:left="0"/>
        <w:rPr>
          <w:rFonts w:ascii="Aptos" w:hAnsi="Aptos"/>
          <w:sz w:val="28"/>
          <w:szCs w:val="28"/>
        </w:rPr>
      </w:pPr>
    </w:p>
    <w:p w:rsidR="5FF0A1E2" w:rsidP="5FF0A1E2" w:rsidRDefault="5FF0A1E2" w14:paraId="6072C3D1" w14:textId="598CF4A4">
      <w:pPr>
        <w:pStyle w:val="Heading1"/>
        <w:ind w:left="0"/>
        <w:rPr>
          <w:rFonts w:ascii="Aptos" w:hAnsi="Aptos"/>
          <w:sz w:val="28"/>
          <w:szCs w:val="28"/>
        </w:rPr>
      </w:pPr>
    </w:p>
    <w:p w:rsidRPr="008C38C3" w:rsidR="00621776" w:rsidP="00621776" w:rsidRDefault="00621776" w14:paraId="6D7584F3" w14:textId="2BF13A34">
      <w:pPr>
        <w:pStyle w:val="Heading1"/>
        <w:ind w:left="0"/>
        <w:rPr>
          <w:rFonts w:ascii="Aptos" w:hAnsi="Aptos"/>
          <w:sz w:val="28"/>
          <w:szCs w:val="28"/>
        </w:rPr>
      </w:pPr>
      <w:bookmarkStart w:name="_Toc352251811" w:id="1754249349"/>
      <w:r w:rsidRPr="5FF0A1E2" w:rsidR="3B18BEB4">
        <w:rPr>
          <w:rFonts w:ascii="Aptos" w:hAnsi="Aptos"/>
          <w:sz w:val="28"/>
          <w:szCs w:val="28"/>
        </w:rPr>
        <w:t>6.2 – Appendices</w:t>
      </w:r>
      <w:bookmarkEnd w:id="1754249349"/>
      <w:r w:rsidRPr="5FF0A1E2" w:rsidR="3B18BEB4">
        <w:rPr>
          <w:rFonts w:ascii="Aptos" w:hAnsi="Aptos"/>
          <w:sz w:val="28"/>
          <w:szCs w:val="28"/>
        </w:rPr>
        <w:t xml:space="preserve"> </w:t>
      </w:r>
    </w:p>
    <w:p w:rsidR="008C38C3" w:rsidP="5FF0A1E2" w:rsidRDefault="008C38C3" w14:paraId="78D375C0" w14:textId="1F1BC7F7">
      <w:pPr>
        <w:pStyle w:val="Normal"/>
        <w:rPr>
          <w:highlight w:val="yellow"/>
        </w:rPr>
      </w:pPr>
    </w:p>
    <w:p w:rsidR="008C38C3" w:rsidP="5FF0A1E2" w:rsidRDefault="008C38C3" w14:paraId="48CAA59A" w14:textId="2C39DFDE">
      <w:pPr>
        <w:pStyle w:val="Heading1"/>
        <w:spacing w:before="360" w:beforeAutospacing="off" w:after="80" w:afterAutospacing="off" w:line="276" w:lineRule="auto"/>
        <w:jc w:val="center"/>
        <w:rPr>
          <w:rFonts w:ascii="Aptos Display" w:hAnsi="Aptos Display" w:eastAsia="Aptos Display" w:cs="Aptos Display"/>
          <w:b w:val="1"/>
          <w:bCs w:val="1"/>
          <w:noProof w:val="0"/>
          <w:color w:val="0F4761"/>
          <w:sz w:val="40"/>
          <w:szCs w:val="40"/>
          <w:lang w:val="en-GB"/>
        </w:rPr>
      </w:pPr>
      <w:bookmarkStart w:name="_Toc1255181677" w:id="125964876"/>
      <w:r w:rsidRPr="5FF0A1E2" w:rsidR="6B4AAE09">
        <w:rPr>
          <w:rFonts w:ascii="Aptos Display" w:hAnsi="Aptos Display" w:eastAsia="Aptos Display" w:cs="Aptos Display"/>
          <w:b w:val="1"/>
          <w:bCs w:val="1"/>
          <w:noProof w:val="0"/>
          <w:color w:val="0F4761"/>
          <w:sz w:val="40"/>
          <w:szCs w:val="40"/>
          <w:lang w:val="en-GB"/>
        </w:rPr>
        <w:t>BMHP6020 Independent Project Results Summary Table</w:t>
      </w:r>
      <w:bookmarkEnd w:id="125964876"/>
    </w:p>
    <w:tbl>
      <w:tblPr>
        <w:tblStyle w:val="TableGrid"/>
        <w:bidiVisual w:val="0"/>
        <w:tblW w:w="0" w:type="auto"/>
        <w:tblInd w:w="135" w:type="dxa"/>
        <w:tblLook w:val="04A0" w:firstRow="1" w:lastRow="0" w:firstColumn="1" w:lastColumn="0" w:noHBand="0" w:noVBand="1"/>
      </w:tblPr>
      <w:tblGrid>
        <w:gridCol w:w="960"/>
        <w:gridCol w:w="1155"/>
        <w:gridCol w:w="975"/>
        <w:gridCol w:w="1192"/>
        <w:gridCol w:w="1410"/>
        <w:gridCol w:w="1245"/>
        <w:gridCol w:w="1366"/>
        <w:gridCol w:w="1422"/>
      </w:tblGrid>
      <w:tr w:rsidR="5FF0A1E2" w:rsidTr="5FF0A1E2" w14:paraId="2D6DDB3C">
        <w:trPr>
          <w:trHeight w:val="1500"/>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5DB35536" w14:textId="14A73351">
            <w:pPr>
              <w:spacing w:before="0" w:beforeAutospacing="off" w:after="0" w:afterAutospacing="off"/>
              <w:jc w:val="center"/>
            </w:pPr>
            <w:r w:rsidRPr="5FF0A1E2" w:rsidR="5FF0A1E2">
              <w:rPr>
                <w:rFonts w:ascii="Aptos" w:hAnsi="Aptos" w:eastAsia="Aptos" w:cs="Aptos"/>
                <w:b w:val="1"/>
                <w:bCs w:val="1"/>
                <w:sz w:val="22"/>
                <w:szCs w:val="22"/>
              </w:rPr>
              <w:t>Author &amp; Year</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7B553822" w14:textId="078BB468">
            <w:pPr>
              <w:spacing w:before="0" w:beforeAutospacing="off" w:after="0" w:afterAutospacing="off"/>
              <w:jc w:val="center"/>
            </w:pPr>
            <w:r w:rsidRPr="5FF0A1E2" w:rsidR="5FF0A1E2">
              <w:rPr>
                <w:rFonts w:ascii="Aptos" w:hAnsi="Aptos" w:eastAsia="Aptos" w:cs="Aptos"/>
                <w:b w:val="1"/>
                <w:bCs w:val="1"/>
                <w:sz w:val="22"/>
                <w:szCs w:val="22"/>
              </w:rPr>
              <w:t>Article Title</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432723B6" w14:textId="567CA1C9">
            <w:pPr>
              <w:spacing w:before="0" w:beforeAutospacing="off" w:after="0" w:afterAutospacing="off"/>
              <w:jc w:val="center"/>
            </w:pPr>
            <w:r w:rsidRPr="5FF0A1E2" w:rsidR="5FF0A1E2">
              <w:rPr>
                <w:rFonts w:ascii="Aptos" w:hAnsi="Aptos" w:eastAsia="Aptos" w:cs="Aptos"/>
                <w:b w:val="1"/>
                <w:bCs w:val="1"/>
                <w:sz w:val="22"/>
                <w:szCs w:val="22"/>
              </w:rPr>
              <w:t>Type of Study</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7457F384" w14:textId="0FAB6B01">
            <w:pPr>
              <w:spacing w:before="0" w:beforeAutospacing="off" w:after="0" w:afterAutospacing="off"/>
              <w:jc w:val="center"/>
            </w:pPr>
            <w:r w:rsidRPr="5FF0A1E2" w:rsidR="5FF0A1E2">
              <w:rPr>
                <w:rFonts w:ascii="Aptos" w:hAnsi="Aptos" w:eastAsia="Aptos" w:cs="Aptos"/>
                <w:b w:val="1"/>
                <w:bCs w:val="1"/>
                <w:sz w:val="22"/>
                <w:szCs w:val="22"/>
              </w:rPr>
              <w:t>Research Method &amp; Sample Size</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5920D658" w14:textId="08941340">
            <w:pPr>
              <w:spacing w:before="0" w:beforeAutospacing="off" w:after="0" w:afterAutospacing="off"/>
              <w:jc w:val="center"/>
            </w:pPr>
            <w:r w:rsidRPr="5FF0A1E2" w:rsidR="5FF0A1E2">
              <w:rPr>
                <w:rFonts w:ascii="Aptos" w:hAnsi="Aptos" w:eastAsia="Aptos" w:cs="Aptos"/>
                <w:b w:val="1"/>
                <w:bCs w:val="1"/>
                <w:sz w:val="22"/>
                <w:szCs w:val="22"/>
              </w:rPr>
              <w:t>Strengths &amp; Limitations</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2EB10D42" w14:textId="3120701F">
            <w:pPr>
              <w:spacing w:before="0" w:beforeAutospacing="off" w:after="0" w:afterAutospacing="off"/>
              <w:jc w:val="center"/>
            </w:pPr>
            <w:r w:rsidRPr="5FF0A1E2" w:rsidR="5FF0A1E2">
              <w:rPr>
                <w:rFonts w:ascii="Aptos" w:hAnsi="Aptos" w:eastAsia="Aptos" w:cs="Aptos"/>
                <w:b w:val="1"/>
                <w:bCs w:val="1"/>
                <w:sz w:val="22"/>
                <w:szCs w:val="22"/>
              </w:rPr>
              <w:t>Main Findings</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597028BC" w14:textId="5A8532FD">
            <w:pPr>
              <w:spacing w:before="0" w:beforeAutospacing="off" w:after="0" w:afterAutospacing="off"/>
              <w:jc w:val="center"/>
            </w:pPr>
            <w:r w:rsidRPr="5FF0A1E2" w:rsidR="5FF0A1E2">
              <w:rPr>
                <w:rFonts w:ascii="Aptos" w:hAnsi="Aptos" w:eastAsia="Aptos" w:cs="Aptos"/>
                <w:b w:val="1"/>
                <w:bCs w:val="1"/>
                <w:sz w:val="22"/>
                <w:szCs w:val="22"/>
              </w:rPr>
              <w:t>Keywords &amp; Codes</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224B9EB7" w14:textId="0F0CA240">
            <w:pPr>
              <w:spacing w:before="0" w:beforeAutospacing="off" w:after="0" w:afterAutospacing="off"/>
              <w:jc w:val="center"/>
            </w:pPr>
            <w:r w:rsidRPr="5FF0A1E2" w:rsidR="5FF0A1E2">
              <w:rPr>
                <w:rFonts w:ascii="Aptos" w:hAnsi="Aptos" w:eastAsia="Aptos" w:cs="Aptos"/>
                <w:b w:val="1"/>
                <w:bCs w:val="1"/>
                <w:sz w:val="22"/>
                <w:szCs w:val="22"/>
              </w:rPr>
              <w:t>Notes and Comments</w:t>
            </w:r>
          </w:p>
        </w:tc>
      </w:tr>
      <w:tr w:rsidR="5FF0A1E2" w:rsidTr="5FF0A1E2" w14:paraId="08BC2614">
        <w:trPr>
          <w:trHeight w:val="64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5525AB70" w14:textId="2E01C6C8">
            <w:pPr>
              <w:spacing w:before="0" w:beforeAutospacing="off" w:after="0" w:afterAutospacing="off"/>
            </w:pPr>
            <w:r w:rsidRPr="5FF0A1E2" w:rsidR="5FF0A1E2">
              <w:rPr>
                <w:rFonts w:ascii="Aptos" w:hAnsi="Aptos" w:eastAsia="Aptos" w:cs="Aptos"/>
                <w:sz w:val="18"/>
                <w:szCs w:val="18"/>
              </w:rPr>
              <w:t>McDougall et al. (2016)</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3C983337" w14:textId="73011CE2">
            <w:pPr>
              <w:spacing w:before="0" w:beforeAutospacing="off" w:after="0" w:afterAutospacing="off"/>
            </w:pPr>
            <w:r w:rsidRPr="5FF0A1E2" w:rsidR="5FF0A1E2">
              <w:rPr>
                <w:rFonts w:ascii="Aptos" w:hAnsi="Aptos" w:eastAsia="Aptos" w:cs="Aptos"/>
                <w:sz w:val="18"/>
                <w:szCs w:val="18"/>
              </w:rPr>
              <w:t>Chronic Illness and School Functioning in Children</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33EDCECD" w14:textId="16F132CC">
            <w:pPr>
              <w:spacing w:before="0" w:beforeAutospacing="off" w:after="0" w:afterAutospacing="off"/>
            </w:pPr>
            <w:r w:rsidRPr="5FF0A1E2" w:rsidR="5FF0A1E2">
              <w:rPr>
                <w:rFonts w:ascii="Aptos" w:hAnsi="Aptos" w:eastAsia="Aptos" w:cs="Aptos"/>
                <w:sz w:val="18"/>
                <w:szCs w:val="18"/>
              </w:rPr>
              <w:t>Quantitive</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4D73FE3E" w14:textId="06353FFE">
            <w:pPr>
              <w:spacing w:before="0" w:beforeAutospacing="off" w:after="0" w:afterAutospacing="off"/>
            </w:pPr>
            <w:r w:rsidRPr="5FF0A1E2" w:rsidR="5FF0A1E2">
              <w:rPr>
                <w:rFonts w:ascii="Aptos" w:hAnsi="Aptos" w:eastAsia="Aptos" w:cs="Aptos"/>
                <w:sz w:val="18"/>
                <w:szCs w:val="18"/>
              </w:rPr>
              <w:t>Survey (N=412 children)</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45DE83B0" w14:textId="48E6A78E">
            <w:pPr>
              <w:spacing w:before="0" w:beforeAutospacing="off" w:after="0" w:afterAutospacing="off"/>
            </w:pPr>
            <w:r w:rsidRPr="5FF0A1E2" w:rsidR="5FF0A1E2">
              <w:rPr>
                <w:rFonts w:ascii="Aptos" w:hAnsi="Aptos" w:eastAsia="Aptos" w:cs="Aptos"/>
                <w:sz w:val="18"/>
                <w:szCs w:val="18"/>
              </w:rPr>
              <w:t xml:space="preserve">Strength: </w:t>
            </w:r>
          </w:p>
          <w:p w:rsidR="5FF0A1E2" w:rsidP="5FF0A1E2" w:rsidRDefault="5FF0A1E2" w14:paraId="0C0D5DD0" w14:textId="75901662">
            <w:pPr>
              <w:spacing w:before="0" w:beforeAutospacing="off" w:after="0" w:afterAutospacing="off"/>
            </w:pPr>
            <w:r w:rsidRPr="5FF0A1E2" w:rsidR="5FF0A1E2">
              <w:rPr>
                <w:rFonts w:ascii="Aptos" w:hAnsi="Aptos" w:eastAsia="Aptos" w:cs="Aptos"/>
                <w:sz w:val="18"/>
                <w:szCs w:val="18"/>
              </w:rPr>
              <w:t xml:space="preserve">Large </w:t>
            </w:r>
          </w:p>
          <w:p w:rsidR="5FF0A1E2" w:rsidP="5FF0A1E2" w:rsidRDefault="5FF0A1E2" w14:paraId="1594458C" w14:textId="592B4168">
            <w:pPr>
              <w:spacing w:before="0" w:beforeAutospacing="off" w:after="0" w:afterAutospacing="off"/>
            </w:pPr>
            <w:r w:rsidRPr="5FF0A1E2" w:rsidR="5FF0A1E2">
              <w:rPr>
                <w:rFonts w:ascii="Aptos" w:hAnsi="Aptos" w:eastAsia="Aptos" w:cs="Aptos"/>
                <w:sz w:val="18"/>
                <w:szCs w:val="18"/>
              </w:rPr>
              <w:t xml:space="preserve">sample; Limitation: </w:t>
            </w:r>
          </w:p>
          <w:p w:rsidR="5FF0A1E2" w:rsidP="5FF0A1E2" w:rsidRDefault="5FF0A1E2" w14:paraId="69E96928" w14:textId="62986523">
            <w:pPr>
              <w:spacing w:before="0" w:beforeAutospacing="off" w:after="0" w:afterAutospacing="off"/>
            </w:pPr>
            <w:r w:rsidRPr="5FF0A1E2" w:rsidR="5FF0A1E2">
              <w:rPr>
                <w:rFonts w:ascii="Aptos" w:hAnsi="Aptos" w:eastAsia="Aptos" w:cs="Aptos"/>
                <w:sz w:val="18"/>
                <w:szCs w:val="18"/>
              </w:rPr>
              <w:t>self-report</w:t>
            </w:r>
          </w:p>
          <w:p w:rsidR="5FF0A1E2" w:rsidP="5FF0A1E2" w:rsidRDefault="5FF0A1E2" w14:paraId="13810FA2" w14:textId="1B0EB028">
            <w:pPr>
              <w:spacing w:before="0" w:beforeAutospacing="off" w:after="0" w:afterAutospacing="off"/>
            </w:pPr>
            <w:r w:rsidRPr="5FF0A1E2" w:rsidR="5FF0A1E2">
              <w:rPr>
                <w:rFonts w:ascii="Aptos" w:hAnsi="Aptos" w:eastAsia="Aptos" w:cs="Aptos"/>
                <w:sz w:val="18"/>
                <w:szCs w:val="18"/>
              </w:rPr>
              <w:t>ed data</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6436FF8F" w14:textId="78F6FA35">
            <w:pPr>
              <w:spacing w:before="0" w:beforeAutospacing="off" w:after="0" w:afterAutospacing="off"/>
            </w:pPr>
            <w:r w:rsidRPr="5FF0A1E2" w:rsidR="5FF0A1E2">
              <w:rPr>
                <w:rFonts w:ascii="Aptos" w:hAnsi="Aptos" w:eastAsia="Aptos" w:cs="Aptos"/>
                <w:sz w:val="18"/>
                <w:szCs w:val="18"/>
              </w:rPr>
              <w:t>Chronic Illness reduces academic engagement and participation compared to peers</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42BF3548" w14:textId="64E13C63">
            <w:pPr>
              <w:spacing w:before="0" w:beforeAutospacing="off" w:after="0" w:afterAutospacing="off"/>
            </w:pPr>
            <w:r w:rsidRPr="5FF0A1E2" w:rsidR="5FF0A1E2">
              <w:rPr>
                <w:rFonts w:ascii="Aptos" w:hAnsi="Aptos" w:eastAsia="Aptos" w:cs="Aptos"/>
                <w:sz w:val="18"/>
                <w:szCs w:val="18"/>
              </w:rPr>
              <w:t>“School functioning”, “Engagement”, “Participation”</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7B05D16C" w14:textId="11BCB346">
            <w:pPr>
              <w:spacing w:before="0" w:beforeAutospacing="off" w:after="0" w:afterAutospacing="off"/>
            </w:pPr>
            <w:r w:rsidRPr="5FF0A1E2" w:rsidR="5FF0A1E2">
              <w:rPr>
                <w:rFonts w:ascii="Aptos" w:hAnsi="Aptos" w:eastAsia="Aptos" w:cs="Aptos"/>
                <w:sz w:val="18"/>
                <w:szCs w:val="18"/>
              </w:rPr>
              <w:t>Strong evidence for Theme 2: academic impacts</w:t>
            </w:r>
          </w:p>
        </w:tc>
      </w:tr>
      <w:tr w:rsidR="5FF0A1E2" w:rsidTr="5FF0A1E2" w14:paraId="0ACC4D5F">
        <w:trPr>
          <w:trHeight w:val="61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4AA2010D" w14:textId="5AED66BC">
            <w:pPr>
              <w:spacing w:before="0" w:beforeAutospacing="off" w:after="0" w:afterAutospacing="off"/>
            </w:pPr>
            <w:r w:rsidRPr="5FF0A1E2" w:rsidR="5FF0A1E2">
              <w:rPr>
                <w:rFonts w:ascii="Aptos" w:hAnsi="Aptos" w:eastAsia="Aptos" w:cs="Aptos"/>
                <w:sz w:val="18"/>
                <w:szCs w:val="18"/>
              </w:rPr>
              <w:t xml:space="preserve">Price et </w:t>
            </w:r>
          </w:p>
          <w:p w:rsidR="5FF0A1E2" w:rsidP="5FF0A1E2" w:rsidRDefault="5FF0A1E2" w14:paraId="3545129E" w14:textId="28F5D238">
            <w:pPr>
              <w:spacing w:before="0" w:beforeAutospacing="off" w:after="0" w:afterAutospacing="off"/>
            </w:pPr>
            <w:r w:rsidRPr="5FF0A1E2" w:rsidR="5FF0A1E2">
              <w:rPr>
                <w:rFonts w:ascii="Aptos" w:hAnsi="Aptos" w:eastAsia="Aptos" w:cs="Aptos"/>
                <w:sz w:val="18"/>
                <w:szCs w:val="18"/>
              </w:rPr>
              <w:t xml:space="preserve">al. </w:t>
            </w:r>
          </w:p>
          <w:p w:rsidR="5FF0A1E2" w:rsidP="5FF0A1E2" w:rsidRDefault="5FF0A1E2" w14:paraId="4D671C2D" w14:textId="17E4E4A1">
            <w:pPr>
              <w:spacing w:before="0" w:beforeAutospacing="off" w:after="0" w:afterAutospacing="off"/>
            </w:pPr>
            <w:r w:rsidRPr="5FF0A1E2" w:rsidR="5FF0A1E2">
              <w:rPr>
                <w:rFonts w:ascii="Aptos" w:hAnsi="Aptos" w:eastAsia="Aptos" w:cs="Aptos"/>
                <w:sz w:val="18"/>
                <w:szCs w:val="18"/>
              </w:rPr>
              <w:t>(2019)</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5766A1A6" w14:textId="3DC9051E">
            <w:pPr>
              <w:spacing w:before="0" w:beforeAutospacing="off" w:after="0" w:afterAutospacing="off"/>
            </w:pPr>
            <w:r w:rsidRPr="5FF0A1E2" w:rsidR="5FF0A1E2">
              <w:rPr>
                <w:rFonts w:ascii="Aptos" w:hAnsi="Aptos" w:eastAsia="Aptos" w:cs="Aptos"/>
                <w:sz w:val="18"/>
                <w:szCs w:val="18"/>
              </w:rPr>
              <w:t>Teachers’ Confidence in Supporting Children with Health Needs</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3BC74932" w14:textId="4BACE963">
            <w:pPr>
              <w:spacing w:before="0" w:beforeAutospacing="off" w:after="0" w:afterAutospacing="off"/>
            </w:pPr>
            <w:r w:rsidRPr="5FF0A1E2" w:rsidR="5FF0A1E2">
              <w:rPr>
                <w:rFonts w:ascii="Aptos" w:hAnsi="Aptos" w:eastAsia="Aptos" w:cs="Aptos"/>
                <w:sz w:val="18"/>
                <w:szCs w:val="18"/>
              </w:rPr>
              <w:t>Mixed Methods</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2966FDAD" w14:textId="556FA77F">
            <w:pPr>
              <w:spacing w:before="0" w:beforeAutospacing="off" w:after="0" w:afterAutospacing="off"/>
            </w:pPr>
            <w:r w:rsidRPr="5FF0A1E2" w:rsidR="5FF0A1E2">
              <w:rPr>
                <w:rFonts w:ascii="Aptos" w:hAnsi="Aptos" w:eastAsia="Aptos" w:cs="Aptos"/>
                <w:sz w:val="18"/>
                <w:szCs w:val="18"/>
              </w:rPr>
              <w:t>Survey + interviews (112 teachers)</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6A70F2EE" w14:textId="161522CC">
            <w:pPr>
              <w:spacing w:before="0" w:beforeAutospacing="off" w:after="0" w:afterAutospacing="off"/>
            </w:pPr>
            <w:r w:rsidRPr="5FF0A1E2" w:rsidR="5FF0A1E2">
              <w:rPr>
                <w:rFonts w:ascii="Aptos" w:hAnsi="Aptos" w:eastAsia="Aptos" w:cs="Aptos"/>
                <w:sz w:val="18"/>
                <w:szCs w:val="18"/>
              </w:rPr>
              <w:t xml:space="preserve">Strength: </w:t>
            </w:r>
          </w:p>
          <w:p w:rsidR="5FF0A1E2" w:rsidP="5FF0A1E2" w:rsidRDefault="5FF0A1E2" w14:paraId="23317D03" w14:textId="30F99275">
            <w:pPr>
              <w:spacing w:before="0" w:beforeAutospacing="off" w:after="0" w:afterAutospacing="off"/>
            </w:pPr>
            <w:r w:rsidRPr="5FF0A1E2" w:rsidR="5FF0A1E2">
              <w:rPr>
                <w:rFonts w:ascii="Aptos" w:hAnsi="Aptos" w:eastAsia="Aptos" w:cs="Aptos"/>
                <w:sz w:val="18"/>
                <w:szCs w:val="18"/>
              </w:rPr>
              <w:t xml:space="preserve">mixed data; Limitaion: </w:t>
            </w:r>
          </w:p>
          <w:p w:rsidR="5FF0A1E2" w:rsidP="5FF0A1E2" w:rsidRDefault="5FF0A1E2" w14:paraId="52AE329B" w14:textId="191D70D8">
            <w:pPr>
              <w:spacing w:before="0" w:beforeAutospacing="off" w:after="0" w:afterAutospacing="off"/>
            </w:pPr>
            <w:r w:rsidRPr="5FF0A1E2" w:rsidR="5FF0A1E2">
              <w:rPr>
                <w:rFonts w:ascii="Aptos" w:hAnsi="Aptos" w:eastAsia="Aptos" w:cs="Aptos"/>
                <w:sz w:val="18"/>
                <w:szCs w:val="18"/>
              </w:rPr>
              <w:t xml:space="preserve">small </w:t>
            </w:r>
          </w:p>
          <w:p w:rsidR="5FF0A1E2" w:rsidP="5FF0A1E2" w:rsidRDefault="5FF0A1E2" w14:paraId="0770C4DF" w14:textId="04A2258E">
            <w:pPr>
              <w:spacing w:before="0" w:beforeAutospacing="off" w:after="0" w:afterAutospacing="off"/>
            </w:pPr>
            <w:r w:rsidRPr="5FF0A1E2" w:rsidR="5FF0A1E2">
              <w:rPr>
                <w:rFonts w:ascii="Aptos" w:hAnsi="Aptos" w:eastAsia="Aptos" w:cs="Aptos"/>
                <w:sz w:val="18"/>
                <w:szCs w:val="18"/>
              </w:rPr>
              <w:t>interview subgroup</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0F4404FC" w14:textId="65D142A3">
            <w:pPr>
              <w:spacing w:before="0" w:beforeAutospacing="off" w:after="0" w:afterAutospacing="off"/>
            </w:pPr>
            <w:r w:rsidRPr="5FF0A1E2" w:rsidR="5FF0A1E2">
              <w:rPr>
                <w:rFonts w:ascii="Aptos" w:hAnsi="Aptos" w:eastAsia="Aptos" w:cs="Aptos"/>
                <w:sz w:val="18"/>
                <w:szCs w:val="18"/>
              </w:rPr>
              <w:t xml:space="preserve">Teachers lack </w:t>
            </w:r>
          </w:p>
          <w:p w:rsidR="5FF0A1E2" w:rsidP="5FF0A1E2" w:rsidRDefault="5FF0A1E2" w14:paraId="238E959B" w14:textId="6D040BE8">
            <w:pPr>
              <w:spacing w:before="0" w:beforeAutospacing="off" w:after="0" w:afterAutospacing="off"/>
            </w:pPr>
            <w:r w:rsidRPr="5FF0A1E2" w:rsidR="5FF0A1E2">
              <w:rPr>
                <w:rFonts w:ascii="Aptos" w:hAnsi="Aptos" w:eastAsia="Aptos" w:cs="Aptos"/>
                <w:sz w:val="18"/>
                <w:szCs w:val="18"/>
              </w:rPr>
              <w:t>training on medical needs and emotional support</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13AADAEF" w14:textId="4953F8E8">
            <w:pPr>
              <w:spacing w:before="0" w:beforeAutospacing="off" w:after="0" w:afterAutospacing="off"/>
            </w:pPr>
            <w:r w:rsidRPr="5FF0A1E2" w:rsidR="5FF0A1E2">
              <w:rPr>
                <w:rFonts w:ascii="Aptos" w:hAnsi="Aptos" w:eastAsia="Aptos" w:cs="Aptos"/>
                <w:sz w:val="18"/>
                <w:szCs w:val="18"/>
              </w:rPr>
              <w:t xml:space="preserve">“Teacher confidence”, “Training gaps”, “Medical needs” </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5716959E" w14:textId="2F399EA2">
            <w:pPr>
              <w:spacing w:before="0" w:beforeAutospacing="off" w:after="0" w:afterAutospacing="off"/>
            </w:pPr>
            <w:r w:rsidRPr="5FF0A1E2" w:rsidR="5FF0A1E2">
              <w:rPr>
                <w:rFonts w:ascii="Aptos" w:hAnsi="Aptos" w:eastAsia="Aptos" w:cs="Aptos"/>
                <w:sz w:val="18"/>
                <w:szCs w:val="18"/>
              </w:rPr>
              <w:t>Supports policy and training discussion</w:t>
            </w:r>
          </w:p>
        </w:tc>
      </w:tr>
      <w:tr w:rsidR="5FF0A1E2" w:rsidTr="5FF0A1E2" w14:paraId="65BB7ECF">
        <w:trPr>
          <w:trHeight w:val="61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6F2AC3F0" w14:textId="090B3401">
            <w:pPr>
              <w:spacing w:before="0" w:beforeAutospacing="off" w:after="0" w:afterAutospacing="off"/>
            </w:pPr>
            <w:r w:rsidRPr="5FF0A1E2" w:rsidR="5FF0A1E2">
              <w:rPr>
                <w:rFonts w:ascii="Aptos" w:hAnsi="Aptos" w:eastAsia="Aptos" w:cs="Aptos"/>
                <w:sz w:val="18"/>
                <w:szCs w:val="18"/>
              </w:rPr>
              <w:t>Jackson &amp;Vessey (2015)</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205C542F" w14:textId="41649D7A">
            <w:pPr>
              <w:spacing w:before="0" w:beforeAutospacing="off" w:after="0" w:afterAutospacing="off"/>
            </w:pPr>
            <w:r w:rsidRPr="5FF0A1E2" w:rsidR="5FF0A1E2">
              <w:rPr>
                <w:rFonts w:ascii="Aptos" w:hAnsi="Aptos" w:eastAsia="Aptos" w:cs="Aptos"/>
                <w:sz w:val="18"/>
                <w:szCs w:val="18"/>
              </w:rPr>
              <w:t>School Nurse Roles in Chronic Illness Management</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36059AC2" w14:textId="1D696D72">
            <w:pPr>
              <w:spacing w:before="0" w:beforeAutospacing="off" w:after="0" w:afterAutospacing="off"/>
            </w:pPr>
            <w:r w:rsidRPr="5FF0A1E2" w:rsidR="5FF0A1E2">
              <w:rPr>
                <w:rFonts w:ascii="Aptos" w:hAnsi="Aptos" w:eastAsia="Aptos" w:cs="Aptos"/>
                <w:sz w:val="18"/>
                <w:szCs w:val="18"/>
              </w:rPr>
              <w:t xml:space="preserve">Literature </w:t>
            </w:r>
          </w:p>
          <w:p w:rsidR="5FF0A1E2" w:rsidP="5FF0A1E2" w:rsidRDefault="5FF0A1E2" w14:paraId="5D37C4DF" w14:textId="6360382A">
            <w:pPr>
              <w:spacing w:before="0" w:beforeAutospacing="off" w:after="0" w:afterAutospacing="off"/>
            </w:pPr>
            <w:r w:rsidRPr="5FF0A1E2" w:rsidR="5FF0A1E2">
              <w:rPr>
                <w:rFonts w:ascii="Aptos" w:hAnsi="Aptos" w:eastAsia="Aptos" w:cs="Aptos"/>
                <w:sz w:val="18"/>
                <w:szCs w:val="18"/>
              </w:rPr>
              <w:t>Review</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5F35611C" w14:textId="44DD1FA5">
            <w:pPr>
              <w:spacing w:before="0" w:beforeAutospacing="off" w:after="0" w:afterAutospacing="off"/>
            </w:pPr>
            <w:r w:rsidRPr="5FF0A1E2" w:rsidR="5FF0A1E2">
              <w:rPr>
                <w:rFonts w:ascii="Aptos" w:hAnsi="Aptos" w:eastAsia="Aptos" w:cs="Aptos"/>
                <w:sz w:val="18"/>
                <w:szCs w:val="18"/>
              </w:rPr>
              <w:t>Review of 20 Studies</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205BCCC5" w14:textId="4B2F99A2">
            <w:pPr>
              <w:spacing w:before="0" w:beforeAutospacing="off" w:after="0" w:afterAutospacing="off"/>
            </w:pPr>
            <w:r w:rsidRPr="5FF0A1E2" w:rsidR="5FF0A1E2">
              <w:rPr>
                <w:rFonts w:ascii="Aptos" w:hAnsi="Aptos" w:eastAsia="Aptos" w:cs="Aptos"/>
                <w:sz w:val="18"/>
                <w:szCs w:val="18"/>
              </w:rPr>
              <w:t>Strength: Comprehensive; Limitation: varied quality</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4FD5FF53" w14:textId="5992ED63">
            <w:pPr>
              <w:spacing w:before="0" w:beforeAutospacing="off" w:after="0" w:afterAutospacing="off"/>
            </w:pPr>
            <w:r w:rsidRPr="5FF0A1E2" w:rsidR="5FF0A1E2">
              <w:rPr>
                <w:rFonts w:ascii="Aptos" w:hAnsi="Aptos" w:eastAsia="Aptos" w:cs="Aptos"/>
                <w:sz w:val="18"/>
                <w:szCs w:val="18"/>
              </w:rPr>
              <w:t xml:space="preserve">School nurses </w:t>
            </w:r>
          </w:p>
          <w:p w:rsidR="5FF0A1E2" w:rsidP="5FF0A1E2" w:rsidRDefault="5FF0A1E2" w14:paraId="45B54DB6" w14:textId="6895C338">
            <w:pPr>
              <w:spacing w:before="0" w:beforeAutospacing="off" w:after="0" w:afterAutospacing="off"/>
            </w:pPr>
            <w:r w:rsidRPr="5FF0A1E2" w:rsidR="5FF0A1E2">
              <w:rPr>
                <w:rFonts w:ascii="Aptos" w:hAnsi="Aptos" w:eastAsia="Aptos" w:cs="Aptos"/>
                <w:sz w:val="18"/>
                <w:szCs w:val="18"/>
              </w:rPr>
              <w:t xml:space="preserve">play a crucial </w:t>
            </w:r>
          </w:p>
          <w:p w:rsidR="5FF0A1E2" w:rsidP="5FF0A1E2" w:rsidRDefault="5FF0A1E2" w14:paraId="32D2745D" w14:textId="62398426">
            <w:pPr>
              <w:spacing w:before="0" w:beforeAutospacing="off" w:after="0" w:afterAutospacing="off"/>
            </w:pPr>
            <w:r w:rsidRPr="5FF0A1E2" w:rsidR="5FF0A1E2">
              <w:rPr>
                <w:rFonts w:ascii="Aptos" w:hAnsi="Aptos" w:eastAsia="Aptos" w:cs="Aptos"/>
                <w:sz w:val="18"/>
                <w:szCs w:val="18"/>
              </w:rPr>
              <w:t xml:space="preserve">role in medication and health </w:t>
            </w:r>
          </w:p>
          <w:p w:rsidR="5FF0A1E2" w:rsidP="5FF0A1E2" w:rsidRDefault="5FF0A1E2" w14:paraId="630AFE0B" w14:textId="312AA039">
            <w:pPr>
              <w:spacing w:before="0" w:beforeAutospacing="off" w:after="0" w:afterAutospacing="off"/>
            </w:pPr>
            <w:r w:rsidRPr="5FF0A1E2" w:rsidR="5FF0A1E2">
              <w:rPr>
                <w:rFonts w:ascii="Aptos" w:hAnsi="Aptos" w:eastAsia="Aptos" w:cs="Aptos"/>
                <w:sz w:val="18"/>
                <w:szCs w:val="18"/>
              </w:rPr>
              <w:t>plans</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0225A1DA" w14:textId="59F00771">
            <w:pPr>
              <w:spacing w:before="0" w:beforeAutospacing="off" w:after="0" w:afterAutospacing="off"/>
            </w:pPr>
            <w:r w:rsidRPr="5FF0A1E2" w:rsidR="5FF0A1E2">
              <w:rPr>
                <w:rFonts w:ascii="Aptos" w:hAnsi="Aptos" w:eastAsia="Aptos" w:cs="Aptos"/>
                <w:sz w:val="18"/>
                <w:szCs w:val="18"/>
              </w:rPr>
              <w:t xml:space="preserve">“School nurses”, </w:t>
            </w:r>
          </w:p>
          <w:p w:rsidR="5FF0A1E2" w:rsidP="5FF0A1E2" w:rsidRDefault="5FF0A1E2" w14:paraId="4ABAC0BE" w14:textId="41609D40">
            <w:pPr>
              <w:spacing w:before="0" w:beforeAutospacing="off" w:after="0" w:afterAutospacing="off"/>
            </w:pPr>
            <w:r w:rsidRPr="5FF0A1E2" w:rsidR="5FF0A1E2">
              <w:rPr>
                <w:rFonts w:ascii="Aptos" w:hAnsi="Aptos" w:eastAsia="Aptos" w:cs="Aptos"/>
                <w:sz w:val="18"/>
                <w:szCs w:val="18"/>
              </w:rPr>
              <w:t xml:space="preserve">“Care coordination”, </w:t>
            </w:r>
          </w:p>
          <w:p w:rsidR="5FF0A1E2" w:rsidP="5FF0A1E2" w:rsidRDefault="5FF0A1E2" w14:paraId="027FAAA2" w14:textId="4AB228F5">
            <w:pPr>
              <w:spacing w:before="0" w:beforeAutospacing="off" w:after="0" w:afterAutospacing="off"/>
            </w:pPr>
            <w:r w:rsidRPr="5FF0A1E2" w:rsidR="5FF0A1E2">
              <w:rPr>
                <w:rFonts w:ascii="Aptos" w:hAnsi="Aptos" w:eastAsia="Aptos" w:cs="Aptos"/>
                <w:sz w:val="18"/>
                <w:szCs w:val="18"/>
              </w:rPr>
              <w:t>“Heath</w:t>
            </w:r>
          </w:p>
          <w:p w:rsidR="5FF0A1E2" w:rsidP="5FF0A1E2" w:rsidRDefault="5FF0A1E2" w14:paraId="311F9817" w14:textId="48B59403">
            <w:pPr>
              <w:spacing w:before="0" w:beforeAutospacing="off" w:after="0" w:afterAutospacing="off"/>
            </w:pPr>
            <w:r w:rsidRPr="5FF0A1E2" w:rsidR="5FF0A1E2">
              <w:rPr>
                <w:rFonts w:ascii="Aptos" w:hAnsi="Aptos" w:eastAsia="Aptos" w:cs="Aptos"/>
                <w:sz w:val="18"/>
                <w:szCs w:val="18"/>
              </w:rPr>
              <w:t>care plans”</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739DFEA2" w14:textId="11CC3113">
            <w:pPr>
              <w:spacing w:before="0" w:beforeAutospacing="off" w:after="0" w:afterAutospacing="off"/>
            </w:pPr>
            <w:r w:rsidRPr="5FF0A1E2" w:rsidR="5FF0A1E2">
              <w:rPr>
                <w:rFonts w:ascii="Aptos" w:hAnsi="Aptos" w:eastAsia="Aptos" w:cs="Aptos"/>
                <w:sz w:val="18"/>
                <w:szCs w:val="18"/>
              </w:rPr>
              <w:t>Useful for legislative and practice links</w:t>
            </w:r>
          </w:p>
        </w:tc>
      </w:tr>
      <w:tr w:rsidR="5FF0A1E2" w:rsidTr="5FF0A1E2" w14:paraId="63EED119">
        <w:trPr>
          <w:trHeight w:val="61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3EE7915D" w14:textId="1EFF22D9">
            <w:pPr>
              <w:spacing w:before="0" w:beforeAutospacing="off" w:after="0" w:afterAutospacing="off"/>
            </w:pPr>
            <w:r w:rsidRPr="5FF0A1E2" w:rsidR="5FF0A1E2">
              <w:rPr>
                <w:rFonts w:ascii="Aptos" w:hAnsi="Aptos" w:eastAsia="Aptos" w:cs="Aptos"/>
                <w:sz w:val="18"/>
                <w:szCs w:val="18"/>
              </w:rPr>
              <w:t xml:space="preserve">Elliot </w:t>
            </w:r>
          </w:p>
          <w:p w:rsidR="5FF0A1E2" w:rsidP="5FF0A1E2" w:rsidRDefault="5FF0A1E2" w14:paraId="54D725C0" w14:textId="4F3B367C">
            <w:pPr>
              <w:spacing w:before="0" w:beforeAutospacing="off" w:after="0" w:afterAutospacing="off"/>
            </w:pPr>
            <w:r w:rsidRPr="5FF0A1E2" w:rsidR="5FF0A1E2">
              <w:rPr>
                <w:rFonts w:ascii="Aptos" w:hAnsi="Aptos" w:eastAsia="Aptos" w:cs="Aptos"/>
                <w:sz w:val="18"/>
                <w:szCs w:val="18"/>
              </w:rPr>
              <w:t>et al. (2021)</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6B3999E0" w14:textId="6BE150C5">
            <w:pPr>
              <w:spacing w:before="0" w:beforeAutospacing="off" w:after="0" w:afterAutospacing="off"/>
            </w:pPr>
            <w:r w:rsidRPr="5FF0A1E2" w:rsidR="5FF0A1E2">
              <w:rPr>
                <w:rFonts w:ascii="Aptos" w:hAnsi="Aptos" w:eastAsia="Aptos" w:cs="Aptos"/>
                <w:sz w:val="18"/>
                <w:szCs w:val="18"/>
              </w:rPr>
              <w:t>Mental Health Challenges in Children with Long-term Conditions</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4084336C" w14:textId="3DF3902C">
            <w:pPr>
              <w:spacing w:before="0" w:beforeAutospacing="off" w:after="0" w:afterAutospacing="off"/>
            </w:pPr>
            <w:r w:rsidRPr="5FF0A1E2" w:rsidR="5FF0A1E2">
              <w:rPr>
                <w:rFonts w:ascii="Aptos" w:hAnsi="Aptos" w:eastAsia="Aptos" w:cs="Aptos"/>
                <w:sz w:val="18"/>
                <w:szCs w:val="18"/>
              </w:rPr>
              <w:t>Qualitive</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2D86BA42" w14:textId="3D7A871B">
            <w:pPr>
              <w:spacing w:before="0" w:beforeAutospacing="off" w:after="0" w:afterAutospacing="off"/>
            </w:pPr>
            <w:r w:rsidRPr="5FF0A1E2" w:rsidR="5FF0A1E2">
              <w:rPr>
                <w:rFonts w:ascii="Aptos" w:hAnsi="Aptos" w:eastAsia="Aptos" w:cs="Aptos"/>
                <w:sz w:val="18"/>
                <w:szCs w:val="18"/>
              </w:rPr>
              <w:t>Interviews (38 families)</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038B9B50" w14:textId="6EF302CD">
            <w:pPr>
              <w:spacing w:before="0" w:beforeAutospacing="off" w:after="0" w:afterAutospacing="off"/>
            </w:pPr>
            <w:r w:rsidRPr="5FF0A1E2" w:rsidR="5FF0A1E2">
              <w:rPr>
                <w:rFonts w:ascii="Aptos" w:hAnsi="Aptos" w:eastAsia="Aptos" w:cs="Aptos"/>
                <w:sz w:val="18"/>
                <w:szCs w:val="18"/>
              </w:rPr>
              <w:t>Strength: rich detail; Limitation: limited generalisation</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52A0A405" w14:textId="34E6D6F3">
            <w:pPr>
              <w:spacing w:before="0" w:beforeAutospacing="off" w:after="0" w:afterAutospacing="off"/>
            </w:pPr>
            <w:r w:rsidRPr="5FF0A1E2" w:rsidR="5FF0A1E2">
              <w:rPr>
                <w:rFonts w:ascii="Aptos" w:hAnsi="Aptos" w:eastAsia="Aptos" w:cs="Aptos"/>
                <w:sz w:val="18"/>
                <w:szCs w:val="18"/>
              </w:rPr>
              <w:t xml:space="preserve">Chronic illness increases anxiety, isolation and school disengagement </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49961918" w14:textId="60069170">
            <w:pPr>
              <w:spacing w:before="0" w:beforeAutospacing="off" w:after="0" w:afterAutospacing="off"/>
            </w:pPr>
            <w:r w:rsidRPr="5FF0A1E2" w:rsidR="5FF0A1E2">
              <w:rPr>
                <w:rFonts w:ascii="Aptos" w:hAnsi="Aptos" w:eastAsia="Aptos" w:cs="Aptos"/>
                <w:sz w:val="18"/>
                <w:szCs w:val="18"/>
              </w:rPr>
              <w:t>“Mental health”, “Isolation”, “Psychosocial effects”</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2DB4069B" w14:textId="784B35E8">
            <w:pPr>
              <w:spacing w:before="0" w:beforeAutospacing="off" w:after="0" w:afterAutospacing="off"/>
            </w:pPr>
            <w:r w:rsidRPr="5FF0A1E2" w:rsidR="5FF0A1E2">
              <w:rPr>
                <w:rFonts w:ascii="Aptos" w:hAnsi="Aptos" w:eastAsia="Aptos" w:cs="Aptos"/>
                <w:sz w:val="18"/>
                <w:szCs w:val="18"/>
              </w:rPr>
              <w:t>Excellent for Theme 1: emotional wellbeing</w:t>
            </w:r>
          </w:p>
        </w:tc>
      </w:tr>
      <w:tr w:rsidR="5FF0A1E2" w:rsidTr="5FF0A1E2" w14:paraId="3DCE8E77">
        <w:trPr>
          <w:trHeight w:val="61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26B66749" w14:textId="4F1127F6">
            <w:pPr>
              <w:spacing w:before="0" w:beforeAutospacing="off" w:after="0" w:afterAutospacing="off"/>
            </w:pPr>
            <w:r w:rsidRPr="5FF0A1E2" w:rsidR="5FF0A1E2">
              <w:rPr>
                <w:rFonts w:ascii="Aptos" w:hAnsi="Aptos" w:eastAsia="Aptos" w:cs="Aptos"/>
                <w:sz w:val="18"/>
                <w:szCs w:val="18"/>
              </w:rPr>
              <w:t>Moore et al. (2020)</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65A7B63B" w14:textId="138A58A2">
            <w:pPr>
              <w:spacing w:before="0" w:beforeAutospacing="off" w:after="0" w:afterAutospacing="off"/>
            </w:pPr>
            <w:r w:rsidRPr="5FF0A1E2" w:rsidR="5FF0A1E2">
              <w:rPr>
                <w:rFonts w:ascii="Aptos" w:hAnsi="Aptos" w:eastAsia="Aptos" w:cs="Aptos"/>
                <w:sz w:val="18"/>
                <w:szCs w:val="18"/>
              </w:rPr>
              <w:t>Technology-Assisted Learning for Children with Chronic Illness</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182B91C2" w14:textId="2FE56F9A">
            <w:pPr>
              <w:spacing w:before="0" w:beforeAutospacing="off" w:after="0" w:afterAutospacing="off"/>
            </w:pPr>
            <w:r w:rsidRPr="5FF0A1E2" w:rsidR="5FF0A1E2">
              <w:rPr>
                <w:rFonts w:ascii="Aptos" w:hAnsi="Aptos" w:eastAsia="Aptos" w:cs="Aptos"/>
                <w:sz w:val="18"/>
                <w:szCs w:val="18"/>
              </w:rPr>
              <w:t xml:space="preserve">Case </w:t>
            </w:r>
          </w:p>
          <w:p w:rsidR="5FF0A1E2" w:rsidP="5FF0A1E2" w:rsidRDefault="5FF0A1E2" w14:paraId="65E9EA79" w14:textId="0BC23C37">
            <w:pPr>
              <w:spacing w:before="0" w:beforeAutospacing="off" w:after="0" w:afterAutospacing="off"/>
            </w:pPr>
            <w:r w:rsidRPr="5FF0A1E2" w:rsidR="5FF0A1E2">
              <w:rPr>
                <w:rFonts w:ascii="Aptos" w:hAnsi="Aptos" w:eastAsia="Aptos" w:cs="Aptos"/>
                <w:sz w:val="18"/>
                <w:szCs w:val="18"/>
              </w:rPr>
              <w:t>Study</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6B56A75B" w14:textId="6192B1DB">
            <w:pPr>
              <w:spacing w:before="0" w:beforeAutospacing="off" w:after="0" w:afterAutospacing="off"/>
            </w:pPr>
            <w:r w:rsidRPr="5FF0A1E2" w:rsidR="5FF0A1E2">
              <w:rPr>
                <w:rFonts w:ascii="Aptos" w:hAnsi="Aptos" w:eastAsia="Aptos" w:cs="Aptos"/>
                <w:sz w:val="18"/>
                <w:szCs w:val="18"/>
              </w:rPr>
              <w:t>4 case studies</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4412E14B" w14:textId="1929B075">
            <w:pPr>
              <w:spacing w:before="0" w:beforeAutospacing="off" w:after="0" w:afterAutospacing="off"/>
            </w:pPr>
            <w:r w:rsidRPr="5FF0A1E2" w:rsidR="5FF0A1E2">
              <w:rPr>
                <w:rFonts w:ascii="Aptos" w:hAnsi="Aptos" w:eastAsia="Aptos" w:cs="Aptos"/>
                <w:sz w:val="18"/>
                <w:szCs w:val="18"/>
              </w:rPr>
              <w:t>Strength: applied examples; Limitations: very small sample</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0A29EDAC" w14:textId="031B81D7">
            <w:pPr>
              <w:spacing w:before="0" w:beforeAutospacing="off" w:after="0" w:afterAutospacing="off"/>
            </w:pPr>
            <w:r w:rsidRPr="5FF0A1E2" w:rsidR="5FF0A1E2">
              <w:rPr>
                <w:rFonts w:ascii="Aptos" w:hAnsi="Aptos" w:eastAsia="Aptos" w:cs="Aptos"/>
                <w:sz w:val="18"/>
                <w:szCs w:val="18"/>
              </w:rPr>
              <w:t>Remote learning and hospital-school links improved attendance and outcomes</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1841224A" w14:textId="48B5E0A0">
            <w:pPr>
              <w:spacing w:before="0" w:beforeAutospacing="off" w:after="0" w:afterAutospacing="off"/>
            </w:pPr>
            <w:r w:rsidRPr="5FF0A1E2" w:rsidR="5FF0A1E2">
              <w:rPr>
                <w:rFonts w:ascii="Aptos" w:hAnsi="Aptos" w:eastAsia="Aptos" w:cs="Aptos"/>
                <w:sz w:val="18"/>
                <w:szCs w:val="18"/>
              </w:rPr>
              <w:t>“Remote learning”, “Inculsion”, “Technology support”</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32A51601" w14:textId="18C5987E">
            <w:pPr>
              <w:spacing w:before="0" w:beforeAutospacing="off" w:after="0" w:afterAutospacing="off"/>
            </w:pPr>
            <w:r w:rsidRPr="5FF0A1E2" w:rsidR="5FF0A1E2">
              <w:rPr>
                <w:rFonts w:ascii="Aptos" w:hAnsi="Aptos" w:eastAsia="Aptos" w:cs="Aptos"/>
                <w:sz w:val="18"/>
                <w:szCs w:val="18"/>
              </w:rPr>
              <w:t>Relevent for recommendations chapter</w:t>
            </w:r>
          </w:p>
        </w:tc>
      </w:tr>
      <w:tr w:rsidR="5FF0A1E2" w:rsidTr="5FF0A1E2" w14:paraId="74DCAA56">
        <w:trPr>
          <w:trHeight w:val="64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1BE5961C" w14:textId="6A9E6C02">
            <w:pPr>
              <w:spacing w:before="0" w:beforeAutospacing="off" w:after="0" w:afterAutospacing="off"/>
            </w:pPr>
            <w:r w:rsidRPr="5FF0A1E2" w:rsidR="5FF0A1E2">
              <w:rPr>
                <w:rFonts w:ascii="Aptos" w:hAnsi="Aptos" w:eastAsia="Aptos" w:cs="Aptos"/>
                <w:sz w:val="18"/>
                <w:szCs w:val="18"/>
              </w:rPr>
              <w:t>Royal College of Paediatrics (2022)</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0DCB4FC0" w14:textId="7E528614">
            <w:pPr>
              <w:spacing w:before="0" w:beforeAutospacing="off" w:after="0" w:afterAutospacing="off"/>
            </w:pPr>
            <w:r w:rsidRPr="5FF0A1E2" w:rsidR="5FF0A1E2">
              <w:rPr>
                <w:rFonts w:ascii="Aptos" w:hAnsi="Aptos" w:eastAsia="Aptos" w:cs="Aptos"/>
                <w:sz w:val="18"/>
                <w:szCs w:val="18"/>
              </w:rPr>
              <w:t>Children with Medical Needs: Barriers to Education</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697C0834" w14:textId="2AC4C70C">
            <w:pPr>
              <w:spacing w:before="0" w:beforeAutospacing="off" w:after="0" w:afterAutospacing="off"/>
            </w:pPr>
            <w:r w:rsidRPr="5FF0A1E2" w:rsidR="5FF0A1E2">
              <w:rPr>
                <w:rFonts w:ascii="Aptos" w:hAnsi="Aptos" w:eastAsia="Aptos" w:cs="Aptos"/>
                <w:sz w:val="18"/>
                <w:szCs w:val="18"/>
              </w:rPr>
              <w:t xml:space="preserve">Policy </w:t>
            </w:r>
          </w:p>
          <w:p w:rsidR="5FF0A1E2" w:rsidP="5FF0A1E2" w:rsidRDefault="5FF0A1E2" w14:paraId="04B43B44" w14:textId="7CC126F6">
            <w:pPr>
              <w:spacing w:before="0" w:beforeAutospacing="off" w:after="0" w:afterAutospacing="off"/>
            </w:pPr>
            <w:r w:rsidRPr="5FF0A1E2" w:rsidR="5FF0A1E2">
              <w:rPr>
                <w:rFonts w:ascii="Aptos" w:hAnsi="Aptos" w:eastAsia="Aptos" w:cs="Aptos"/>
                <w:sz w:val="18"/>
                <w:szCs w:val="18"/>
              </w:rPr>
              <w:t>Report</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4656A774" w14:textId="55C16434">
            <w:pPr>
              <w:spacing w:before="0" w:beforeAutospacing="off" w:after="0" w:afterAutospacing="off"/>
            </w:pPr>
            <w:r w:rsidRPr="5FF0A1E2" w:rsidR="5FF0A1E2">
              <w:rPr>
                <w:rFonts w:ascii="Aptos" w:hAnsi="Aptos" w:eastAsia="Aptos" w:cs="Aptos"/>
                <w:sz w:val="18"/>
                <w:szCs w:val="18"/>
              </w:rPr>
              <w:t>National Review</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3E9658EF" w14:textId="4A8F5733">
            <w:pPr>
              <w:spacing w:before="0" w:beforeAutospacing="off" w:after="0" w:afterAutospacing="off"/>
            </w:pPr>
            <w:r w:rsidRPr="5FF0A1E2" w:rsidR="5FF0A1E2">
              <w:rPr>
                <w:rFonts w:ascii="Aptos" w:hAnsi="Aptos" w:eastAsia="Aptos" w:cs="Aptos"/>
                <w:sz w:val="18"/>
                <w:szCs w:val="18"/>
              </w:rPr>
              <w:t>Strength: national evidence; Limitation: not peer-reviewed</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268EE946" w14:textId="13EE9DE6">
            <w:pPr>
              <w:spacing w:before="0" w:beforeAutospacing="off" w:after="0" w:afterAutospacing="off"/>
            </w:pPr>
            <w:r w:rsidRPr="5FF0A1E2" w:rsidR="5FF0A1E2">
              <w:rPr>
                <w:rFonts w:ascii="Aptos" w:hAnsi="Aptos" w:eastAsia="Aptos" w:cs="Aptos"/>
                <w:sz w:val="18"/>
                <w:szCs w:val="18"/>
              </w:rPr>
              <w:t>Major gaps exist in communication between health and education sectors</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2B4AB7D0" w14:textId="0F8DF416">
            <w:pPr>
              <w:spacing w:before="0" w:beforeAutospacing="off" w:after="0" w:afterAutospacing="off"/>
            </w:pPr>
            <w:r w:rsidRPr="5FF0A1E2" w:rsidR="5FF0A1E2">
              <w:rPr>
                <w:rFonts w:ascii="Aptos" w:hAnsi="Aptos" w:eastAsia="Aptos" w:cs="Aptos"/>
                <w:sz w:val="18"/>
                <w:szCs w:val="18"/>
              </w:rPr>
              <w:t>“System barriers”, “Integartion”, “Communication gaps”</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1D74A4CE" w14:textId="40907460">
            <w:pPr>
              <w:spacing w:before="0" w:beforeAutospacing="off" w:after="0" w:afterAutospacing="off"/>
            </w:pPr>
            <w:r w:rsidRPr="5FF0A1E2" w:rsidR="5FF0A1E2">
              <w:rPr>
                <w:rFonts w:ascii="Aptos" w:hAnsi="Aptos" w:eastAsia="Aptos" w:cs="Aptos"/>
                <w:sz w:val="18"/>
                <w:szCs w:val="18"/>
              </w:rPr>
              <w:t>Good for Theme 3: systems/ structural issues</w:t>
            </w:r>
          </w:p>
        </w:tc>
      </w:tr>
      <w:tr w:rsidR="5FF0A1E2" w:rsidTr="5FF0A1E2" w14:paraId="33A520F6">
        <w:trPr>
          <w:trHeight w:val="61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394C1CCD" w14:textId="55486384">
            <w:pPr>
              <w:spacing w:before="0" w:beforeAutospacing="off" w:after="0" w:afterAutospacing="off"/>
            </w:pPr>
            <w:r w:rsidRPr="5FF0A1E2" w:rsidR="5FF0A1E2">
              <w:rPr>
                <w:rFonts w:ascii="Aptos" w:hAnsi="Aptos" w:eastAsia="Aptos" w:cs="Aptos"/>
                <w:sz w:val="18"/>
                <w:szCs w:val="18"/>
              </w:rPr>
              <w:t>O’Toole et al. (2017)</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21E11A30" w14:textId="25FFC191">
            <w:pPr>
              <w:spacing w:before="0" w:beforeAutospacing="off" w:after="0" w:afterAutospacing="off"/>
            </w:pPr>
            <w:r w:rsidRPr="5FF0A1E2" w:rsidR="5FF0A1E2">
              <w:rPr>
                <w:rFonts w:ascii="Aptos" w:hAnsi="Aptos" w:eastAsia="Aptos" w:cs="Aptos"/>
                <w:sz w:val="18"/>
                <w:szCs w:val="18"/>
              </w:rPr>
              <w:t>Missed School Days and Parental Burden</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4488BF06" w14:textId="009D4EFD">
            <w:pPr>
              <w:spacing w:before="0" w:beforeAutospacing="off" w:after="0" w:afterAutospacing="off"/>
            </w:pPr>
            <w:r w:rsidRPr="5FF0A1E2" w:rsidR="5FF0A1E2">
              <w:rPr>
                <w:rFonts w:ascii="Aptos" w:hAnsi="Aptos" w:eastAsia="Aptos" w:cs="Aptos"/>
                <w:sz w:val="18"/>
                <w:szCs w:val="18"/>
              </w:rPr>
              <w:t>Survey</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7B1EADEF" w14:textId="6C1F7202">
            <w:pPr>
              <w:spacing w:before="0" w:beforeAutospacing="off" w:after="0" w:afterAutospacing="off"/>
            </w:pPr>
            <w:r w:rsidRPr="5FF0A1E2" w:rsidR="5FF0A1E2">
              <w:rPr>
                <w:rFonts w:ascii="Aptos" w:hAnsi="Aptos" w:eastAsia="Aptos" w:cs="Aptos"/>
                <w:sz w:val="18"/>
                <w:szCs w:val="18"/>
              </w:rPr>
              <w:t>Parents (N=295)</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0863EA19" w14:textId="68122BE7">
            <w:pPr>
              <w:spacing w:before="0" w:beforeAutospacing="off" w:after="0" w:afterAutospacing="off"/>
            </w:pPr>
            <w:r w:rsidRPr="5FF0A1E2" w:rsidR="5FF0A1E2">
              <w:rPr>
                <w:rFonts w:ascii="Aptos" w:hAnsi="Aptos" w:eastAsia="Aptos" w:cs="Aptos"/>
                <w:sz w:val="18"/>
                <w:szCs w:val="18"/>
              </w:rPr>
              <w:t>Strength: unique parental perspective; limitation: bias toward severe cases</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531D4EDC" w14:textId="5AD05E08">
            <w:pPr>
              <w:spacing w:before="0" w:beforeAutospacing="off" w:after="0" w:afterAutospacing="off"/>
            </w:pPr>
            <w:r w:rsidRPr="5FF0A1E2" w:rsidR="5FF0A1E2">
              <w:rPr>
                <w:rFonts w:ascii="Aptos" w:hAnsi="Aptos" w:eastAsia="Aptos" w:cs="Aptos"/>
                <w:sz w:val="18"/>
                <w:szCs w:val="18"/>
              </w:rPr>
              <w:t>Higher absenteeism correlates with lower academic achievement and emotional stress</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381F7DA5" w14:textId="1DDBF20E">
            <w:pPr>
              <w:spacing w:before="0" w:beforeAutospacing="off" w:after="0" w:afterAutospacing="off"/>
            </w:pPr>
            <w:r w:rsidRPr="5FF0A1E2" w:rsidR="5FF0A1E2">
              <w:rPr>
                <w:rFonts w:ascii="Aptos" w:hAnsi="Aptos" w:eastAsia="Aptos" w:cs="Aptos"/>
                <w:sz w:val="18"/>
                <w:szCs w:val="18"/>
              </w:rPr>
              <w:t>“Absenteeism”, “Parental concerns”, “Achievement”</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55523002" w14:textId="50CAD3ED">
            <w:pPr>
              <w:spacing w:before="0" w:beforeAutospacing="off" w:after="0" w:afterAutospacing="off"/>
            </w:pPr>
            <w:r w:rsidRPr="5FF0A1E2" w:rsidR="5FF0A1E2">
              <w:rPr>
                <w:rFonts w:ascii="Aptos" w:hAnsi="Aptos" w:eastAsia="Aptos" w:cs="Aptos"/>
                <w:sz w:val="18"/>
                <w:szCs w:val="18"/>
              </w:rPr>
              <w:t>Supports statistical analysis across themes</w:t>
            </w:r>
          </w:p>
        </w:tc>
      </w:tr>
      <w:tr w:rsidR="5FF0A1E2" w:rsidTr="5FF0A1E2" w14:paraId="66AC5343">
        <w:trPr>
          <w:trHeight w:val="615"/>
        </w:trPr>
        <w:tc>
          <w:tcPr>
            <w:tcW w:w="960" w:type="dxa"/>
            <w:tcBorders>
              <w:top w:val="single" w:sz="8"/>
              <w:left w:val="single" w:sz="8"/>
              <w:bottom w:val="single" w:sz="8"/>
              <w:right w:val="single" w:sz="8"/>
            </w:tcBorders>
            <w:tcMar>
              <w:left w:w="108" w:type="dxa"/>
              <w:right w:w="108" w:type="dxa"/>
            </w:tcMar>
            <w:vAlign w:val="top"/>
          </w:tcPr>
          <w:p w:rsidR="5FF0A1E2" w:rsidP="5FF0A1E2" w:rsidRDefault="5FF0A1E2" w14:paraId="67D356B7" w14:textId="738552B8">
            <w:pPr>
              <w:spacing w:before="0" w:beforeAutospacing="off" w:after="0" w:afterAutospacing="off"/>
            </w:pPr>
            <w:r w:rsidRPr="5FF0A1E2" w:rsidR="5FF0A1E2">
              <w:rPr>
                <w:rFonts w:ascii="Aptos" w:hAnsi="Aptos" w:eastAsia="Aptos" w:cs="Aptos"/>
                <w:sz w:val="18"/>
                <w:szCs w:val="18"/>
              </w:rPr>
              <w:t>Hopkins (2018)</w:t>
            </w:r>
          </w:p>
        </w:tc>
        <w:tc>
          <w:tcPr>
            <w:tcW w:w="1155" w:type="dxa"/>
            <w:tcBorders>
              <w:top w:val="single" w:sz="8"/>
              <w:left w:val="single" w:sz="8"/>
              <w:bottom w:val="single" w:sz="8"/>
              <w:right w:val="single" w:sz="8"/>
            </w:tcBorders>
            <w:tcMar>
              <w:left w:w="108" w:type="dxa"/>
              <w:right w:w="108" w:type="dxa"/>
            </w:tcMar>
            <w:vAlign w:val="top"/>
          </w:tcPr>
          <w:p w:rsidR="5FF0A1E2" w:rsidP="5FF0A1E2" w:rsidRDefault="5FF0A1E2" w14:paraId="0252A3B6" w14:textId="5BDDC40C">
            <w:pPr>
              <w:spacing w:before="0" w:beforeAutospacing="off" w:after="0" w:afterAutospacing="off"/>
            </w:pPr>
            <w:r w:rsidRPr="5FF0A1E2" w:rsidR="5FF0A1E2">
              <w:rPr>
                <w:rFonts w:ascii="Aptos" w:hAnsi="Aptos" w:eastAsia="Aptos" w:cs="Aptos"/>
                <w:sz w:val="18"/>
                <w:szCs w:val="18"/>
              </w:rPr>
              <w:t>Individual Healthcare Plans in Practice</w:t>
            </w:r>
          </w:p>
        </w:tc>
        <w:tc>
          <w:tcPr>
            <w:tcW w:w="975" w:type="dxa"/>
            <w:tcBorders>
              <w:top w:val="single" w:sz="8"/>
              <w:left w:val="single" w:sz="8"/>
              <w:bottom w:val="single" w:sz="8"/>
              <w:right w:val="single" w:sz="8"/>
            </w:tcBorders>
            <w:tcMar>
              <w:left w:w="108" w:type="dxa"/>
              <w:right w:w="108" w:type="dxa"/>
            </w:tcMar>
            <w:vAlign w:val="top"/>
          </w:tcPr>
          <w:p w:rsidR="5FF0A1E2" w:rsidP="5FF0A1E2" w:rsidRDefault="5FF0A1E2" w14:paraId="51995330" w14:textId="26E91BD6">
            <w:pPr>
              <w:spacing w:before="0" w:beforeAutospacing="off" w:after="0" w:afterAutospacing="off"/>
            </w:pPr>
            <w:r w:rsidRPr="5FF0A1E2" w:rsidR="5FF0A1E2">
              <w:rPr>
                <w:rFonts w:ascii="Aptos" w:hAnsi="Aptos" w:eastAsia="Aptos" w:cs="Aptos"/>
                <w:sz w:val="18"/>
                <w:szCs w:val="18"/>
              </w:rPr>
              <w:t>Observational Study</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510701E7" w14:textId="26EE8B18">
            <w:pPr>
              <w:spacing w:before="0" w:beforeAutospacing="off" w:after="0" w:afterAutospacing="off"/>
            </w:pPr>
            <w:r w:rsidRPr="5FF0A1E2" w:rsidR="5FF0A1E2">
              <w:rPr>
                <w:rFonts w:ascii="Aptos" w:hAnsi="Aptos" w:eastAsia="Aptos" w:cs="Aptos"/>
                <w:sz w:val="18"/>
                <w:szCs w:val="18"/>
              </w:rPr>
              <w:t>15 schools</w:t>
            </w:r>
          </w:p>
        </w:tc>
        <w:tc>
          <w:tcPr>
            <w:tcW w:w="1410" w:type="dxa"/>
            <w:tcBorders>
              <w:top w:val="single" w:sz="8"/>
              <w:left w:val="single" w:sz="8"/>
              <w:bottom w:val="single" w:sz="8"/>
              <w:right w:val="single" w:sz="8"/>
            </w:tcBorders>
            <w:tcMar>
              <w:left w:w="108" w:type="dxa"/>
              <w:right w:w="108" w:type="dxa"/>
            </w:tcMar>
            <w:vAlign w:val="top"/>
          </w:tcPr>
          <w:p w:rsidR="5FF0A1E2" w:rsidP="5FF0A1E2" w:rsidRDefault="5FF0A1E2" w14:paraId="46C452D1" w14:textId="6B37D4AF">
            <w:pPr>
              <w:spacing w:before="0" w:beforeAutospacing="off" w:after="0" w:afterAutospacing="off"/>
            </w:pPr>
            <w:r w:rsidRPr="5FF0A1E2" w:rsidR="5FF0A1E2">
              <w:rPr>
                <w:rFonts w:ascii="Aptos" w:hAnsi="Aptos" w:eastAsia="Aptos" w:cs="Aptos"/>
                <w:sz w:val="18"/>
                <w:szCs w:val="18"/>
              </w:rPr>
              <w:t>Strength: practical insights; Limitations small number of schools</w:t>
            </w:r>
          </w:p>
        </w:tc>
        <w:tc>
          <w:tcPr>
            <w:tcW w:w="1245" w:type="dxa"/>
            <w:tcBorders>
              <w:top w:val="single" w:sz="8"/>
              <w:left w:val="single" w:sz="8"/>
              <w:bottom w:val="single" w:sz="8"/>
              <w:right w:val="single" w:sz="8"/>
            </w:tcBorders>
            <w:tcMar>
              <w:left w:w="108" w:type="dxa"/>
              <w:right w:w="108" w:type="dxa"/>
            </w:tcMar>
            <w:vAlign w:val="top"/>
          </w:tcPr>
          <w:p w:rsidR="5FF0A1E2" w:rsidP="5FF0A1E2" w:rsidRDefault="5FF0A1E2" w14:paraId="62924969" w14:textId="70DC2A9F">
            <w:pPr>
              <w:spacing w:before="0" w:beforeAutospacing="off" w:after="0" w:afterAutospacing="off"/>
            </w:pPr>
            <w:r w:rsidRPr="5FF0A1E2" w:rsidR="5FF0A1E2">
              <w:rPr>
                <w:rFonts w:ascii="Aptos" w:hAnsi="Aptos" w:eastAsia="Aptos" w:cs="Aptos"/>
                <w:sz w:val="18"/>
                <w:szCs w:val="18"/>
              </w:rPr>
              <w:t>Quality of individual Healthcare Plans varies widely</w:t>
            </w:r>
          </w:p>
        </w:tc>
        <w:tc>
          <w:tcPr>
            <w:tcW w:w="1366" w:type="dxa"/>
            <w:tcBorders>
              <w:top w:val="single" w:sz="8"/>
              <w:left w:val="single" w:sz="8"/>
              <w:bottom w:val="single" w:sz="8"/>
              <w:right w:val="single" w:sz="8"/>
            </w:tcBorders>
            <w:tcMar>
              <w:left w:w="108" w:type="dxa"/>
              <w:right w:w="108" w:type="dxa"/>
            </w:tcMar>
            <w:vAlign w:val="top"/>
          </w:tcPr>
          <w:p w:rsidR="5FF0A1E2" w:rsidP="5FF0A1E2" w:rsidRDefault="5FF0A1E2" w14:paraId="7DCF63A1" w14:textId="50876FBE">
            <w:pPr>
              <w:spacing w:before="0" w:beforeAutospacing="off" w:after="0" w:afterAutospacing="off"/>
            </w:pPr>
            <w:r w:rsidRPr="5FF0A1E2" w:rsidR="5FF0A1E2">
              <w:rPr>
                <w:rFonts w:ascii="Aptos" w:hAnsi="Aptos" w:eastAsia="Aptos" w:cs="Aptos"/>
                <w:sz w:val="18"/>
                <w:szCs w:val="18"/>
              </w:rPr>
              <w:t>“IHPs”, “Policy implantation”, “Variation”</w:t>
            </w:r>
          </w:p>
        </w:tc>
        <w:tc>
          <w:tcPr>
            <w:tcW w:w="1422" w:type="dxa"/>
            <w:tcBorders>
              <w:top w:val="single" w:sz="8"/>
              <w:left w:val="single" w:sz="8"/>
              <w:bottom w:val="single" w:sz="8"/>
              <w:right w:val="single" w:sz="8"/>
            </w:tcBorders>
            <w:tcMar>
              <w:left w:w="108" w:type="dxa"/>
              <w:right w:w="108" w:type="dxa"/>
            </w:tcMar>
            <w:vAlign w:val="top"/>
          </w:tcPr>
          <w:p w:rsidR="5FF0A1E2" w:rsidP="5FF0A1E2" w:rsidRDefault="5FF0A1E2" w14:paraId="7993A3C8" w14:textId="33C6D416">
            <w:pPr>
              <w:spacing w:before="0" w:beforeAutospacing="off" w:after="0" w:afterAutospacing="off"/>
            </w:pPr>
            <w:r w:rsidRPr="5FF0A1E2" w:rsidR="5FF0A1E2">
              <w:rPr>
                <w:rFonts w:ascii="Aptos" w:hAnsi="Aptos" w:eastAsia="Aptos" w:cs="Aptos"/>
                <w:sz w:val="18"/>
                <w:szCs w:val="18"/>
              </w:rPr>
              <w:t>Strong for legislation/policy discussion</w:t>
            </w:r>
          </w:p>
        </w:tc>
      </w:tr>
    </w:tbl>
    <w:p w:rsidR="008C38C3" w:rsidP="00621776" w:rsidRDefault="008C38C3" w14:paraId="0D5F3838" w14:textId="17392B40"/>
    <w:p w:rsidR="008C38C3" w:rsidP="00621776" w:rsidRDefault="008C38C3" w14:paraId="438D3C08" w14:textId="77777777"/>
    <w:p w:rsidR="008C38C3" w:rsidP="00621776" w:rsidRDefault="008C38C3" w14:paraId="18FF6044" w14:textId="77777777" w14:noSpellErr="1"/>
    <w:p w:rsidR="5FF0A1E2" w:rsidP="5FF0A1E2" w:rsidRDefault="5FF0A1E2" w14:paraId="1B70E567" w14:textId="33D02D54">
      <w:pPr>
        <w:pStyle w:val="Heading1"/>
        <w:spacing w:before="480" w:beforeAutospacing="off" w:after="0" w:afterAutospacing="off" w:line="276" w:lineRule="auto"/>
        <w:jc w:val="center"/>
        <w:rPr>
          <w:rFonts w:ascii="Aptos" w:hAnsi="Aptos" w:eastAsia="Aptos" w:cs="Aptos"/>
          <w:b w:val="1"/>
          <w:bCs w:val="1"/>
          <w:noProof w:val="0"/>
          <w:color w:val="365F91"/>
          <w:sz w:val="34"/>
          <w:szCs w:val="34"/>
          <w:lang w:val="en-US"/>
        </w:rPr>
      </w:pPr>
    </w:p>
    <w:p w:rsidR="5FF0A1E2" w:rsidP="5FF0A1E2" w:rsidRDefault="5FF0A1E2" w14:paraId="043C2EC1" w14:textId="4BA5F215">
      <w:pPr>
        <w:pStyle w:val="Heading1"/>
        <w:spacing w:before="480" w:beforeAutospacing="off" w:after="0" w:afterAutospacing="off" w:line="276" w:lineRule="auto"/>
        <w:jc w:val="center"/>
        <w:rPr>
          <w:rFonts w:ascii="Aptos" w:hAnsi="Aptos" w:eastAsia="Aptos" w:cs="Aptos"/>
          <w:b w:val="1"/>
          <w:bCs w:val="1"/>
          <w:noProof w:val="0"/>
          <w:color w:val="365F91"/>
          <w:sz w:val="34"/>
          <w:szCs w:val="34"/>
          <w:lang w:val="en-US"/>
        </w:rPr>
      </w:pPr>
    </w:p>
    <w:p w:rsidR="52C205A1" w:rsidP="5FF0A1E2" w:rsidRDefault="52C205A1" w14:paraId="7966DBC4" w14:textId="3FF938B5">
      <w:pPr>
        <w:pStyle w:val="Heading1"/>
        <w:spacing w:before="480" w:beforeAutospacing="off" w:after="0" w:afterAutospacing="off" w:line="276" w:lineRule="auto"/>
        <w:jc w:val="center"/>
        <w:rPr>
          <w:rFonts w:ascii="Aptos" w:hAnsi="Aptos" w:eastAsia="Aptos" w:cs="Aptos"/>
          <w:b w:val="1"/>
          <w:bCs w:val="1"/>
          <w:noProof w:val="0"/>
          <w:color w:val="365F91"/>
          <w:sz w:val="34"/>
          <w:szCs w:val="34"/>
          <w:lang w:val="en-US"/>
        </w:rPr>
      </w:pPr>
      <w:bookmarkStart w:name="_Toc488688289" w:id="434742791"/>
      <w:r w:rsidRPr="5FF0A1E2" w:rsidR="52C205A1">
        <w:rPr>
          <w:rFonts w:ascii="Aptos" w:hAnsi="Aptos" w:eastAsia="Aptos" w:cs="Aptos"/>
          <w:b w:val="1"/>
          <w:bCs w:val="1"/>
          <w:noProof w:val="0"/>
          <w:color w:val="365F91"/>
          <w:sz w:val="34"/>
          <w:szCs w:val="34"/>
          <w:lang w:val="en-US"/>
        </w:rPr>
        <w:t>BMHP6020 Independent Project Source Tracking Table</w:t>
      </w:r>
      <w:bookmarkEnd w:id="434742791"/>
      <w:r w:rsidRPr="5FF0A1E2" w:rsidR="52C205A1">
        <w:rPr>
          <w:rFonts w:ascii="Aptos" w:hAnsi="Aptos" w:eastAsia="Aptos" w:cs="Aptos"/>
          <w:b w:val="1"/>
          <w:bCs w:val="1"/>
          <w:noProof w:val="0"/>
          <w:color w:val="365F91"/>
          <w:sz w:val="34"/>
          <w:szCs w:val="34"/>
          <w:lang w:val="en-US"/>
        </w:rPr>
        <w:t xml:space="preserve"> </w:t>
      </w:r>
    </w:p>
    <w:p w:rsidR="52C205A1" w:rsidP="5FF0A1E2" w:rsidRDefault="52C205A1" w14:paraId="54A7A4F7" w14:textId="02FFC8AD">
      <w:pPr>
        <w:pStyle w:val="Heading1"/>
        <w:spacing w:before="480" w:beforeAutospacing="off" w:after="0" w:afterAutospacing="off" w:line="276" w:lineRule="auto"/>
        <w:jc w:val="center"/>
        <w:rPr>
          <w:rFonts w:ascii="Aptos" w:hAnsi="Aptos" w:eastAsia="Aptos" w:cs="Aptos"/>
          <w:b w:val="1"/>
          <w:bCs w:val="1"/>
          <w:noProof w:val="0"/>
          <w:color w:val="365F91"/>
          <w:sz w:val="34"/>
          <w:szCs w:val="34"/>
          <w:lang w:val="en-US"/>
        </w:rPr>
      </w:pPr>
      <w:bookmarkStart w:name="_Toc1538984895" w:id="568113863"/>
      <w:r w:rsidRPr="5FF0A1E2" w:rsidR="52C205A1">
        <w:rPr>
          <w:rFonts w:ascii="Aptos" w:hAnsi="Aptos" w:eastAsia="Aptos" w:cs="Aptos"/>
          <w:b w:val="1"/>
          <w:bCs w:val="1"/>
          <w:noProof w:val="0"/>
          <w:color w:val="365F91"/>
          <w:sz w:val="34"/>
          <w:szCs w:val="34"/>
          <w:lang w:val="en-US"/>
        </w:rPr>
        <w:t>Research Question: Supporting Chronically Ill Children in Education Settings</w:t>
      </w:r>
      <w:r>
        <w:br/>
      </w:r>
      <w:r w:rsidRPr="5FF0A1E2" w:rsidR="52C205A1">
        <w:rPr>
          <w:rFonts w:ascii="Aptos" w:hAnsi="Aptos" w:eastAsia="Aptos" w:cs="Aptos"/>
          <w:b w:val="1"/>
          <w:bCs w:val="1"/>
          <w:noProof w:val="0"/>
          <w:color w:val="365F91"/>
          <w:sz w:val="34"/>
          <w:szCs w:val="34"/>
          <w:lang w:val="en-US"/>
        </w:rPr>
        <w:t xml:space="preserve"> </w:t>
      </w:r>
      <w:r>
        <w:br/>
      </w:r>
      <w:bookmarkEnd w:id="568113863"/>
    </w:p>
    <w:tbl>
      <w:tblPr>
        <w:tblStyle w:val="TableGrid"/>
        <w:bidiVisual w:val="0"/>
        <w:tblW w:w="0" w:type="auto"/>
        <w:tblInd w:w="-855" w:type="dxa"/>
        <w:tblLook w:val="04A0" w:firstRow="1" w:lastRow="0" w:firstColumn="1" w:lastColumn="0" w:noHBand="0" w:noVBand="1"/>
      </w:tblPr>
      <w:tblGrid>
        <w:gridCol w:w="854"/>
        <w:gridCol w:w="1110"/>
        <w:gridCol w:w="1190"/>
        <w:gridCol w:w="2805"/>
        <w:gridCol w:w="2856"/>
        <w:gridCol w:w="1192"/>
      </w:tblGrid>
      <w:tr w:rsidR="5FF0A1E2" w:rsidTr="5FF0A1E2" w14:paraId="765A2022">
        <w:trPr>
          <w:trHeight w:val="825"/>
        </w:trPr>
        <w:tc>
          <w:tcPr>
            <w:tcW w:w="854" w:type="dxa"/>
            <w:tcBorders>
              <w:top w:val="single" w:sz="8"/>
              <w:left w:val="single" w:sz="8"/>
              <w:bottom w:val="single" w:sz="8"/>
              <w:right w:val="single" w:sz="8"/>
            </w:tcBorders>
            <w:tcMar>
              <w:left w:w="108" w:type="dxa"/>
              <w:right w:w="108" w:type="dxa"/>
            </w:tcMar>
            <w:vAlign w:val="top"/>
          </w:tcPr>
          <w:p w:rsidR="5FF0A1E2" w:rsidP="5FF0A1E2" w:rsidRDefault="5FF0A1E2" w14:paraId="41D15879" w14:textId="0C0C4AAF">
            <w:pPr>
              <w:spacing w:before="0" w:beforeAutospacing="off" w:after="0" w:afterAutospacing="off"/>
              <w:jc w:val="center"/>
            </w:pPr>
            <w:r w:rsidRPr="5FF0A1E2" w:rsidR="5FF0A1E2">
              <w:rPr>
                <w:rFonts w:ascii="Segoe UI Emoji" w:hAnsi="Segoe UI Emoji" w:eastAsia="Segoe UI Emoji" w:cs="Segoe UI Emoji"/>
                <w:b w:val="1"/>
                <w:bCs w:val="1"/>
                <w:sz w:val="24"/>
                <w:szCs w:val="24"/>
                <w:lang w:val="en-US"/>
              </w:rPr>
              <w:t>✅</w:t>
            </w:r>
            <w:r w:rsidRPr="5FF0A1E2" w:rsidR="5FF0A1E2">
              <w:rPr>
                <w:rFonts w:ascii="Aptos" w:hAnsi="Aptos" w:eastAsia="Aptos" w:cs="Aptos"/>
                <w:b w:val="1"/>
                <w:bCs w:val="1"/>
                <w:sz w:val="24"/>
                <w:szCs w:val="24"/>
                <w:lang w:val="en-US"/>
              </w:rPr>
              <w:t xml:space="preserve"> Saved?</w:t>
            </w:r>
          </w:p>
        </w:tc>
        <w:tc>
          <w:tcPr>
            <w:tcW w:w="1110" w:type="dxa"/>
            <w:tcBorders>
              <w:top w:val="single" w:sz="8"/>
              <w:left w:val="single" w:sz="8"/>
              <w:bottom w:val="single" w:sz="8"/>
              <w:right w:val="single" w:sz="8"/>
            </w:tcBorders>
            <w:tcMar>
              <w:left w:w="108" w:type="dxa"/>
              <w:right w:w="108" w:type="dxa"/>
            </w:tcMar>
            <w:vAlign w:val="top"/>
          </w:tcPr>
          <w:p w:rsidR="5FF0A1E2" w:rsidP="5FF0A1E2" w:rsidRDefault="5FF0A1E2" w14:paraId="4DAB0C9A" w14:textId="750118E5">
            <w:pPr>
              <w:spacing w:before="0" w:beforeAutospacing="off" w:after="0" w:afterAutospacing="off"/>
              <w:jc w:val="center"/>
            </w:pPr>
            <w:r w:rsidRPr="5FF0A1E2" w:rsidR="5FF0A1E2">
              <w:rPr>
                <w:rFonts w:ascii="Aptos" w:hAnsi="Aptos" w:eastAsia="Aptos" w:cs="Aptos"/>
                <w:b w:val="1"/>
                <w:bCs w:val="1"/>
                <w:sz w:val="24"/>
                <w:szCs w:val="24"/>
                <w:lang w:val="en-US"/>
              </w:rPr>
              <w:t>Author &amp; Year</w:t>
            </w:r>
          </w:p>
        </w:tc>
        <w:tc>
          <w:tcPr>
            <w:tcW w:w="1190" w:type="dxa"/>
            <w:tcBorders>
              <w:top w:val="single" w:sz="8"/>
              <w:left w:val="single" w:sz="8"/>
              <w:bottom w:val="single" w:sz="8"/>
              <w:right w:val="single" w:sz="8"/>
            </w:tcBorders>
            <w:tcMar>
              <w:left w:w="108" w:type="dxa"/>
              <w:right w:w="108" w:type="dxa"/>
            </w:tcMar>
            <w:vAlign w:val="top"/>
          </w:tcPr>
          <w:p w:rsidR="5FF0A1E2" w:rsidP="5FF0A1E2" w:rsidRDefault="5FF0A1E2" w14:paraId="66600EED" w14:textId="350960CB">
            <w:pPr>
              <w:spacing w:before="0" w:beforeAutospacing="off" w:after="0" w:afterAutospacing="off"/>
              <w:jc w:val="center"/>
            </w:pPr>
            <w:r w:rsidRPr="5FF0A1E2" w:rsidR="5FF0A1E2">
              <w:rPr>
                <w:rFonts w:ascii="Aptos" w:hAnsi="Aptos" w:eastAsia="Aptos" w:cs="Aptos"/>
                <w:b w:val="1"/>
                <w:bCs w:val="1"/>
                <w:sz w:val="24"/>
                <w:szCs w:val="24"/>
                <w:lang w:val="en-US"/>
              </w:rPr>
              <w:t>Title</w:t>
            </w:r>
          </w:p>
        </w:tc>
        <w:tc>
          <w:tcPr>
            <w:tcW w:w="2805" w:type="dxa"/>
            <w:tcBorders>
              <w:top w:val="single" w:sz="8"/>
              <w:left w:val="single" w:sz="8"/>
              <w:bottom w:val="single" w:sz="8"/>
              <w:right w:val="single" w:sz="8"/>
            </w:tcBorders>
            <w:tcMar>
              <w:left w:w="108" w:type="dxa"/>
              <w:right w:w="108" w:type="dxa"/>
            </w:tcMar>
            <w:vAlign w:val="top"/>
          </w:tcPr>
          <w:p w:rsidR="5FF0A1E2" w:rsidP="5FF0A1E2" w:rsidRDefault="5FF0A1E2" w14:paraId="6390F60D" w14:textId="763E906A">
            <w:pPr>
              <w:spacing w:before="0" w:beforeAutospacing="off" w:after="0" w:afterAutospacing="off"/>
              <w:jc w:val="center"/>
            </w:pPr>
            <w:r w:rsidRPr="5FF0A1E2" w:rsidR="5FF0A1E2">
              <w:rPr>
                <w:rFonts w:ascii="Aptos" w:hAnsi="Aptos" w:eastAsia="Aptos" w:cs="Aptos"/>
                <w:b w:val="1"/>
                <w:bCs w:val="1"/>
                <w:sz w:val="24"/>
                <w:szCs w:val="24"/>
                <w:lang w:val="en-US"/>
              </w:rPr>
              <w:t>Summary</w:t>
            </w:r>
          </w:p>
        </w:tc>
        <w:tc>
          <w:tcPr>
            <w:tcW w:w="2856" w:type="dxa"/>
            <w:tcBorders>
              <w:top w:val="single" w:sz="8"/>
              <w:left w:val="single" w:sz="8"/>
              <w:bottom w:val="single" w:sz="8"/>
              <w:right w:val="single" w:sz="8"/>
            </w:tcBorders>
            <w:tcMar>
              <w:left w:w="108" w:type="dxa"/>
              <w:right w:w="108" w:type="dxa"/>
            </w:tcMar>
            <w:vAlign w:val="top"/>
          </w:tcPr>
          <w:p w:rsidR="5FF0A1E2" w:rsidP="5FF0A1E2" w:rsidRDefault="5FF0A1E2" w14:paraId="49FEB677" w14:textId="4B861B26">
            <w:pPr>
              <w:spacing w:before="0" w:beforeAutospacing="off" w:after="0" w:afterAutospacing="off"/>
              <w:jc w:val="center"/>
            </w:pPr>
            <w:r w:rsidRPr="5FF0A1E2" w:rsidR="5FF0A1E2">
              <w:rPr>
                <w:rFonts w:ascii="Aptos" w:hAnsi="Aptos" w:eastAsia="Aptos" w:cs="Aptos"/>
                <w:b w:val="1"/>
                <w:bCs w:val="1"/>
                <w:sz w:val="24"/>
                <w:szCs w:val="24"/>
                <w:lang w:val="en-US"/>
              </w:rPr>
              <w:t>CRAAP Notes</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68522599" w14:textId="5C2E4A9D">
            <w:pPr>
              <w:spacing w:before="0" w:beforeAutospacing="off" w:after="0" w:afterAutospacing="off"/>
              <w:jc w:val="center"/>
            </w:pPr>
            <w:r w:rsidRPr="5FF0A1E2" w:rsidR="5FF0A1E2">
              <w:rPr>
                <w:rFonts w:ascii="Aptos" w:hAnsi="Aptos" w:eastAsia="Aptos" w:cs="Aptos"/>
                <w:b w:val="1"/>
                <w:bCs w:val="1"/>
                <w:sz w:val="24"/>
                <w:szCs w:val="24"/>
                <w:lang w:val="en-US"/>
              </w:rPr>
              <w:t xml:space="preserve">File Name / Link to Source </w:t>
            </w:r>
          </w:p>
        </w:tc>
      </w:tr>
      <w:tr w:rsidR="5FF0A1E2" w:rsidTr="5FF0A1E2" w14:paraId="19616CDC">
        <w:trPr>
          <w:trHeight w:val="615"/>
        </w:trPr>
        <w:tc>
          <w:tcPr>
            <w:tcW w:w="854" w:type="dxa"/>
            <w:tcBorders>
              <w:top w:val="single" w:sz="8"/>
              <w:left w:val="single" w:sz="8"/>
              <w:bottom w:val="single" w:sz="8"/>
              <w:right w:val="single" w:sz="8"/>
            </w:tcBorders>
            <w:tcMar>
              <w:left w:w="108" w:type="dxa"/>
              <w:right w:w="108" w:type="dxa"/>
            </w:tcMar>
            <w:vAlign w:val="top"/>
          </w:tcPr>
          <w:p w:rsidR="5FF0A1E2" w:rsidP="5FF0A1E2" w:rsidRDefault="5FF0A1E2" w14:paraId="43D835CB" w14:textId="12D2D678">
            <w:pPr>
              <w:spacing w:before="0" w:beforeAutospacing="off" w:after="0" w:afterAutospacing="off"/>
            </w:pPr>
            <w:r w:rsidRPr="5FF0A1E2" w:rsidR="5FF0A1E2">
              <w:rPr>
                <w:rFonts w:ascii="Aptos" w:hAnsi="Aptos" w:eastAsia="Aptos" w:cs="Aptos"/>
                <w:sz w:val="24"/>
                <w:szCs w:val="24"/>
                <w:lang w:val="en-US"/>
              </w:rPr>
              <w:t xml:space="preserve"> yes</w:t>
            </w:r>
          </w:p>
        </w:tc>
        <w:tc>
          <w:tcPr>
            <w:tcW w:w="1110" w:type="dxa"/>
            <w:tcBorders>
              <w:top w:val="single" w:sz="8"/>
              <w:left w:val="single" w:sz="8"/>
              <w:bottom w:val="single" w:sz="8"/>
              <w:right w:val="single" w:sz="8"/>
            </w:tcBorders>
            <w:tcMar>
              <w:left w:w="108" w:type="dxa"/>
              <w:right w:w="108" w:type="dxa"/>
            </w:tcMar>
            <w:vAlign w:val="top"/>
          </w:tcPr>
          <w:p w:rsidR="5FF0A1E2" w:rsidP="5FF0A1E2" w:rsidRDefault="5FF0A1E2" w14:paraId="7507E1C7" w14:textId="58771CEE">
            <w:pPr>
              <w:spacing w:before="0" w:beforeAutospacing="off" w:after="0" w:afterAutospacing="off"/>
            </w:pPr>
            <w:r w:rsidRPr="5FF0A1E2" w:rsidR="5FF0A1E2">
              <w:rPr>
                <w:rFonts w:ascii="Aptos" w:hAnsi="Aptos" w:eastAsia="Aptos" w:cs="Aptos"/>
                <w:sz w:val="18"/>
                <w:szCs w:val="18"/>
                <w:lang w:val="en-US"/>
              </w:rPr>
              <w:t xml:space="preserve"> Hu, N.,</w:t>
            </w:r>
            <w:r w:rsidRPr="5FF0A1E2" w:rsidR="5FF0A1E2">
              <w:rPr>
                <w:rFonts w:ascii="Arial" w:hAnsi="Arial" w:eastAsia="Arial" w:cs="Arial"/>
                <w:sz w:val="18"/>
                <w:szCs w:val="18"/>
                <w:lang w:val="en-US"/>
              </w:rPr>
              <w:t> </w:t>
            </w:r>
            <w:r w:rsidRPr="5FF0A1E2" w:rsidR="5FF0A1E2">
              <w:rPr>
                <w:rFonts w:ascii="Aptos" w:hAnsi="Aptos" w:eastAsia="Aptos" w:cs="Aptos"/>
                <w:sz w:val="18"/>
                <w:szCs w:val="18"/>
                <w:lang w:val="en-US"/>
              </w:rPr>
              <w:t>Fardell, J., Wakefield, C. E., Marshall, G. M., Bell, J. C., Nassar, N., &amp; Lingam, R. (2021)</w:t>
            </w:r>
          </w:p>
        </w:tc>
        <w:tc>
          <w:tcPr>
            <w:tcW w:w="1190" w:type="dxa"/>
            <w:tcBorders>
              <w:top w:val="single" w:sz="8"/>
              <w:left w:val="single" w:sz="8"/>
              <w:bottom w:val="single" w:sz="8"/>
              <w:right w:val="single" w:sz="8"/>
            </w:tcBorders>
            <w:tcMar>
              <w:left w:w="108" w:type="dxa"/>
              <w:right w:w="108" w:type="dxa"/>
            </w:tcMar>
            <w:vAlign w:val="top"/>
          </w:tcPr>
          <w:p w:rsidR="5FF0A1E2" w:rsidP="5FF0A1E2" w:rsidRDefault="5FF0A1E2" w14:paraId="68D8C8F4" w14:textId="3797BC41">
            <w:pPr>
              <w:spacing w:before="0" w:beforeAutospacing="off" w:after="0" w:afterAutospacing="off"/>
            </w:pPr>
            <w:r w:rsidRPr="5FF0A1E2" w:rsidR="5FF0A1E2">
              <w:rPr>
                <w:rFonts w:ascii="Aptos" w:hAnsi="Aptos" w:eastAsia="Aptos" w:cs="Aptos"/>
                <w:sz w:val="18"/>
                <w:szCs w:val="18"/>
                <w:lang w:val="en-US"/>
              </w:rPr>
              <w:t xml:space="preserve"> School academic performance of children hospitalised with a chronic condition</w:t>
            </w:r>
          </w:p>
        </w:tc>
        <w:tc>
          <w:tcPr>
            <w:tcW w:w="2805" w:type="dxa"/>
            <w:tcBorders>
              <w:top w:val="single" w:sz="8"/>
              <w:left w:val="single" w:sz="8"/>
              <w:bottom w:val="single" w:sz="8"/>
              <w:right w:val="single" w:sz="8"/>
            </w:tcBorders>
            <w:tcMar>
              <w:left w:w="108" w:type="dxa"/>
              <w:right w:w="108" w:type="dxa"/>
            </w:tcMar>
            <w:vAlign w:val="top"/>
          </w:tcPr>
          <w:p w:rsidR="5FF0A1E2" w:rsidP="5FF0A1E2" w:rsidRDefault="5FF0A1E2" w14:paraId="6891DE72" w14:textId="2263A140">
            <w:pPr>
              <w:spacing w:before="0" w:beforeAutospacing="off" w:after="0" w:afterAutospacing="off"/>
            </w:pPr>
            <w:r w:rsidRPr="5FF0A1E2" w:rsidR="5FF0A1E2">
              <w:rPr>
                <w:rFonts w:ascii="Aptos" w:hAnsi="Aptos" w:eastAsia="Aptos" w:cs="Aptos"/>
                <w:sz w:val="18"/>
                <w:szCs w:val="18"/>
                <w:lang w:val="en-US"/>
              </w:rPr>
              <w:t xml:space="preserve"> A large population</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based birth cohort (≈</w:t>
            </w:r>
            <w:r w:rsidRPr="5FF0A1E2" w:rsidR="5FF0A1E2">
              <w:rPr>
                <w:rFonts w:ascii="Arial" w:hAnsi="Arial" w:eastAsia="Arial" w:cs="Arial"/>
                <w:sz w:val="18"/>
                <w:szCs w:val="18"/>
                <w:lang w:val="en-US"/>
              </w:rPr>
              <w:t> </w:t>
            </w:r>
            <w:r w:rsidRPr="5FF0A1E2" w:rsidR="5FF0A1E2">
              <w:rPr>
                <w:rFonts w:ascii="Aptos" w:hAnsi="Aptos" w:eastAsia="Aptos" w:cs="Aptos"/>
                <w:sz w:val="18"/>
                <w:szCs w:val="18"/>
                <w:lang w:val="en-US"/>
              </w:rPr>
              <w:t>397,000 children) study from New South Wales (Australia). It found that children hospitalised with chronic conditions were significantly more likely to perform below minimum standards in standardised literacy and numeracy tests (grades 3, 5 &amp; 7) than peers without such hospitalisations.</w:t>
            </w:r>
          </w:p>
        </w:tc>
        <w:tc>
          <w:tcPr>
            <w:tcW w:w="2856" w:type="dxa"/>
            <w:tcBorders>
              <w:top w:val="single" w:sz="8"/>
              <w:left w:val="single" w:sz="8"/>
              <w:bottom w:val="single" w:sz="8"/>
              <w:right w:val="single" w:sz="8"/>
            </w:tcBorders>
            <w:tcMar>
              <w:left w:w="108" w:type="dxa"/>
              <w:right w:w="108" w:type="dxa"/>
            </w:tcMar>
            <w:vAlign w:val="top"/>
          </w:tcPr>
          <w:p w:rsidR="5FF0A1E2" w:rsidP="5FF0A1E2" w:rsidRDefault="5FF0A1E2" w14:paraId="61C98DB6" w14:textId="7311E5E7">
            <w:pPr>
              <w:spacing w:before="0" w:beforeAutospacing="off" w:after="0" w:afterAutospacing="off"/>
            </w:pPr>
            <w:r w:rsidRPr="5FF0A1E2" w:rsidR="5FF0A1E2">
              <w:rPr>
                <w:rFonts w:ascii="Aptos" w:hAnsi="Aptos" w:eastAsia="Aptos" w:cs="Aptos"/>
                <w:sz w:val="18"/>
                <w:szCs w:val="18"/>
                <w:lang w:val="en-US"/>
              </w:rPr>
              <w:t xml:space="preserve"> Currency: 2021 recent. Relevance: Directly addresses academic performance of chronically ill children. Authority: Published in a well</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regarded peer</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reviewed medical journal (Archives of Disease in Childhood) and uses large, population</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level data. Accuracy: Transparent methodology, statistical controls for confounders; large sample. Purpose: To quantify impact of chronic illness and hospitalisation on academic outcomes.</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51FBC434" w14:textId="18B0427E">
            <w:pPr>
              <w:spacing w:before="0" w:beforeAutospacing="off" w:after="0" w:afterAutospacing="off"/>
            </w:pPr>
            <w:r w:rsidRPr="5FF0A1E2" w:rsidR="5FF0A1E2">
              <w:rPr>
                <w:rFonts w:ascii="Aptos" w:hAnsi="Aptos" w:eastAsia="Aptos" w:cs="Aptos"/>
                <w:sz w:val="24"/>
                <w:szCs w:val="24"/>
                <w:lang w:val="en-US"/>
              </w:rPr>
              <w:t xml:space="preserve"> pmc.ncbi.nlm.nih.gov/articles </w:t>
            </w:r>
          </w:p>
        </w:tc>
      </w:tr>
      <w:tr w:rsidR="5FF0A1E2" w:rsidTr="5FF0A1E2" w14:paraId="3D875BA5">
        <w:trPr>
          <w:trHeight w:val="615"/>
        </w:trPr>
        <w:tc>
          <w:tcPr>
            <w:tcW w:w="854" w:type="dxa"/>
            <w:tcBorders>
              <w:top w:val="single" w:sz="8"/>
              <w:left w:val="single" w:sz="8"/>
              <w:bottom w:val="single" w:sz="8"/>
              <w:right w:val="single" w:sz="8"/>
            </w:tcBorders>
            <w:tcMar>
              <w:left w:w="108" w:type="dxa"/>
              <w:right w:w="108" w:type="dxa"/>
            </w:tcMar>
            <w:vAlign w:val="top"/>
          </w:tcPr>
          <w:p w:rsidR="5FF0A1E2" w:rsidP="5FF0A1E2" w:rsidRDefault="5FF0A1E2" w14:paraId="413FF10C" w14:textId="11058CAE">
            <w:pPr>
              <w:spacing w:before="0" w:beforeAutospacing="off" w:after="0" w:afterAutospacing="off"/>
            </w:pPr>
            <w:r w:rsidRPr="5FF0A1E2" w:rsidR="5FF0A1E2">
              <w:rPr>
                <w:rFonts w:ascii="Aptos" w:hAnsi="Aptos" w:eastAsia="Aptos" w:cs="Aptos"/>
                <w:sz w:val="24"/>
                <w:szCs w:val="24"/>
                <w:lang w:val="en-US"/>
              </w:rPr>
              <w:t>yes</w:t>
            </w:r>
          </w:p>
        </w:tc>
        <w:tc>
          <w:tcPr>
            <w:tcW w:w="1110" w:type="dxa"/>
            <w:tcBorders>
              <w:top w:val="single" w:sz="8"/>
              <w:left w:val="single" w:sz="8"/>
              <w:bottom w:val="single" w:sz="8"/>
              <w:right w:val="single" w:sz="8"/>
            </w:tcBorders>
            <w:tcMar>
              <w:left w:w="108" w:type="dxa"/>
              <w:right w:w="108" w:type="dxa"/>
            </w:tcMar>
            <w:vAlign w:val="top"/>
          </w:tcPr>
          <w:p w:rsidR="5FF0A1E2" w:rsidP="5FF0A1E2" w:rsidRDefault="5FF0A1E2" w14:paraId="61E26370" w14:textId="3A60B5EC">
            <w:pPr>
              <w:spacing w:before="0" w:beforeAutospacing="off" w:after="0" w:afterAutospacing="off"/>
            </w:pPr>
            <w:r w:rsidRPr="5FF0A1E2" w:rsidR="5FF0A1E2">
              <w:rPr>
                <w:rFonts w:ascii="Aptos" w:hAnsi="Aptos" w:eastAsia="Aptos" w:cs="Aptos"/>
                <w:sz w:val="18"/>
                <w:szCs w:val="18"/>
                <w:lang w:val="en-US"/>
              </w:rPr>
              <w:t>Fleming, M., Fitton, C. A., Steiner, M. F., McLay, J. S., Clark, D., King, A., MacKay, D. F., &amp; Pell, J. P. (2019)</w:t>
            </w:r>
          </w:p>
        </w:tc>
        <w:tc>
          <w:tcPr>
            <w:tcW w:w="1190" w:type="dxa"/>
            <w:tcBorders>
              <w:top w:val="single" w:sz="8"/>
              <w:left w:val="single" w:sz="8"/>
              <w:bottom w:val="single" w:sz="8"/>
              <w:right w:val="single" w:sz="8"/>
            </w:tcBorders>
            <w:tcMar>
              <w:left w:w="108" w:type="dxa"/>
              <w:right w:w="108" w:type="dxa"/>
            </w:tcMar>
            <w:vAlign w:val="top"/>
          </w:tcPr>
          <w:p w:rsidR="5FF0A1E2" w:rsidP="5FF0A1E2" w:rsidRDefault="5FF0A1E2" w14:paraId="00C22390" w14:textId="210DF580">
            <w:pPr>
              <w:spacing w:before="0" w:beforeAutospacing="off" w:after="0" w:afterAutospacing="off"/>
            </w:pPr>
            <w:r w:rsidRPr="5FF0A1E2" w:rsidR="5FF0A1E2">
              <w:rPr>
                <w:rFonts w:ascii="Aptos" w:hAnsi="Aptos" w:eastAsia="Aptos" w:cs="Aptos"/>
                <w:sz w:val="18"/>
                <w:szCs w:val="18"/>
                <w:lang w:val="en-US"/>
              </w:rPr>
              <w:t>Education and health outcomes of children treated for chronic conditions</w:t>
            </w:r>
          </w:p>
        </w:tc>
        <w:tc>
          <w:tcPr>
            <w:tcW w:w="2805" w:type="dxa"/>
            <w:tcBorders>
              <w:top w:val="single" w:sz="8"/>
              <w:left w:val="single" w:sz="8"/>
              <w:bottom w:val="single" w:sz="8"/>
              <w:right w:val="single" w:sz="8"/>
            </w:tcBorders>
            <w:tcMar>
              <w:left w:w="108" w:type="dxa"/>
              <w:right w:w="108" w:type="dxa"/>
            </w:tcMar>
            <w:vAlign w:val="top"/>
          </w:tcPr>
          <w:p w:rsidR="5FF0A1E2" w:rsidP="5FF0A1E2" w:rsidRDefault="5FF0A1E2" w14:paraId="6D81557C" w14:textId="1B7A20C3">
            <w:pPr>
              <w:spacing w:before="0" w:beforeAutospacing="off" w:after="0" w:afterAutospacing="off"/>
            </w:pPr>
            <w:r w:rsidRPr="5FF0A1E2" w:rsidR="5FF0A1E2">
              <w:rPr>
                <w:rFonts w:ascii="Aptos" w:hAnsi="Aptos" w:eastAsia="Aptos" w:cs="Aptos"/>
                <w:sz w:val="18"/>
                <w:szCs w:val="18"/>
                <w:lang w:val="en-US"/>
              </w:rPr>
              <w:t>This retrospective cohort study in Scotland linked national health and education records to examine outcomes for children with conditions like diabetes, asthma, epilepsy, ADHD, depression.</w:t>
            </w:r>
          </w:p>
        </w:tc>
        <w:tc>
          <w:tcPr>
            <w:tcW w:w="2856" w:type="dxa"/>
            <w:tcBorders>
              <w:top w:val="single" w:sz="8"/>
              <w:left w:val="single" w:sz="8"/>
              <w:bottom w:val="single" w:sz="8"/>
              <w:right w:val="single" w:sz="8"/>
            </w:tcBorders>
            <w:tcMar>
              <w:left w:w="108" w:type="dxa"/>
              <w:right w:w="108" w:type="dxa"/>
            </w:tcMar>
            <w:vAlign w:val="top"/>
          </w:tcPr>
          <w:p w:rsidR="5FF0A1E2" w:rsidP="5FF0A1E2" w:rsidRDefault="5FF0A1E2" w14:paraId="7321A087" w14:textId="20FE079A">
            <w:pPr>
              <w:spacing w:before="0" w:beforeAutospacing="off" w:after="0" w:afterAutospacing="off"/>
            </w:pPr>
            <w:r w:rsidRPr="5FF0A1E2" w:rsidR="5FF0A1E2">
              <w:rPr>
                <w:rFonts w:ascii="Aptos" w:hAnsi="Aptos" w:eastAsia="Aptos" w:cs="Aptos"/>
                <w:sz w:val="18"/>
                <w:szCs w:val="18"/>
                <w:lang w:val="en-US"/>
              </w:rPr>
              <w:t>Currency: 2019 relatively recent. Relevance: Broad: covers several chronic conditions and multiple educational</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health outcomes. Authority: Peer</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reviewed in a population data science journal; uses large, linked national datasets. Accuracy: Adjusts for comorbidities and socioeconomic factors; clear methodology. Purpose: To highlight educational disadvantage linked to chronic health conditions and underscore need for integrated support.</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6DD7B5A6" w14:textId="2B6540A0">
            <w:pPr>
              <w:spacing w:before="0" w:beforeAutospacing="off" w:after="0" w:afterAutospacing="off"/>
            </w:pPr>
            <w:r w:rsidRPr="5FF0A1E2" w:rsidR="5FF0A1E2">
              <w:rPr>
                <w:rFonts w:ascii="Aptos" w:hAnsi="Aptos" w:eastAsia="Aptos" w:cs="Aptos"/>
                <w:sz w:val="24"/>
                <w:szCs w:val="24"/>
                <w:lang w:val="en-US"/>
              </w:rPr>
              <w:t>ijpds.org/article</w:t>
            </w:r>
          </w:p>
        </w:tc>
      </w:tr>
      <w:tr w:rsidR="5FF0A1E2" w:rsidTr="5FF0A1E2" w14:paraId="2112700C">
        <w:trPr>
          <w:trHeight w:val="615"/>
        </w:trPr>
        <w:tc>
          <w:tcPr>
            <w:tcW w:w="854" w:type="dxa"/>
            <w:tcBorders>
              <w:top w:val="single" w:sz="8"/>
              <w:left w:val="single" w:sz="8"/>
              <w:bottom w:val="single" w:sz="8"/>
              <w:right w:val="single" w:sz="8"/>
            </w:tcBorders>
            <w:tcMar>
              <w:left w:w="108" w:type="dxa"/>
              <w:right w:w="108" w:type="dxa"/>
            </w:tcMar>
            <w:vAlign w:val="top"/>
          </w:tcPr>
          <w:p w:rsidR="5FF0A1E2" w:rsidP="5FF0A1E2" w:rsidRDefault="5FF0A1E2" w14:paraId="180035CD" w14:textId="12AB74A8">
            <w:pPr>
              <w:spacing w:before="0" w:beforeAutospacing="off" w:after="0" w:afterAutospacing="off"/>
            </w:pPr>
            <w:r w:rsidRPr="5FF0A1E2" w:rsidR="5FF0A1E2">
              <w:rPr>
                <w:rFonts w:ascii="Aptos" w:hAnsi="Aptos" w:eastAsia="Aptos" w:cs="Aptos"/>
                <w:sz w:val="24"/>
                <w:szCs w:val="24"/>
                <w:lang w:val="en-US"/>
              </w:rPr>
              <w:t>yes</w:t>
            </w:r>
          </w:p>
        </w:tc>
        <w:tc>
          <w:tcPr>
            <w:tcW w:w="1110" w:type="dxa"/>
            <w:tcBorders>
              <w:top w:val="single" w:sz="8"/>
              <w:left w:val="single" w:sz="8"/>
              <w:bottom w:val="single" w:sz="8"/>
              <w:right w:val="single" w:sz="8"/>
            </w:tcBorders>
            <w:tcMar>
              <w:left w:w="108" w:type="dxa"/>
              <w:right w:w="108" w:type="dxa"/>
            </w:tcMar>
            <w:vAlign w:val="top"/>
          </w:tcPr>
          <w:p w:rsidR="5FF0A1E2" w:rsidP="5FF0A1E2" w:rsidRDefault="5FF0A1E2" w14:paraId="7E4D1BD6" w14:textId="6E70B64C">
            <w:pPr>
              <w:spacing w:before="0" w:beforeAutospacing="off" w:after="0" w:afterAutospacing="off"/>
            </w:pPr>
            <w:r w:rsidRPr="5FF0A1E2" w:rsidR="5FF0A1E2">
              <w:rPr>
                <w:rFonts w:ascii="Aptos" w:hAnsi="Aptos" w:eastAsia="Aptos" w:cs="Aptos"/>
                <w:sz w:val="18"/>
                <w:szCs w:val="18"/>
                <w:lang w:val="en-US"/>
              </w:rPr>
              <w:t>Jay, S., Sanders</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Ellis, H., Blackburn, C., Deighton, J., &amp; Gilbert, R. (2023)</w:t>
            </w:r>
          </w:p>
        </w:tc>
        <w:tc>
          <w:tcPr>
            <w:tcW w:w="1190" w:type="dxa"/>
            <w:tcBorders>
              <w:top w:val="single" w:sz="8"/>
              <w:left w:val="single" w:sz="8"/>
              <w:bottom w:val="single" w:sz="8"/>
              <w:right w:val="single" w:sz="8"/>
            </w:tcBorders>
            <w:tcMar>
              <w:left w:w="108" w:type="dxa"/>
              <w:right w:w="108" w:type="dxa"/>
            </w:tcMar>
            <w:vAlign w:val="top"/>
          </w:tcPr>
          <w:p w:rsidR="5FF0A1E2" w:rsidP="5FF0A1E2" w:rsidRDefault="5FF0A1E2" w14:paraId="49B0A18E" w14:textId="76A4F6C0">
            <w:pPr>
              <w:spacing w:before="0" w:beforeAutospacing="off" w:after="0" w:afterAutospacing="off"/>
            </w:pPr>
            <w:r w:rsidRPr="5FF0A1E2" w:rsidR="5FF0A1E2">
              <w:rPr>
                <w:rFonts w:ascii="Aptos" w:hAnsi="Aptos" w:eastAsia="Aptos" w:cs="Aptos"/>
                <w:sz w:val="18"/>
                <w:szCs w:val="18"/>
                <w:lang w:val="en-US"/>
              </w:rPr>
              <w:t>Umbrella systematic review: Do school absences explain the association between chronic health conditions and academic attainment?</w:t>
            </w:r>
          </w:p>
        </w:tc>
        <w:tc>
          <w:tcPr>
            <w:tcW w:w="2805" w:type="dxa"/>
            <w:tcBorders>
              <w:top w:val="single" w:sz="8"/>
              <w:left w:val="single" w:sz="8"/>
              <w:bottom w:val="single" w:sz="8"/>
              <w:right w:val="single" w:sz="8"/>
            </w:tcBorders>
            <w:tcMar>
              <w:left w:w="108" w:type="dxa"/>
              <w:right w:w="108" w:type="dxa"/>
            </w:tcMar>
            <w:vAlign w:val="top"/>
          </w:tcPr>
          <w:p w:rsidR="5FF0A1E2" w:rsidP="5FF0A1E2" w:rsidRDefault="5FF0A1E2" w14:paraId="6E46120D" w14:textId="56DD25C7">
            <w:pPr>
              <w:spacing w:before="0" w:beforeAutospacing="off" w:after="0" w:afterAutospacing="off"/>
            </w:pPr>
            <w:r w:rsidRPr="5FF0A1E2" w:rsidR="5FF0A1E2">
              <w:rPr>
                <w:rFonts w:ascii="Aptos" w:hAnsi="Aptos" w:eastAsia="Aptos" w:cs="Aptos"/>
                <w:sz w:val="18"/>
                <w:szCs w:val="18"/>
                <w:lang w:val="en-US"/>
              </w:rPr>
              <w:t>This umbrella review synthesized 27 systematic reviews, covering over 7.5 million children worldwide. It confirmed that chronic health conditions (CHCs) are associated with lower academic attainment.</w:t>
            </w:r>
          </w:p>
        </w:tc>
        <w:tc>
          <w:tcPr>
            <w:tcW w:w="2856" w:type="dxa"/>
            <w:tcBorders>
              <w:top w:val="single" w:sz="8"/>
              <w:left w:val="single" w:sz="8"/>
              <w:bottom w:val="single" w:sz="8"/>
              <w:right w:val="single" w:sz="8"/>
            </w:tcBorders>
            <w:tcMar>
              <w:left w:w="108" w:type="dxa"/>
              <w:right w:w="108" w:type="dxa"/>
            </w:tcMar>
            <w:vAlign w:val="top"/>
          </w:tcPr>
          <w:p w:rsidR="5FF0A1E2" w:rsidP="5FF0A1E2" w:rsidRDefault="5FF0A1E2" w14:paraId="3E930CEE" w14:textId="4DC3B405">
            <w:pPr>
              <w:spacing w:before="0" w:beforeAutospacing="off" w:after="0" w:afterAutospacing="off"/>
            </w:pPr>
            <w:r w:rsidRPr="5FF0A1E2" w:rsidR="5FF0A1E2">
              <w:rPr>
                <w:rFonts w:ascii="Aptos" w:hAnsi="Aptos" w:eastAsia="Aptos" w:cs="Aptos"/>
                <w:sz w:val="18"/>
                <w:szCs w:val="18"/>
                <w:lang w:val="en-US"/>
              </w:rPr>
              <w:t>Currency: 2023 very up-to-date. Relevance: Highly relevant: evaluates a common assumption (that absence drives underachievement) and challenges it. Authority: Systematic review of many studies across jurisdictions, using rigorous methods. Accuracy: Transparent inclusion criteria; analyses are meta</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analytic/umbrella. Purpose: To inform policy/practice by clarifying mechanisms behind educational disadvantage suggests interventions must go beyond simply improving attendance.</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3782F2E1" w14:textId="6AD7F312">
            <w:pPr>
              <w:spacing w:before="0" w:beforeAutospacing="off" w:after="0" w:afterAutospacing="off"/>
            </w:pPr>
            <w:hyperlink r:id="Rfc1aa255b42a4a59">
              <w:r w:rsidRPr="5FF0A1E2" w:rsidR="5FF0A1E2">
                <w:rPr>
                  <w:rStyle w:val="Hyperlink"/>
                  <w:rFonts w:ascii="Aptos" w:hAnsi="Aptos" w:eastAsia="Aptos" w:cs="Aptos"/>
                  <w:strike w:val="0"/>
                  <w:dstrike w:val="0"/>
                  <w:color w:val="0000FF"/>
                  <w:sz w:val="24"/>
                  <w:szCs w:val="24"/>
                  <w:u w:val="single"/>
                  <w:lang w:val="en-US"/>
                </w:rPr>
                <w:t>https://pubmed.ncbi.nlm.nih.gov/37361156/</w:t>
              </w:r>
            </w:hyperlink>
            <w:r w:rsidRPr="5FF0A1E2" w:rsidR="5FF0A1E2">
              <w:rPr>
                <w:rFonts w:ascii="Aptos" w:hAnsi="Aptos" w:eastAsia="Aptos" w:cs="Aptos"/>
                <w:sz w:val="24"/>
                <w:szCs w:val="24"/>
                <w:lang w:val="en-US"/>
              </w:rPr>
              <w:t xml:space="preserve"> </w:t>
            </w:r>
          </w:p>
        </w:tc>
      </w:tr>
      <w:tr w:rsidR="5FF0A1E2" w:rsidTr="5FF0A1E2" w14:paraId="05C1A533">
        <w:trPr>
          <w:trHeight w:val="645"/>
        </w:trPr>
        <w:tc>
          <w:tcPr>
            <w:tcW w:w="854" w:type="dxa"/>
            <w:tcBorders>
              <w:top w:val="single" w:sz="8"/>
              <w:left w:val="single" w:sz="8"/>
              <w:bottom w:val="single" w:sz="8"/>
              <w:right w:val="single" w:sz="8"/>
            </w:tcBorders>
            <w:tcMar>
              <w:left w:w="108" w:type="dxa"/>
              <w:right w:w="108" w:type="dxa"/>
            </w:tcMar>
            <w:vAlign w:val="top"/>
          </w:tcPr>
          <w:p w:rsidR="5FF0A1E2" w:rsidP="5FF0A1E2" w:rsidRDefault="5FF0A1E2" w14:paraId="4E09D61E" w14:textId="54462DF9">
            <w:pPr>
              <w:spacing w:before="0" w:beforeAutospacing="off" w:after="0" w:afterAutospacing="off"/>
            </w:pPr>
            <w:r w:rsidRPr="5FF0A1E2" w:rsidR="5FF0A1E2">
              <w:rPr>
                <w:rFonts w:ascii="Aptos" w:hAnsi="Aptos" w:eastAsia="Aptos" w:cs="Aptos"/>
                <w:sz w:val="24"/>
                <w:szCs w:val="24"/>
                <w:lang w:val="en-US"/>
              </w:rPr>
              <w:t>yes</w:t>
            </w:r>
          </w:p>
        </w:tc>
        <w:tc>
          <w:tcPr>
            <w:tcW w:w="1110" w:type="dxa"/>
            <w:tcBorders>
              <w:top w:val="single" w:sz="8"/>
              <w:left w:val="single" w:sz="8"/>
              <w:bottom w:val="single" w:sz="8"/>
              <w:right w:val="single" w:sz="8"/>
            </w:tcBorders>
            <w:tcMar>
              <w:left w:w="108" w:type="dxa"/>
              <w:right w:w="108" w:type="dxa"/>
            </w:tcMar>
            <w:vAlign w:val="top"/>
          </w:tcPr>
          <w:p w:rsidR="5FF0A1E2" w:rsidP="5FF0A1E2" w:rsidRDefault="5FF0A1E2" w14:paraId="05E3762C" w14:textId="283AC5E7">
            <w:pPr>
              <w:spacing w:before="0" w:beforeAutospacing="off" w:after="0" w:afterAutospacing="off"/>
            </w:pPr>
            <w:r w:rsidRPr="5FF0A1E2" w:rsidR="5FF0A1E2">
              <w:rPr>
                <w:rFonts w:ascii="Aptos" w:hAnsi="Aptos" w:eastAsia="Aptos" w:cs="Aptos"/>
                <w:sz w:val="18"/>
                <w:szCs w:val="18"/>
                <w:lang w:val="en-US"/>
              </w:rPr>
              <w:t>(Multiple authors) (2017)</w:t>
            </w:r>
          </w:p>
        </w:tc>
        <w:tc>
          <w:tcPr>
            <w:tcW w:w="1190" w:type="dxa"/>
            <w:tcBorders>
              <w:top w:val="single" w:sz="8"/>
              <w:left w:val="single" w:sz="8"/>
              <w:bottom w:val="single" w:sz="8"/>
              <w:right w:val="single" w:sz="8"/>
            </w:tcBorders>
            <w:tcMar>
              <w:left w:w="108" w:type="dxa"/>
              <w:right w:w="108" w:type="dxa"/>
            </w:tcMar>
            <w:vAlign w:val="top"/>
          </w:tcPr>
          <w:p w:rsidR="5FF0A1E2" w:rsidP="5FF0A1E2" w:rsidRDefault="5FF0A1E2" w14:paraId="6AB2CEC9" w14:textId="49E05AE9">
            <w:pPr>
              <w:spacing w:before="0" w:beforeAutospacing="off" w:after="0" w:afterAutospacing="off"/>
            </w:pPr>
            <w:r w:rsidRPr="5FF0A1E2" w:rsidR="5FF0A1E2">
              <w:rPr>
                <w:rFonts w:ascii="Aptos" w:hAnsi="Aptos" w:eastAsia="Aptos" w:cs="Aptos"/>
                <w:sz w:val="18"/>
                <w:szCs w:val="18"/>
                <w:lang w:val="en-US"/>
              </w:rPr>
              <w:t>Understanding the school experiences of children and adolescents with serious chronic illness: a systematic meta</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w:t>
            </w:r>
          </w:p>
        </w:tc>
        <w:tc>
          <w:tcPr>
            <w:tcW w:w="2805" w:type="dxa"/>
            <w:tcBorders>
              <w:top w:val="single" w:sz="8"/>
              <w:left w:val="single" w:sz="8"/>
              <w:bottom w:val="single" w:sz="8"/>
              <w:right w:val="single" w:sz="8"/>
            </w:tcBorders>
            <w:tcMar>
              <w:left w:w="108" w:type="dxa"/>
              <w:right w:w="108" w:type="dxa"/>
            </w:tcMar>
            <w:vAlign w:val="top"/>
          </w:tcPr>
          <w:p w:rsidR="5FF0A1E2" w:rsidP="5FF0A1E2" w:rsidRDefault="5FF0A1E2" w14:paraId="3E9C0795" w14:textId="32558A1D">
            <w:pPr>
              <w:spacing w:before="0" w:beforeAutospacing="off" w:after="0" w:afterAutospacing="off"/>
            </w:pPr>
            <w:r w:rsidRPr="5FF0A1E2" w:rsidR="5FF0A1E2">
              <w:rPr>
                <w:rFonts w:ascii="Aptos" w:hAnsi="Aptos" w:eastAsia="Aptos" w:cs="Aptos"/>
                <w:sz w:val="18"/>
                <w:szCs w:val="18"/>
                <w:lang w:val="en-US"/>
              </w:rPr>
              <w:t>This meta</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 encompassed 172 studies (over 40,000 young people) covering various serious chronic illnesses (e.g. cancer, asthma, cystic fibrosis, kidney disease).</w:t>
            </w:r>
          </w:p>
        </w:tc>
        <w:tc>
          <w:tcPr>
            <w:tcW w:w="2856" w:type="dxa"/>
            <w:tcBorders>
              <w:top w:val="single" w:sz="8"/>
              <w:left w:val="single" w:sz="8"/>
              <w:bottom w:val="single" w:sz="8"/>
              <w:right w:val="single" w:sz="8"/>
            </w:tcBorders>
            <w:tcMar>
              <w:left w:w="108" w:type="dxa"/>
              <w:right w:w="108" w:type="dxa"/>
            </w:tcMar>
            <w:vAlign w:val="top"/>
          </w:tcPr>
          <w:p w:rsidR="5FF0A1E2" w:rsidP="5FF0A1E2" w:rsidRDefault="5FF0A1E2" w14:paraId="507AD9DF" w14:textId="1A9B2B86">
            <w:pPr>
              <w:spacing w:before="0" w:beforeAutospacing="off" w:after="0" w:afterAutospacing="off"/>
            </w:pPr>
            <w:r w:rsidRPr="5FF0A1E2" w:rsidR="5FF0A1E2">
              <w:rPr>
                <w:rFonts w:ascii="Aptos" w:hAnsi="Aptos" w:eastAsia="Aptos" w:cs="Aptos"/>
                <w:sz w:val="18"/>
                <w:szCs w:val="18"/>
                <w:lang w:val="en-US"/>
              </w:rPr>
              <w:t>Currency: 2017 a few years old but still relevant. Relevance: Very broad and foundational; covers many illnesses and both objective (achievement, attendance) and subjective (school experience) outcomes. Authority: Peer</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reviewed meta</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 published by a reputable publisher. Accuracy: Synthesises many primary studies; acknowledges variability and heterogeneity across those. Purpose: To summarise overall evidence on chronic illness &amp; schooling and identify targets for support/intervention.</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28E503B6" w14:textId="4B3604A4">
            <w:pPr>
              <w:spacing w:before="0" w:beforeAutospacing="off" w:after="0" w:afterAutospacing="off"/>
            </w:pPr>
            <w:hyperlink r:id="Rd071791288814be6">
              <w:r w:rsidRPr="5FF0A1E2" w:rsidR="5FF0A1E2">
                <w:rPr>
                  <w:rStyle w:val="Hyperlink"/>
                  <w:rFonts w:ascii="Aptos" w:hAnsi="Aptos" w:eastAsia="Aptos" w:cs="Aptos"/>
                  <w:strike w:val="0"/>
                  <w:dstrike w:val="0"/>
                  <w:color w:val="0000FF"/>
                  <w:sz w:val="24"/>
                  <w:szCs w:val="24"/>
                  <w:u w:val="single"/>
                  <w:lang w:val="en-US"/>
                </w:rPr>
                <w:t>https://pubmed.ncbi.nlm.nih.gov/28543609/</w:t>
              </w:r>
            </w:hyperlink>
            <w:r w:rsidRPr="5FF0A1E2" w:rsidR="5FF0A1E2">
              <w:rPr>
                <w:rFonts w:ascii="Aptos" w:hAnsi="Aptos" w:eastAsia="Aptos" w:cs="Aptos"/>
                <w:sz w:val="24"/>
                <w:szCs w:val="24"/>
                <w:lang w:val="en-US"/>
              </w:rPr>
              <w:t xml:space="preserve"> </w:t>
            </w:r>
          </w:p>
        </w:tc>
      </w:tr>
      <w:tr w:rsidR="5FF0A1E2" w:rsidTr="5FF0A1E2" w14:paraId="0E9F9255">
        <w:trPr>
          <w:trHeight w:val="615"/>
        </w:trPr>
        <w:tc>
          <w:tcPr>
            <w:tcW w:w="854" w:type="dxa"/>
            <w:tcBorders>
              <w:top w:val="single" w:sz="8"/>
              <w:left w:val="single" w:sz="8"/>
              <w:bottom w:val="single" w:sz="8"/>
              <w:right w:val="single" w:sz="8"/>
            </w:tcBorders>
            <w:tcMar>
              <w:left w:w="108" w:type="dxa"/>
              <w:right w:w="108" w:type="dxa"/>
            </w:tcMar>
            <w:vAlign w:val="top"/>
          </w:tcPr>
          <w:p w:rsidR="5FF0A1E2" w:rsidP="5FF0A1E2" w:rsidRDefault="5FF0A1E2" w14:paraId="0087E62B" w14:textId="3A92966F">
            <w:pPr>
              <w:spacing w:before="0" w:beforeAutospacing="off" w:after="0" w:afterAutospacing="off"/>
            </w:pPr>
            <w:r w:rsidRPr="5FF0A1E2" w:rsidR="5FF0A1E2">
              <w:rPr>
                <w:rFonts w:ascii="Aptos" w:hAnsi="Aptos" w:eastAsia="Aptos" w:cs="Aptos"/>
                <w:sz w:val="24"/>
                <w:szCs w:val="24"/>
                <w:lang w:val="en-US"/>
              </w:rPr>
              <w:t>yes</w:t>
            </w:r>
          </w:p>
        </w:tc>
        <w:tc>
          <w:tcPr>
            <w:tcW w:w="1110" w:type="dxa"/>
            <w:tcBorders>
              <w:top w:val="single" w:sz="8"/>
              <w:left w:val="single" w:sz="8"/>
              <w:bottom w:val="single" w:sz="8"/>
              <w:right w:val="single" w:sz="8"/>
            </w:tcBorders>
            <w:tcMar>
              <w:left w:w="108" w:type="dxa"/>
              <w:right w:w="108" w:type="dxa"/>
            </w:tcMar>
            <w:vAlign w:val="top"/>
          </w:tcPr>
          <w:p w:rsidR="5FF0A1E2" w:rsidP="5FF0A1E2" w:rsidRDefault="5FF0A1E2" w14:paraId="628B0C65" w14:textId="1BCA1F43">
            <w:pPr>
              <w:spacing w:before="0" w:beforeAutospacing="off" w:after="0" w:afterAutospacing="off"/>
            </w:pPr>
            <w:r w:rsidRPr="5FF0A1E2" w:rsidR="5FF0A1E2">
              <w:rPr>
                <w:rFonts w:ascii="Aptos" w:hAnsi="Aptos" w:eastAsia="Aptos" w:cs="Aptos"/>
                <w:sz w:val="18"/>
                <w:szCs w:val="18"/>
                <w:lang w:val="en-US"/>
              </w:rPr>
              <w:t>Jayatunga, A., … (2025)</w:t>
            </w:r>
          </w:p>
        </w:tc>
        <w:tc>
          <w:tcPr>
            <w:tcW w:w="1190" w:type="dxa"/>
            <w:tcBorders>
              <w:top w:val="single" w:sz="8"/>
              <w:left w:val="single" w:sz="8"/>
              <w:bottom w:val="single" w:sz="8"/>
              <w:right w:val="single" w:sz="8"/>
            </w:tcBorders>
            <w:tcMar>
              <w:left w:w="108" w:type="dxa"/>
              <w:right w:w="108" w:type="dxa"/>
            </w:tcMar>
            <w:vAlign w:val="top"/>
          </w:tcPr>
          <w:p w:rsidR="5FF0A1E2" w:rsidP="5FF0A1E2" w:rsidRDefault="5FF0A1E2" w14:paraId="0C901544" w14:textId="2D9606A9">
            <w:pPr>
              <w:spacing w:before="0" w:beforeAutospacing="off" w:after="0" w:afterAutospacing="off"/>
            </w:pPr>
            <w:r w:rsidRPr="5FF0A1E2" w:rsidR="5FF0A1E2">
              <w:rPr>
                <w:rFonts w:ascii="Aptos" w:hAnsi="Aptos" w:eastAsia="Aptos" w:cs="Aptos"/>
                <w:sz w:val="18"/>
                <w:szCs w:val="18"/>
                <w:lang w:val="en-US"/>
              </w:rPr>
              <w:t>A Systematic Review of School</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Based Behavioral Interventions and the Symbolic Labor of Inclusion for Children with Chronic Illness</w:t>
            </w:r>
          </w:p>
        </w:tc>
        <w:tc>
          <w:tcPr>
            <w:tcW w:w="2805" w:type="dxa"/>
            <w:tcBorders>
              <w:top w:val="single" w:sz="8"/>
              <w:left w:val="single" w:sz="8"/>
              <w:bottom w:val="single" w:sz="8"/>
              <w:right w:val="single" w:sz="8"/>
            </w:tcBorders>
            <w:tcMar>
              <w:left w:w="108" w:type="dxa"/>
              <w:right w:w="108" w:type="dxa"/>
            </w:tcMar>
            <w:vAlign w:val="top"/>
          </w:tcPr>
          <w:p w:rsidR="5FF0A1E2" w:rsidP="5FF0A1E2" w:rsidRDefault="5FF0A1E2" w14:paraId="499A34EB" w14:textId="3161BC70">
            <w:pPr>
              <w:spacing w:before="0" w:beforeAutospacing="off" w:after="0" w:afterAutospacing="off"/>
            </w:pPr>
            <w:r w:rsidRPr="5FF0A1E2" w:rsidR="5FF0A1E2">
              <w:rPr>
                <w:rFonts w:ascii="Aptos" w:hAnsi="Aptos" w:eastAsia="Aptos" w:cs="Aptos"/>
                <w:sz w:val="18"/>
                <w:szCs w:val="18"/>
                <w:lang w:val="en-US"/>
              </w:rPr>
              <w:t>This very recent (2025) systematic review of 28 studies (2010–2025) examined interventions in schools for children/adolescents (aged 5–18) with chronic health conditions (asthma, epilepsy, diabetes, cancer, allergies, etc.).</w:t>
            </w:r>
          </w:p>
        </w:tc>
        <w:tc>
          <w:tcPr>
            <w:tcW w:w="2856" w:type="dxa"/>
            <w:tcBorders>
              <w:top w:val="single" w:sz="8"/>
              <w:left w:val="single" w:sz="8"/>
              <w:bottom w:val="single" w:sz="8"/>
              <w:right w:val="single" w:sz="8"/>
            </w:tcBorders>
            <w:tcMar>
              <w:left w:w="108" w:type="dxa"/>
              <w:right w:w="108" w:type="dxa"/>
            </w:tcMar>
            <w:vAlign w:val="top"/>
          </w:tcPr>
          <w:p w:rsidR="5FF0A1E2" w:rsidP="5FF0A1E2" w:rsidRDefault="5FF0A1E2" w14:paraId="6CCC8072" w14:textId="6C7504D6">
            <w:pPr>
              <w:spacing w:before="0" w:beforeAutospacing="off" w:after="0" w:afterAutospacing="off"/>
            </w:pPr>
            <w:r w:rsidRPr="5FF0A1E2" w:rsidR="5FF0A1E2">
              <w:rPr>
                <w:rFonts w:ascii="Aptos" w:hAnsi="Aptos" w:eastAsia="Aptos" w:cs="Aptos"/>
                <w:sz w:val="18"/>
                <w:szCs w:val="18"/>
                <w:lang w:val="en-US"/>
              </w:rPr>
              <w:t>Currency: 2025 very up-to-date. Relevance: Direct to your question about supporting chronically ill children in education settings. Authority: Systematic review, peer</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reviewed in a health</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psychology journal. Accuracy: Uses standard review methods (PRISMA); quality appraisal included. However, studies vary in design (RCTs, quasi</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experimental), and risk-of-bias was often high. Purpose: To assess effectiveness of school-based interventions and to reflect on broader inclusion practices relevant for both policy and practice.</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4D98308C" w14:textId="5457F4E2">
            <w:pPr>
              <w:spacing w:before="0" w:beforeAutospacing="off" w:after="0" w:afterAutospacing="off"/>
            </w:pPr>
            <w:r w:rsidRPr="5FF0A1E2" w:rsidR="5FF0A1E2">
              <w:rPr>
                <w:rFonts w:ascii="Aptos" w:hAnsi="Aptos" w:eastAsia="Aptos" w:cs="Aptos"/>
                <w:sz w:val="24"/>
                <w:szCs w:val="24"/>
                <w:lang w:val="en-US"/>
              </w:rPr>
              <w:t>mdpi.com</w:t>
            </w:r>
          </w:p>
        </w:tc>
      </w:tr>
      <w:tr w:rsidR="5FF0A1E2" w:rsidTr="5FF0A1E2" w14:paraId="7767C7F8">
        <w:trPr>
          <w:trHeight w:val="615"/>
        </w:trPr>
        <w:tc>
          <w:tcPr>
            <w:tcW w:w="854" w:type="dxa"/>
            <w:tcBorders>
              <w:top w:val="single" w:sz="8"/>
              <w:left w:val="single" w:sz="8"/>
              <w:bottom w:val="single" w:sz="8"/>
              <w:right w:val="single" w:sz="8"/>
            </w:tcBorders>
            <w:tcMar>
              <w:left w:w="108" w:type="dxa"/>
              <w:right w:w="108" w:type="dxa"/>
            </w:tcMar>
            <w:vAlign w:val="top"/>
          </w:tcPr>
          <w:p w:rsidR="5FF0A1E2" w:rsidP="5FF0A1E2" w:rsidRDefault="5FF0A1E2" w14:paraId="6ADA198D" w14:textId="0E8456B6">
            <w:pPr>
              <w:spacing w:before="0" w:beforeAutospacing="off" w:after="0" w:afterAutospacing="off"/>
            </w:pPr>
            <w:r w:rsidRPr="5FF0A1E2" w:rsidR="5FF0A1E2">
              <w:rPr>
                <w:rFonts w:ascii="Aptos" w:hAnsi="Aptos" w:eastAsia="Aptos" w:cs="Aptos"/>
                <w:sz w:val="24"/>
                <w:szCs w:val="24"/>
                <w:lang w:val="en-US"/>
              </w:rPr>
              <w:t>yes</w:t>
            </w:r>
          </w:p>
        </w:tc>
        <w:tc>
          <w:tcPr>
            <w:tcW w:w="1110" w:type="dxa"/>
            <w:tcBorders>
              <w:top w:val="single" w:sz="8"/>
              <w:left w:val="single" w:sz="8"/>
              <w:bottom w:val="single" w:sz="8"/>
              <w:right w:val="single" w:sz="8"/>
            </w:tcBorders>
            <w:tcMar>
              <w:left w:w="108" w:type="dxa"/>
              <w:right w:w="108" w:type="dxa"/>
            </w:tcMar>
            <w:vAlign w:val="top"/>
          </w:tcPr>
          <w:p w:rsidR="5FF0A1E2" w:rsidP="5FF0A1E2" w:rsidRDefault="5FF0A1E2" w14:paraId="2420BCA8" w14:textId="250E2303">
            <w:pPr>
              <w:spacing w:before="0" w:beforeAutospacing="off" w:after="0" w:afterAutospacing="off"/>
            </w:pPr>
            <w:r w:rsidRPr="5FF0A1E2" w:rsidR="5FF0A1E2">
              <w:rPr>
                <w:rFonts w:ascii="Aptos" w:hAnsi="Aptos" w:eastAsia="Aptos" w:cs="Aptos"/>
                <w:sz w:val="18"/>
                <w:szCs w:val="18"/>
                <w:lang w:val="en-US"/>
              </w:rPr>
              <w:t>(Multiple authors) (2025)</w:t>
            </w:r>
          </w:p>
        </w:tc>
        <w:tc>
          <w:tcPr>
            <w:tcW w:w="1190" w:type="dxa"/>
            <w:tcBorders>
              <w:top w:val="single" w:sz="8"/>
              <w:left w:val="single" w:sz="8"/>
              <w:bottom w:val="single" w:sz="8"/>
              <w:right w:val="single" w:sz="8"/>
            </w:tcBorders>
            <w:tcMar>
              <w:left w:w="108" w:type="dxa"/>
              <w:right w:w="108" w:type="dxa"/>
            </w:tcMar>
            <w:vAlign w:val="top"/>
          </w:tcPr>
          <w:p w:rsidR="5FF0A1E2" w:rsidP="5FF0A1E2" w:rsidRDefault="5FF0A1E2" w14:paraId="5DD70B2C" w14:textId="529D9B20">
            <w:pPr>
              <w:spacing w:before="0" w:beforeAutospacing="off" w:after="0" w:afterAutospacing="off"/>
            </w:pPr>
            <w:r w:rsidRPr="5FF0A1E2" w:rsidR="5FF0A1E2">
              <w:rPr>
                <w:rFonts w:ascii="Aptos" w:hAnsi="Aptos" w:eastAsia="Aptos" w:cs="Aptos"/>
                <w:sz w:val="18"/>
                <w:szCs w:val="18"/>
                <w:lang w:val="en-US"/>
              </w:rPr>
              <w:t>Challenging school experiences of unavoidable absence and return for young people with chronic health conditions in English secondary schools: a qualitative, multi</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informant study</w:t>
            </w:r>
          </w:p>
        </w:tc>
        <w:tc>
          <w:tcPr>
            <w:tcW w:w="2805" w:type="dxa"/>
            <w:tcBorders>
              <w:top w:val="single" w:sz="8"/>
              <w:left w:val="single" w:sz="8"/>
              <w:bottom w:val="single" w:sz="8"/>
              <w:right w:val="single" w:sz="8"/>
            </w:tcBorders>
            <w:tcMar>
              <w:left w:w="108" w:type="dxa"/>
              <w:right w:w="108" w:type="dxa"/>
            </w:tcMar>
            <w:vAlign w:val="top"/>
          </w:tcPr>
          <w:p w:rsidR="5FF0A1E2" w:rsidP="5FF0A1E2" w:rsidRDefault="5FF0A1E2" w14:paraId="3C0513F8" w14:textId="27A1DC6E">
            <w:pPr>
              <w:spacing w:before="0" w:beforeAutospacing="off" w:after="0" w:afterAutospacing="off"/>
            </w:pPr>
            <w:r w:rsidRPr="5FF0A1E2" w:rsidR="5FF0A1E2">
              <w:rPr>
                <w:rFonts w:ascii="Aptos" w:hAnsi="Aptos" w:eastAsia="Aptos" w:cs="Aptos"/>
                <w:sz w:val="18"/>
                <w:szCs w:val="18"/>
                <w:lang w:val="en-US"/>
              </w:rPr>
              <w:t>This qualitative study (published 2025) examined experiences of young people with chronic health conditions (varied conditions), caregivers, and school staff in English secondary schools.</w:t>
            </w:r>
          </w:p>
        </w:tc>
        <w:tc>
          <w:tcPr>
            <w:tcW w:w="2856" w:type="dxa"/>
            <w:tcBorders>
              <w:top w:val="single" w:sz="8"/>
              <w:left w:val="single" w:sz="8"/>
              <w:bottom w:val="single" w:sz="8"/>
              <w:right w:val="single" w:sz="8"/>
            </w:tcBorders>
            <w:tcMar>
              <w:left w:w="108" w:type="dxa"/>
              <w:right w:w="108" w:type="dxa"/>
            </w:tcMar>
            <w:vAlign w:val="top"/>
          </w:tcPr>
          <w:p w:rsidR="5FF0A1E2" w:rsidP="5FF0A1E2" w:rsidRDefault="5FF0A1E2" w14:paraId="5D9E494B" w14:textId="21A5F231">
            <w:pPr>
              <w:spacing w:before="0" w:beforeAutospacing="off" w:after="0" w:afterAutospacing="off"/>
            </w:pPr>
            <w:r w:rsidRPr="5FF0A1E2" w:rsidR="5FF0A1E2">
              <w:rPr>
                <w:rFonts w:ascii="Aptos" w:hAnsi="Aptos" w:eastAsia="Aptos" w:cs="Aptos"/>
                <w:sz w:val="18"/>
                <w:szCs w:val="18"/>
                <w:lang w:val="en-US"/>
              </w:rPr>
              <w:t>Currency: 2025 very recent. Relevance: Extremely relevant to UK context and to your research question on education support. Authority: Peer</w:t>
            </w:r>
            <w:r w:rsidRPr="5FF0A1E2" w:rsidR="5FF0A1E2">
              <w:rPr>
                <w:rFonts w:ascii="Cambria Math" w:hAnsi="Cambria Math" w:eastAsia="Cambria Math" w:cs="Cambria Math"/>
                <w:sz w:val="18"/>
                <w:szCs w:val="18"/>
                <w:lang w:val="en-US"/>
              </w:rPr>
              <w:t>‑</w:t>
            </w:r>
            <w:r w:rsidRPr="5FF0A1E2" w:rsidR="5FF0A1E2">
              <w:rPr>
                <w:rFonts w:ascii="Aptos" w:hAnsi="Aptos" w:eastAsia="Aptos" w:cs="Aptos"/>
                <w:sz w:val="18"/>
                <w:szCs w:val="18"/>
                <w:lang w:val="en-US"/>
              </w:rPr>
              <w:t>reviewed qualitative empirical study (educational research journal). Accuracy: Multi-informant (pupils, caregivers, staff), rich qualitative data. Purpose: To highlight lived experiences and systemic barriers to inclusion useful for designing supportive interventions</w:t>
            </w:r>
          </w:p>
        </w:tc>
        <w:tc>
          <w:tcPr>
            <w:tcW w:w="1192" w:type="dxa"/>
            <w:tcBorders>
              <w:top w:val="single" w:sz="8"/>
              <w:left w:val="single" w:sz="8"/>
              <w:bottom w:val="single" w:sz="8"/>
              <w:right w:val="single" w:sz="8"/>
            </w:tcBorders>
            <w:tcMar>
              <w:left w:w="108" w:type="dxa"/>
              <w:right w:w="108" w:type="dxa"/>
            </w:tcMar>
            <w:vAlign w:val="top"/>
          </w:tcPr>
          <w:p w:rsidR="5FF0A1E2" w:rsidP="5FF0A1E2" w:rsidRDefault="5FF0A1E2" w14:paraId="124563B1" w14:textId="504C4203">
            <w:pPr>
              <w:spacing w:before="0" w:beforeAutospacing="off" w:after="0" w:afterAutospacing="off"/>
            </w:pPr>
            <w:r w:rsidRPr="5FF0A1E2" w:rsidR="5FF0A1E2">
              <w:rPr>
                <w:rFonts w:ascii="Aptos" w:hAnsi="Aptos" w:eastAsia="Aptos" w:cs="Aptos"/>
                <w:sz w:val="24"/>
                <w:szCs w:val="24"/>
                <w:lang w:val="en-US"/>
              </w:rPr>
              <w:t>frontiersin.org/journals/education/articles</w:t>
            </w:r>
          </w:p>
        </w:tc>
      </w:tr>
    </w:tbl>
    <w:p w:rsidR="5FF0A1E2" w:rsidRDefault="5FF0A1E2" w14:paraId="3A8FB3A3" w14:textId="46B027C3"/>
    <w:p w:rsidR="008C38C3" w:rsidP="00621776" w:rsidRDefault="008C38C3" w14:paraId="268CFD1F" w14:textId="77777777"/>
    <w:p w:rsidR="008C38C3" w:rsidP="00621776" w:rsidRDefault="008C38C3" w14:paraId="2440A778" w14:textId="77777777"/>
    <w:p w:rsidR="008C38C3" w:rsidP="00621776" w:rsidRDefault="008C38C3" w14:paraId="5122D4D8" w14:textId="77777777"/>
    <w:p w:rsidR="008C38C3" w:rsidP="5FF0A1E2" w:rsidRDefault="008C38C3" w14:paraId="01E01220" w14:textId="3E004572">
      <w:pPr>
        <w:pStyle w:val="Normal"/>
      </w:pPr>
    </w:p>
    <w:sectPr w:rsidRPr="008C38C3" w:rsidR="008C38C3">
      <w:pgSz w:w="11906" w:h="16838" w:orient="portrait"/>
      <w:pgMar w:top="1440" w:right="1440" w:bottom="1440" w:left="1440" w:header="708" w:footer="708" w:gutter="0"/>
      <w:cols w:space="708"/>
      <w:docGrid w:linePitch="360"/>
      <w:headerReference w:type="default" r:id="R5d8af7cb425b49e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C66DA" w:rsidP="00211184" w:rsidRDefault="009C66DA" w14:paraId="14E56983" w14:textId="77777777">
      <w:pPr>
        <w:spacing w:after="0" w:line="240" w:lineRule="auto"/>
      </w:pPr>
      <w:r>
        <w:separator/>
      </w:r>
    </w:p>
  </w:endnote>
  <w:endnote w:type="continuationSeparator" w:id="0">
    <w:p w:rsidR="009C66DA" w:rsidP="00211184" w:rsidRDefault="009C66DA" w14:paraId="5F7B36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rsidR="002865F5" w:rsidRDefault="002865F5" w14:paraId="6B91657E" w14:textId="7B55D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1184" w:rsidRDefault="00211184" w14:paraId="2DC1A8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C66DA" w:rsidP="00211184" w:rsidRDefault="009C66DA" w14:paraId="004762E1" w14:textId="77777777">
      <w:pPr>
        <w:spacing w:after="0" w:line="240" w:lineRule="auto"/>
      </w:pPr>
      <w:r>
        <w:separator/>
      </w:r>
    </w:p>
  </w:footnote>
  <w:footnote w:type="continuationSeparator" w:id="0">
    <w:p w:rsidR="009C66DA" w:rsidP="00211184" w:rsidRDefault="009C66DA" w14:paraId="687BFDAD"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F0A1E2" w:rsidTr="5FF0A1E2" w14:paraId="6F3431B3">
      <w:trPr>
        <w:trHeight w:val="300"/>
      </w:trPr>
      <w:tc>
        <w:tcPr>
          <w:tcW w:w="3005" w:type="dxa"/>
          <w:tcMar/>
        </w:tcPr>
        <w:p w:rsidR="5FF0A1E2" w:rsidP="5FF0A1E2" w:rsidRDefault="5FF0A1E2" w14:paraId="4117D281" w14:textId="5B80D0EB">
          <w:pPr>
            <w:pStyle w:val="Header"/>
            <w:bidi w:val="0"/>
            <w:ind w:left="-115"/>
            <w:jc w:val="left"/>
          </w:pPr>
        </w:p>
      </w:tc>
      <w:tc>
        <w:tcPr>
          <w:tcW w:w="3005" w:type="dxa"/>
          <w:tcMar/>
        </w:tcPr>
        <w:p w:rsidR="5FF0A1E2" w:rsidP="5FF0A1E2" w:rsidRDefault="5FF0A1E2" w14:paraId="3B478489" w14:textId="613F38FE">
          <w:pPr>
            <w:pStyle w:val="Header"/>
            <w:bidi w:val="0"/>
            <w:jc w:val="center"/>
          </w:pPr>
        </w:p>
      </w:tc>
      <w:tc>
        <w:tcPr>
          <w:tcW w:w="3005" w:type="dxa"/>
          <w:tcMar/>
        </w:tcPr>
        <w:p w:rsidR="5FF0A1E2" w:rsidP="5FF0A1E2" w:rsidRDefault="5FF0A1E2" w14:paraId="15E5F840" w14:textId="2F3590A4">
          <w:pPr>
            <w:pStyle w:val="Header"/>
            <w:bidi w:val="0"/>
            <w:ind w:right="-115"/>
            <w:jc w:val="right"/>
          </w:pPr>
        </w:p>
      </w:tc>
    </w:tr>
  </w:tbl>
  <w:p w:rsidR="5FF0A1E2" w:rsidP="5FF0A1E2" w:rsidRDefault="5FF0A1E2" w14:paraId="6EF12CC9" w14:textId="3A2C60E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F0A1E2" w:rsidTr="5FF0A1E2" w14:paraId="0A7D47AE">
      <w:trPr>
        <w:trHeight w:val="300"/>
      </w:trPr>
      <w:tc>
        <w:tcPr>
          <w:tcW w:w="3005" w:type="dxa"/>
          <w:tcMar/>
        </w:tcPr>
        <w:p w:rsidR="5FF0A1E2" w:rsidP="5FF0A1E2" w:rsidRDefault="5FF0A1E2" w14:paraId="0467D8D2" w14:textId="238F3F5B">
          <w:pPr>
            <w:pStyle w:val="Header"/>
            <w:bidi w:val="0"/>
            <w:ind w:left="-115"/>
            <w:jc w:val="left"/>
          </w:pPr>
        </w:p>
      </w:tc>
      <w:tc>
        <w:tcPr>
          <w:tcW w:w="3005" w:type="dxa"/>
          <w:tcMar/>
        </w:tcPr>
        <w:p w:rsidR="5FF0A1E2" w:rsidP="5FF0A1E2" w:rsidRDefault="5FF0A1E2" w14:paraId="10B1A35B" w14:textId="24D47155">
          <w:pPr>
            <w:pStyle w:val="Header"/>
            <w:bidi w:val="0"/>
            <w:jc w:val="center"/>
          </w:pPr>
        </w:p>
      </w:tc>
      <w:tc>
        <w:tcPr>
          <w:tcW w:w="3005" w:type="dxa"/>
          <w:tcMar/>
        </w:tcPr>
        <w:p w:rsidR="5FF0A1E2" w:rsidP="5FF0A1E2" w:rsidRDefault="5FF0A1E2" w14:paraId="454C067F" w14:textId="09176D26">
          <w:pPr>
            <w:pStyle w:val="Header"/>
            <w:bidi w:val="0"/>
            <w:ind w:right="-115"/>
            <w:jc w:val="right"/>
          </w:pPr>
        </w:p>
      </w:tc>
    </w:tr>
  </w:tbl>
  <w:p w:rsidR="5FF0A1E2" w:rsidP="5FF0A1E2" w:rsidRDefault="5FF0A1E2" w14:paraId="75766B12" w14:textId="465EF68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2">
    <w:nsid w:val="5935d6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3e483a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6e0d58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7cbe3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8d95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50af6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427d3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302da9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42a57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0CCF0AE6"/>
    <w:multiLevelType w:val="multilevel"/>
    <w:tmpl w:val="8EE462E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370" w:hanging="37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645519"/>
    <w:multiLevelType w:val="hybridMultilevel"/>
    <w:tmpl w:val="E3E0B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8C5472"/>
    <w:multiLevelType w:val="multilevel"/>
    <w:tmpl w:val="CB5E8AD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10926AC3"/>
    <w:multiLevelType w:val="multilevel"/>
    <w:tmpl w:val="066251C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138F0049"/>
    <w:multiLevelType w:val="multilevel"/>
    <w:tmpl w:val="27FAEF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138F7F47"/>
    <w:multiLevelType w:val="multilevel"/>
    <w:tmpl w:val="2CAAC94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 w15:restartNumberingAfterBreak="0">
    <w:nsid w:val="15591E36"/>
    <w:multiLevelType w:val="multilevel"/>
    <w:tmpl w:val="8A1E31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15ED63AE"/>
    <w:multiLevelType w:val="multilevel"/>
    <w:tmpl w:val="879E4B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6B9605C"/>
    <w:multiLevelType w:val="multilevel"/>
    <w:tmpl w:val="7FE025E2"/>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8FF1597"/>
    <w:multiLevelType w:val="multilevel"/>
    <w:tmpl w:val="6C68499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19BA2CCE"/>
    <w:multiLevelType w:val="multilevel"/>
    <w:tmpl w:val="ED08DA5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1B6473D7"/>
    <w:multiLevelType w:val="multilevel"/>
    <w:tmpl w:val="87FA00D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2" w15:restartNumberingAfterBreak="0">
    <w:nsid w:val="1BDA270C"/>
    <w:multiLevelType w:val="multilevel"/>
    <w:tmpl w:val="3D22A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43677D1"/>
    <w:multiLevelType w:val="multilevel"/>
    <w:tmpl w:val="9BE05DF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 w15:restartNumberingAfterBreak="0">
    <w:nsid w:val="24A80B63"/>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25317DF2"/>
    <w:multiLevelType w:val="multilevel"/>
    <w:tmpl w:val="F432D1B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7EC5309"/>
    <w:multiLevelType w:val="multilevel"/>
    <w:tmpl w:val="92FEBB7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1" w15:restartNumberingAfterBreak="0">
    <w:nsid w:val="29EB568D"/>
    <w:multiLevelType w:val="multilevel"/>
    <w:tmpl w:val="6A6887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2AE60591"/>
    <w:multiLevelType w:val="multilevel"/>
    <w:tmpl w:val="27C079D4"/>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2BA0610A"/>
    <w:multiLevelType w:val="multilevel"/>
    <w:tmpl w:val="3208A85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2EAE7F9E"/>
    <w:multiLevelType w:val="multilevel"/>
    <w:tmpl w:val="51906DB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5" w15:restartNumberingAfterBreak="0">
    <w:nsid w:val="2F411F60"/>
    <w:multiLevelType w:val="multilevel"/>
    <w:tmpl w:val="AEA0D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FF51761"/>
    <w:multiLevelType w:val="multilevel"/>
    <w:tmpl w:val="315CE73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 w15:restartNumberingAfterBreak="0">
    <w:nsid w:val="302358D9"/>
    <w:multiLevelType w:val="multilevel"/>
    <w:tmpl w:val="678E4BA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 w15:restartNumberingAfterBreak="0">
    <w:nsid w:val="312C2B3B"/>
    <w:multiLevelType w:val="multilevel"/>
    <w:tmpl w:val="6A78D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20E7778"/>
    <w:multiLevelType w:val="multilevel"/>
    <w:tmpl w:val="032AB53C"/>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0" w15:restartNumberingAfterBreak="0">
    <w:nsid w:val="361F14D1"/>
    <w:multiLevelType w:val="multilevel"/>
    <w:tmpl w:val="472CEB4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380F495E"/>
    <w:multiLevelType w:val="multilevel"/>
    <w:tmpl w:val="A76A01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38E974B4"/>
    <w:multiLevelType w:val="multilevel"/>
    <w:tmpl w:val="18D4F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394A1451"/>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3A8138F8"/>
    <w:multiLevelType w:val="multilevel"/>
    <w:tmpl w:val="6B285D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3C1A6F6B"/>
    <w:multiLevelType w:val="multilevel"/>
    <w:tmpl w:val="45683C6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3C2B08AA"/>
    <w:multiLevelType w:val="multilevel"/>
    <w:tmpl w:val="318C39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7" w15:restartNumberingAfterBreak="0">
    <w:nsid w:val="40F8321F"/>
    <w:multiLevelType w:val="multilevel"/>
    <w:tmpl w:val="01D6AD5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8" w15:restartNumberingAfterBreak="0">
    <w:nsid w:val="42213F3B"/>
    <w:multiLevelType w:val="multilevel"/>
    <w:tmpl w:val="EBA010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9" w15:restartNumberingAfterBreak="0">
    <w:nsid w:val="42796801"/>
    <w:multiLevelType w:val="multilevel"/>
    <w:tmpl w:val="97C62D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0" w15:restartNumberingAfterBreak="0">
    <w:nsid w:val="439150ED"/>
    <w:multiLevelType w:val="multilevel"/>
    <w:tmpl w:val="3F22662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1" w15:restartNumberingAfterBreak="0">
    <w:nsid w:val="47C2323A"/>
    <w:multiLevelType w:val="multilevel"/>
    <w:tmpl w:val="2B222C5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47CF090E"/>
    <w:multiLevelType w:val="multilevel"/>
    <w:tmpl w:val="346EAB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3" w15:restartNumberingAfterBreak="0">
    <w:nsid w:val="485D6C0B"/>
    <w:multiLevelType w:val="multilevel"/>
    <w:tmpl w:val="41F0241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4"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49032E3D"/>
    <w:multiLevelType w:val="multilevel"/>
    <w:tmpl w:val="1EF28C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6" w15:restartNumberingAfterBreak="0">
    <w:nsid w:val="4C337D5E"/>
    <w:multiLevelType w:val="multilevel"/>
    <w:tmpl w:val="9DAAE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4E7637EA"/>
    <w:multiLevelType w:val="multilevel"/>
    <w:tmpl w:val="AA2830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8" w15:restartNumberingAfterBreak="0">
    <w:nsid w:val="4EC52549"/>
    <w:multiLevelType w:val="multilevel"/>
    <w:tmpl w:val="43A8DE3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9" w15:restartNumberingAfterBreak="0">
    <w:nsid w:val="4F5230C0"/>
    <w:multiLevelType w:val="multilevel"/>
    <w:tmpl w:val="AACE1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505B67CD"/>
    <w:multiLevelType w:val="multilevel"/>
    <w:tmpl w:val="C7BCF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53325985"/>
    <w:multiLevelType w:val="multilevel"/>
    <w:tmpl w:val="00528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54503C68"/>
    <w:multiLevelType w:val="multilevel"/>
    <w:tmpl w:val="4BB4CB9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3" w15:restartNumberingAfterBreak="0">
    <w:nsid w:val="55C818EF"/>
    <w:multiLevelType w:val="multilevel"/>
    <w:tmpl w:val="63F082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566F3735"/>
    <w:multiLevelType w:val="multilevel"/>
    <w:tmpl w:val="383E10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5" w15:restartNumberingAfterBreak="0">
    <w:nsid w:val="56A96389"/>
    <w:multiLevelType w:val="multilevel"/>
    <w:tmpl w:val="97622CA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6" w15:restartNumberingAfterBreak="0">
    <w:nsid w:val="576F08EC"/>
    <w:multiLevelType w:val="multilevel"/>
    <w:tmpl w:val="E496C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7DD7443"/>
    <w:multiLevelType w:val="multilevel"/>
    <w:tmpl w:val="F2EE486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9" w15:restartNumberingAfterBreak="0">
    <w:nsid w:val="598B750B"/>
    <w:multiLevelType w:val="multilevel"/>
    <w:tmpl w:val="EFBA5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5B910B97"/>
    <w:multiLevelType w:val="multilevel"/>
    <w:tmpl w:val="B98EEF0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1" w15:restartNumberingAfterBreak="0">
    <w:nsid w:val="5BE36DFC"/>
    <w:multiLevelType w:val="multilevel"/>
    <w:tmpl w:val="31B0B14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2" w15:restartNumberingAfterBreak="0">
    <w:nsid w:val="5E4E1A18"/>
    <w:multiLevelType w:val="multilevel"/>
    <w:tmpl w:val="71AC62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3" w15:restartNumberingAfterBreak="0">
    <w:nsid w:val="5E70291B"/>
    <w:multiLevelType w:val="multilevel"/>
    <w:tmpl w:val="66C873C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4" w15:restartNumberingAfterBreak="0">
    <w:nsid w:val="5F7C621F"/>
    <w:multiLevelType w:val="multilevel"/>
    <w:tmpl w:val="0D4699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605F72AF"/>
    <w:multiLevelType w:val="multilevel"/>
    <w:tmpl w:val="E79039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6" w15:restartNumberingAfterBreak="0">
    <w:nsid w:val="61565D29"/>
    <w:multiLevelType w:val="multilevel"/>
    <w:tmpl w:val="7D440E8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7" w15:restartNumberingAfterBreak="0">
    <w:nsid w:val="632A7D07"/>
    <w:multiLevelType w:val="multilevel"/>
    <w:tmpl w:val="8578D1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8" w15:restartNumberingAfterBreak="0">
    <w:nsid w:val="635161FF"/>
    <w:multiLevelType w:val="multilevel"/>
    <w:tmpl w:val="E90885C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9" w15:restartNumberingAfterBreak="0">
    <w:nsid w:val="641F3E72"/>
    <w:multiLevelType w:val="multilevel"/>
    <w:tmpl w:val="C9E02E7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0" w15:restartNumberingAfterBreak="0">
    <w:nsid w:val="65437F6C"/>
    <w:multiLevelType w:val="multilevel"/>
    <w:tmpl w:val="642681F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1" w15:restartNumberingAfterBreak="0">
    <w:nsid w:val="6576206F"/>
    <w:multiLevelType w:val="multilevel"/>
    <w:tmpl w:val="08DADE2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82" w15:restartNumberingAfterBreak="0">
    <w:nsid w:val="65DE4F4F"/>
    <w:multiLevelType w:val="multilevel"/>
    <w:tmpl w:val="909E9DC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3" w15:restartNumberingAfterBreak="0">
    <w:nsid w:val="675D1599"/>
    <w:multiLevelType w:val="multilevel"/>
    <w:tmpl w:val="8B9C51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6A35444F"/>
    <w:multiLevelType w:val="multilevel"/>
    <w:tmpl w:val="75FA8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6CCC1F2D"/>
    <w:multiLevelType w:val="multilevel"/>
    <w:tmpl w:val="BB5C2E6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6" w15:restartNumberingAfterBreak="0">
    <w:nsid w:val="6E1D255F"/>
    <w:multiLevelType w:val="multilevel"/>
    <w:tmpl w:val="DDD6F2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87" w15:restartNumberingAfterBreak="0">
    <w:nsid w:val="6F12433F"/>
    <w:multiLevelType w:val="multilevel"/>
    <w:tmpl w:val="584266B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8" w15:restartNumberingAfterBreak="0">
    <w:nsid w:val="6F19662F"/>
    <w:multiLevelType w:val="multilevel"/>
    <w:tmpl w:val="BAFCF27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9" w15:restartNumberingAfterBreak="0">
    <w:nsid w:val="6FE97D51"/>
    <w:multiLevelType w:val="multilevel"/>
    <w:tmpl w:val="C3E84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1" w15:restartNumberingAfterBreak="0">
    <w:nsid w:val="71D54AE4"/>
    <w:multiLevelType w:val="multilevel"/>
    <w:tmpl w:val="BC48A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72627D2F"/>
    <w:multiLevelType w:val="multilevel"/>
    <w:tmpl w:val="8DAEF19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3" w15:restartNumberingAfterBreak="0">
    <w:nsid w:val="772346B4"/>
    <w:multiLevelType w:val="multilevel"/>
    <w:tmpl w:val="6A78E9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7818155C"/>
    <w:multiLevelType w:val="multilevel"/>
    <w:tmpl w:val="42A07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78FB7E6F"/>
    <w:multiLevelType w:val="multilevel"/>
    <w:tmpl w:val="6A304B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6" w15:restartNumberingAfterBreak="0">
    <w:nsid w:val="78FD588A"/>
    <w:multiLevelType w:val="hybridMultilevel"/>
    <w:tmpl w:val="94748DB4"/>
    <w:lvl w:ilvl="0" w:tplc="2D56A8C8">
      <w:start w:val="6"/>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7" w15:restartNumberingAfterBreak="0">
    <w:nsid w:val="795E6223"/>
    <w:multiLevelType w:val="multilevel"/>
    <w:tmpl w:val="3CF4B0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98" w15:restartNumberingAfterBreak="0">
    <w:nsid w:val="796A3855"/>
    <w:multiLevelType w:val="multilevel"/>
    <w:tmpl w:val="86F4D5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9" w15:restartNumberingAfterBreak="0">
    <w:nsid w:val="797F5FB9"/>
    <w:multiLevelType w:val="multilevel"/>
    <w:tmpl w:val="3378120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0" w15:restartNumberingAfterBreak="0">
    <w:nsid w:val="7A2E7F44"/>
    <w:multiLevelType w:val="multilevel"/>
    <w:tmpl w:val="5F82865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1" w15:restartNumberingAfterBreak="0">
    <w:nsid w:val="7C692CD8"/>
    <w:multiLevelType w:val="multilevel"/>
    <w:tmpl w:val="265043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7C73177A"/>
    <w:multiLevelType w:val="multilevel"/>
    <w:tmpl w:val="9320D3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3" w15:restartNumberingAfterBreak="0">
    <w:nsid w:val="7F2C1F71"/>
    <w:multiLevelType w:val="multilevel"/>
    <w:tmpl w:val="C9BA76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 w16cid:durableId="1092819689">
    <w:abstractNumId w:val="96"/>
  </w:num>
  <w:num w:numId="2" w16cid:durableId="1500121260">
    <w:abstractNumId w:val="54"/>
  </w:num>
  <w:num w:numId="3" w16cid:durableId="438111508">
    <w:abstractNumId w:val="90"/>
  </w:num>
  <w:num w:numId="4" w16cid:durableId="106121269">
    <w:abstractNumId w:val="18"/>
  </w:num>
  <w:num w:numId="5" w16cid:durableId="1173763238">
    <w:abstractNumId w:val="66"/>
  </w:num>
  <w:num w:numId="6" w16cid:durableId="676225712">
    <w:abstractNumId w:val="93"/>
  </w:num>
  <w:num w:numId="7" w16cid:durableId="654647421">
    <w:abstractNumId w:val="65"/>
  </w:num>
  <w:num w:numId="8" w16cid:durableId="972827862">
    <w:abstractNumId w:val="68"/>
  </w:num>
  <w:num w:numId="9" w16cid:durableId="73359902">
    <w:abstractNumId w:val="45"/>
  </w:num>
  <w:num w:numId="10" w16cid:durableId="1233615214">
    <w:abstractNumId w:val="12"/>
  </w:num>
  <w:num w:numId="11" w16cid:durableId="1037585576">
    <w:abstractNumId w:val="98"/>
  </w:num>
  <w:num w:numId="12" w16cid:durableId="1454127918">
    <w:abstractNumId w:val="83"/>
  </w:num>
  <w:num w:numId="13" w16cid:durableId="1655717882">
    <w:abstractNumId w:val="31"/>
  </w:num>
  <w:num w:numId="14" w16cid:durableId="679818721">
    <w:abstractNumId w:val="7"/>
  </w:num>
  <w:num w:numId="15" w16cid:durableId="820851363">
    <w:abstractNumId w:val="2"/>
  </w:num>
  <w:num w:numId="16" w16cid:durableId="1752123437">
    <w:abstractNumId w:val="58"/>
  </w:num>
  <w:num w:numId="17" w16cid:durableId="776406381">
    <w:abstractNumId w:val="11"/>
  </w:num>
  <w:num w:numId="18" w16cid:durableId="2003772795">
    <w:abstractNumId w:val="101"/>
  </w:num>
  <w:num w:numId="19" w16cid:durableId="471214588">
    <w:abstractNumId w:val="8"/>
  </w:num>
  <w:num w:numId="20" w16cid:durableId="747188340">
    <w:abstractNumId w:val="89"/>
  </w:num>
  <w:num w:numId="21" w16cid:durableId="1617635105">
    <w:abstractNumId w:val="21"/>
  </w:num>
  <w:num w:numId="22" w16cid:durableId="1919750537">
    <w:abstractNumId w:val="94"/>
  </w:num>
  <w:num w:numId="23" w16cid:durableId="1917666381">
    <w:abstractNumId w:val="4"/>
  </w:num>
  <w:num w:numId="24" w16cid:durableId="836925604">
    <w:abstractNumId w:val="82"/>
  </w:num>
  <w:num w:numId="25" w16cid:durableId="881479433">
    <w:abstractNumId w:val="69"/>
  </w:num>
  <w:num w:numId="26" w16cid:durableId="164788852">
    <w:abstractNumId w:val="73"/>
  </w:num>
  <w:num w:numId="27" w16cid:durableId="735323509">
    <w:abstractNumId w:val="16"/>
  </w:num>
  <w:num w:numId="28" w16cid:durableId="1000431254">
    <w:abstractNumId w:val="44"/>
  </w:num>
  <w:num w:numId="29" w16cid:durableId="434404662">
    <w:abstractNumId w:val="24"/>
  </w:num>
  <w:num w:numId="30" w16cid:durableId="792409853">
    <w:abstractNumId w:val="52"/>
  </w:num>
  <w:num w:numId="31" w16cid:durableId="70469880">
    <w:abstractNumId w:val="56"/>
  </w:num>
  <w:num w:numId="32" w16cid:durableId="1255548974">
    <w:abstractNumId w:val="49"/>
  </w:num>
  <w:num w:numId="33" w16cid:durableId="509951972">
    <w:abstractNumId w:val="37"/>
  </w:num>
  <w:num w:numId="34" w16cid:durableId="1491873496">
    <w:abstractNumId w:val="61"/>
  </w:num>
  <w:num w:numId="35" w16cid:durableId="1277179892">
    <w:abstractNumId w:val="72"/>
  </w:num>
  <w:num w:numId="36" w16cid:durableId="1137721610">
    <w:abstractNumId w:val="57"/>
  </w:num>
  <w:num w:numId="37" w16cid:durableId="1569337486">
    <w:abstractNumId w:val="102"/>
  </w:num>
  <w:num w:numId="38" w16cid:durableId="1771851078">
    <w:abstractNumId w:val="5"/>
  </w:num>
  <w:num w:numId="39" w16cid:durableId="1096747610">
    <w:abstractNumId w:val="23"/>
  </w:num>
  <w:num w:numId="40" w16cid:durableId="1853105471">
    <w:abstractNumId w:val="84"/>
  </w:num>
  <w:num w:numId="41" w16cid:durableId="2016615092">
    <w:abstractNumId w:val="53"/>
  </w:num>
  <w:num w:numId="42" w16cid:durableId="439030946">
    <w:abstractNumId w:val="70"/>
  </w:num>
  <w:num w:numId="43" w16cid:durableId="315690756">
    <w:abstractNumId w:val="38"/>
  </w:num>
  <w:num w:numId="44" w16cid:durableId="1252278660">
    <w:abstractNumId w:val="14"/>
  </w:num>
  <w:num w:numId="45" w16cid:durableId="1719351677">
    <w:abstractNumId w:val="76"/>
  </w:num>
  <w:num w:numId="46" w16cid:durableId="1107427397">
    <w:abstractNumId w:val="26"/>
  </w:num>
  <w:num w:numId="47" w16cid:durableId="371266753">
    <w:abstractNumId w:val="71"/>
  </w:num>
  <w:num w:numId="48" w16cid:durableId="491869272">
    <w:abstractNumId w:val="30"/>
  </w:num>
  <w:num w:numId="49" w16cid:durableId="1351251430">
    <w:abstractNumId w:val="74"/>
  </w:num>
  <w:num w:numId="50" w16cid:durableId="1368607436">
    <w:abstractNumId w:val="95"/>
  </w:num>
  <w:num w:numId="51" w16cid:durableId="1588029100">
    <w:abstractNumId w:val="100"/>
  </w:num>
  <w:num w:numId="52" w16cid:durableId="415832180">
    <w:abstractNumId w:val="91"/>
  </w:num>
  <w:num w:numId="53" w16cid:durableId="1178735139">
    <w:abstractNumId w:val="46"/>
  </w:num>
  <w:num w:numId="54" w16cid:durableId="721834200">
    <w:abstractNumId w:val="55"/>
  </w:num>
  <w:num w:numId="55" w16cid:durableId="686251813">
    <w:abstractNumId w:val="1"/>
  </w:num>
  <w:num w:numId="56" w16cid:durableId="1960641414">
    <w:abstractNumId w:val="15"/>
  </w:num>
  <w:num w:numId="57" w16cid:durableId="39089564">
    <w:abstractNumId w:val="48"/>
  </w:num>
  <w:num w:numId="58" w16cid:durableId="1192718157">
    <w:abstractNumId w:val="22"/>
  </w:num>
  <w:num w:numId="59" w16cid:durableId="1777825955">
    <w:abstractNumId w:val="77"/>
  </w:num>
  <w:num w:numId="60" w16cid:durableId="286199487">
    <w:abstractNumId w:val="27"/>
  </w:num>
  <w:num w:numId="61" w16cid:durableId="1119490663">
    <w:abstractNumId w:val="60"/>
  </w:num>
  <w:num w:numId="62" w16cid:durableId="1353922786">
    <w:abstractNumId w:val="34"/>
  </w:num>
  <w:num w:numId="63" w16cid:durableId="492723980">
    <w:abstractNumId w:val="64"/>
  </w:num>
  <w:num w:numId="64" w16cid:durableId="526941613">
    <w:abstractNumId w:val="35"/>
  </w:num>
  <w:num w:numId="65" w16cid:durableId="320043301">
    <w:abstractNumId w:val="62"/>
  </w:num>
  <w:num w:numId="66" w16cid:durableId="2037610982">
    <w:abstractNumId w:val="6"/>
  </w:num>
  <w:num w:numId="67" w16cid:durableId="1079794559">
    <w:abstractNumId w:val="41"/>
  </w:num>
  <w:num w:numId="68" w16cid:durableId="503403534">
    <w:abstractNumId w:val="36"/>
  </w:num>
  <w:num w:numId="69" w16cid:durableId="194734275">
    <w:abstractNumId w:val="13"/>
  </w:num>
  <w:num w:numId="70" w16cid:durableId="424033359">
    <w:abstractNumId w:val="47"/>
  </w:num>
  <w:num w:numId="71" w16cid:durableId="1335066293">
    <w:abstractNumId w:val="86"/>
  </w:num>
  <w:num w:numId="72" w16cid:durableId="662587085">
    <w:abstractNumId w:val="39"/>
  </w:num>
  <w:num w:numId="73" w16cid:durableId="2071072074">
    <w:abstractNumId w:val="81"/>
  </w:num>
  <w:num w:numId="74" w16cid:durableId="1573662111">
    <w:abstractNumId w:val="97"/>
  </w:num>
  <w:num w:numId="75" w16cid:durableId="131678057">
    <w:abstractNumId w:val="92"/>
  </w:num>
  <w:num w:numId="76" w16cid:durableId="2103643901">
    <w:abstractNumId w:val="80"/>
  </w:num>
  <w:num w:numId="77" w16cid:durableId="99565733">
    <w:abstractNumId w:val="29"/>
  </w:num>
  <w:num w:numId="78" w16cid:durableId="1810784339">
    <w:abstractNumId w:val="67"/>
  </w:num>
  <w:num w:numId="79" w16cid:durableId="1491748033">
    <w:abstractNumId w:val="79"/>
  </w:num>
  <w:num w:numId="80" w16cid:durableId="670565925">
    <w:abstractNumId w:val="20"/>
  </w:num>
  <w:num w:numId="81" w16cid:durableId="211696971">
    <w:abstractNumId w:val="28"/>
  </w:num>
  <w:num w:numId="82" w16cid:durableId="1773429901">
    <w:abstractNumId w:val="43"/>
  </w:num>
  <w:num w:numId="83" w16cid:durableId="804733676">
    <w:abstractNumId w:val="32"/>
  </w:num>
  <w:num w:numId="84" w16cid:durableId="488864096">
    <w:abstractNumId w:val="87"/>
  </w:num>
  <w:num w:numId="85" w16cid:durableId="1599749197">
    <w:abstractNumId w:val="42"/>
  </w:num>
  <w:num w:numId="86" w16cid:durableId="1726679607">
    <w:abstractNumId w:val="25"/>
  </w:num>
  <w:num w:numId="87" w16cid:durableId="1630209448">
    <w:abstractNumId w:val="50"/>
  </w:num>
  <w:num w:numId="88" w16cid:durableId="928663234">
    <w:abstractNumId w:val="63"/>
  </w:num>
  <w:num w:numId="89" w16cid:durableId="2017072952">
    <w:abstractNumId w:val="75"/>
  </w:num>
  <w:num w:numId="90" w16cid:durableId="58405484">
    <w:abstractNumId w:val="33"/>
  </w:num>
  <w:num w:numId="91" w16cid:durableId="1817530714">
    <w:abstractNumId w:val="17"/>
  </w:num>
  <w:num w:numId="92" w16cid:durableId="2141336387">
    <w:abstractNumId w:val="59"/>
  </w:num>
  <w:num w:numId="93" w16cid:durableId="1325282792">
    <w:abstractNumId w:val="3"/>
  </w:num>
  <w:num w:numId="94" w16cid:durableId="1319654748">
    <w:abstractNumId w:val="78"/>
  </w:num>
  <w:num w:numId="95" w16cid:durableId="556555801">
    <w:abstractNumId w:val="0"/>
  </w:num>
  <w:num w:numId="96" w16cid:durableId="1903828627">
    <w:abstractNumId w:val="19"/>
  </w:num>
  <w:num w:numId="97" w16cid:durableId="281425930">
    <w:abstractNumId w:val="51"/>
  </w:num>
  <w:num w:numId="98" w16cid:durableId="1491553762">
    <w:abstractNumId w:val="40"/>
  </w:num>
  <w:num w:numId="99" w16cid:durableId="965625632">
    <w:abstractNumId w:val="85"/>
  </w:num>
  <w:num w:numId="100" w16cid:durableId="1481145624">
    <w:abstractNumId w:val="103"/>
  </w:num>
  <w:num w:numId="101" w16cid:durableId="29957555">
    <w:abstractNumId w:val="99"/>
  </w:num>
  <w:num w:numId="102" w16cid:durableId="1042821728">
    <w:abstractNumId w:val="88"/>
  </w:num>
  <w:num w:numId="103" w16cid:durableId="1001011599">
    <w:abstractNumId w:val="9"/>
  </w:num>
  <w:num w:numId="104" w16cid:durableId="1775708432">
    <w:abstractNumId w:val="10"/>
  </w:num>
  <w:numIdMacAtCleanup w:val="10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591D"/>
    <w:rsid w:val="00016723"/>
    <w:rsid w:val="000264A2"/>
    <w:rsid w:val="000400E4"/>
    <w:rsid w:val="00051148"/>
    <w:rsid w:val="00063B4C"/>
    <w:rsid w:val="00070782"/>
    <w:rsid w:val="000D05D8"/>
    <w:rsid w:val="000D0641"/>
    <w:rsid w:val="000D2B00"/>
    <w:rsid w:val="000F71D2"/>
    <w:rsid w:val="00112666"/>
    <w:rsid w:val="00131DEC"/>
    <w:rsid w:val="001601E6"/>
    <w:rsid w:val="001C3AF6"/>
    <w:rsid w:val="001C7C1F"/>
    <w:rsid w:val="001D1485"/>
    <w:rsid w:val="001F19A6"/>
    <w:rsid w:val="001F3B1B"/>
    <w:rsid w:val="00211184"/>
    <w:rsid w:val="002116A0"/>
    <w:rsid w:val="00211D17"/>
    <w:rsid w:val="0021364B"/>
    <w:rsid w:val="00215228"/>
    <w:rsid w:val="00226F18"/>
    <w:rsid w:val="002279D1"/>
    <w:rsid w:val="0025020C"/>
    <w:rsid w:val="00256951"/>
    <w:rsid w:val="00267917"/>
    <w:rsid w:val="00280BF4"/>
    <w:rsid w:val="002865F5"/>
    <w:rsid w:val="00291C90"/>
    <w:rsid w:val="00292A36"/>
    <w:rsid w:val="002B48CD"/>
    <w:rsid w:val="002C6ECF"/>
    <w:rsid w:val="002D64A3"/>
    <w:rsid w:val="002D64FB"/>
    <w:rsid w:val="002F5E53"/>
    <w:rsid w:val="00312E58"/>
    <w:rsid w:val="003135AD"/>
    <w:rsid w:val="00347F6E"/>
    <w:rsid w:val="00393F39"/>
    <w:rsid w:val="003A5277"/>
    <w:rsid w:val="003A66FD"/>
    <w:rsid w:val="003B1E32"/>
    <w:rsid w:val="003F7B00"/>
    <w:rsid w:val="00405711"/>
    <w:rsid w:val="00415C77"/>
    <w:rsid w:val="00447699"/>
    <w:rsid w:val="00450264"/>
    <w:rsid w:val="0045571A"/>
    <w:rsid w:val="004677D1"/>
    <w:rsid w:val="004B08E4"/>
    <w:rsid w:val="004B7774"/>
    <w:rsid w:val="004C6810"/>
    <w:rsid w:val="004D4021"/>
    <w:rsid w:val="004D6648"/>
    <w:rsid w:val="004F672A"/>
    <w:rsid w:val="005119DE"/>
    <w:rsid w:val="00533244"/>
    <w:rsid w:val="005446BF"/>
    <w:rsid w:val="0055147E"/>
    <w:rsid w:val="005A3ABC"/>
    <w:rsid w:val="005A7903"/>
    <w:rsid w:val="005B3EDE"/>
    <w:rsid w:val="005B6E67"/>
    <w:rsid w:val="005C5E80"/>
    <w:rsid w:val="005D7A1E"/>
    <w:rsid w:val="005E1650"/>
    <w:rsid w:val="00604A87"/>
    <w:rsid w:val="00621776"/>
    <w:rsid w:val="00621872"/>
    <w:rsid w:val="00622F31"/>
    <w:rsid w:val="00636D9A"/>
    <w:rsid w:val="00645B07"/>
    <w:rsid w:val="006629D9"/>
    <w:rsid w:val="006673D3"/>
    <w:rsid w:val="006A3F0D"/>
    <w:rsid w:val="006A4515"/>
    <w:rsid w:val="006C78AA"/>
    <w:rsid w:val="006D3F80"/>
    <w:rsid w:val="006F04D4"/>
    <w:rsid w:val="006F4AB2"/>
    <w:rsid w:val="007063BA"/>
    <w:rsid w:val="00730C3C"/>
    <w:rsid w:val="0073280B"/>
    <w:rsid w:val="00746C2A"/>
    <w:rsid w:val="00750A75"/>
    <w:rsid w:val="00750B5B"/>
    <w:rsid w:val="00761F00"/>
    <w:rsid w:val="0077163A"/>
    <w:rsid w:val="0077488D"/>
    <w:rsid w:val="00785752"/>
    <w:rsid w:val="007866AA"/>
    <w:rsid w:val="0078716F"/>
    <w:rsid w:val="007A59C8"/>
    <w:rsid w:val="007A712E"/>
    <w:rsid w:val="007C246B"/>
    <w:rsid w:val="007C685B"/>
    <w:rsid w:val="007F7847"/>
    <w:rsid w:val="00804B94"/>
    <w:rsid w:val="00807B11"/>
    <w:rsid w:val="00826376"/>
    <w:rsid w:val="008313B6"/>
    <w:rsid w:val="00864F04"/>
    <w:rsid w:val="008705A9"/>
    <w:rsid w:val="0088041A"/>
    <w:rsid w:val="00880B2D"/>
    <w:rsid w:val="00883AB0"/>
    <w:rsid w:val="00886CC0"/>
    <w:rsid w:val="00894108"/>
    <w:rsid w:val="008B1DFA"/>
    <w:rsid w:val="008C38C3"/>
    <w:rsid w:val="008D67B7"/>
    <w:rsid w:val="008D6F0F"/>
    <w:rsid w:val="008E2B12"/>
    <w:rsid w:val="008E7B2E"/>
    <w:rsid w:val="009050FA"/>
    <w:rsid w:val="00916814"/>
    <w:rsid w:val="00967C4F"/>
    <w:rsid w:val="009902FB"/>
    <w:rsid w:val="00995444"/>
    <w:rsid w:val="009C66DA"/>
    <w:rsid w:val="009D06C5"/>
    <w:rsid w:val="009D534C"/>
    <w:rsid w:val="009D728C"/>
    <w:rsid w:val="009E5B14"/>
    <w:rsid w:val="009F13CC"/>
    <w:rsid w:val="00A54D44"/>
    <w:rsid w:val="00A90A7A"/>
    <w:rsid w:val="00AA437C"/>
    <w:rsid w:val="00AA5321"/>
    <w:rsid w:val="00AB78F0"/>
    <w:rsid w:val="00AE4C61"/>
    <w:rsid w:val="00B01396"/>
    <w:rsid w:val="00B4218A"/>
    <w:rsid w:val="00B575E2"/>
    <w:rsid w:val="00B7073C"/>
    <w:rsid w:val="00B804EE"/>
    <w:rsid w:val="00B858A1"/>
    <w:rsid w:val="00B95AFB"/>
    <w:rsid w:val="00B97445"/>
    <w:rsid w:val="00BA06D0"/>
    <w:rsid w:val="00BB65AC"/>
    <w:rsid w:val="00BD2909"/>
    <w:rsid w:val="00BEB5B3"/>
    <w:rsid w:val="00BF155C"/>
    <w:rsid w:val="00C01245"/>
    <w:rsid w:val="00C17A49"/>
    <w:rsid w:val="00C91479"/>
    <w:rsid w:val="00C91B3A"/>
    <w:rsid w:val="00CB3AF6"/>
    <w:rsid w:val="00CB3C13"/>
    <w:rsid w:val="00CB7F87"/>
    <w:rsid w:val="00CE3FD1"/>
    <w:rsid w:val="00CE620E"/>
    <w:rsid w:val="00CF1ED5"/>
    <w:rsid w:val="00CF438D"/>
    <w:rsid w:val="00D015B2"/>
    <w:rsid w:val="00D13A82"/>
    <w:rsid w:val="00D13DB7"/>
    <w:rsid w:val="00D559DE"/>
    <w:rsid w:val="00D57EA8"/>
    <w:rsid w:val="00D600BC"/>
    <w:rsid w:val="00DA5B44"/>
    <w:rsid w:val="00DA7C4B"/>
    <w:rsid w:val="00DB6007"/>
    <w:rsid w:val="00DB71AC"/>
    <w:rsid w:val="00DC00D1"/>
    <w:rsid w:val="00DD02A4"/>
    <w:rsid w:val="00DD2F55"/>
    <w:rsid w:val="00DE1A02"/>
    <w:rsid w:val="00E05C6C"/>
    <w:rsid w:val="00E157E1"/>
    <w:rsid w:val="00E2182C"/>
    <w:rsid w:val="00E244D7"/>
    <w:rsid w:val="00E26DD1"/>
    <w:rsid w:val="00E27523"/>
    <w:rsid w:val="00E325CF"/>
    <w:rsid w:val="00E40B0D"/>
    <w:rsid w:val="00E47E2C"/>
    <w:rsid w:val="00E65019"/>
    <w:rsid w:val="00E71420"/>
    <w:rsid w:val="00E94DA0"/>
    <w:rsid w:val="00EA5CC3"/>
    <w:rsid w:val="00EE1EA6"/>
    <w:rsid w:val="00EF1EA0"/>
    <w:rsid w:val="00EF3695"/>
    <w:rsid w:val="00EF6341"/>
    <w:rsid w:val="00F02373"/>
    <w:rsid w:val="00F0560A"/>
    <w:rsid w:val="00F158D7"/>
    <w:rsid w:val="00F20EE5"/>
    <w:rsid w:val="00F2664A"/>
    <w:rsid w:val="00F44833"/>
    <w:rsid w:val="00F46BDA"/>
    <w:rsid w:val="00F544B0"/>
    <w:rsid w:val="00F67C87"/>
    <w:rsid w:val="00F84C23"/>
    <w:rsid w:val="00FD3DE0"/>
    <w:rsid w:val="00FD7729"/>
    <w:rsid w:val="00FD7C22"/>
    <w:rsid w:val="01082088"/>
    <w:rsid w:val="012A1928"/>
    <w:rsid w:val="0136EA50"/>
    <w:rsid w:val="0146587B"/>
    <w:rsid w:val="0175734C"/>
    <w:rsid w:val="017BD57C"/>
    <w:rsid w:val="01B7059E"/>
    <w:rsid w:val="01C6AE01"/>
    <w:rsid w:val="01CBD324"/>
    <w:rsid w:val="01FE1926"/>
    <w:rsid w:val="020D8A32"/>
    <w:rsid w:val="02F6B228"/>
    <w:rsid w:val="031230EA"/>
    <w:rsid w:val="031E6882"/>
    <w:rsid w:val="03C1A7BE"/>
    <w:rsid w:val="03D3D132"/>
    <w:rsid w:val="03F5AB4D"/>
    <w:rsid w:val="040C2836"/>
    <w:rsid w:val="047C69BB"/>
    <w:rsid w:val="04C2B002"/>
    <w:rsid w:val="04D8E8E0"/>
    <w:rsid w:val="05125EF8"/>
    <w:rsid w:val="0561BA54"/>
    <w:rsid w:val="0588C3F4"/>
    <w:rsid w:val="05A9B10B"/>
    <w:rsid w:val="05E6D1A6"/>
    <w:rsid w:val="06478355"/>
    <w:rsid w:val="066ABF87"/>
    <w:rsid w:val="06724024"/>
    <w:rsid w:val="068775C2"/>
    <w:rsid w:val="069A669F"/>
    <w:rsid w:val="06E0F3B9"/>
    <w:rsid w:val="06E5547C"/>
    <w:rsid w:val="07872802"/>
    <w:rsid w:val="079579BD"/>
    <w:rsid w:val="079D54AD"/>
    <w:rsid w:val="07CB4511"/>
    <w:rsid w:val="07F94B7D"/>
    <w:rsid w:val="080386FE"/>
    <w:rsid w:val="082A6231"/>
    <w:rsid w:val="087EA086"/>
    <w:rsid w:val="08D2BF77"/>
    <w:rsid w:val="08FFCB75"/>
    <w:rsid w:val="0954D606"/>
    <w:rsid w:val="0998ACAB"/>
    <w:rsid w:val="09DF8BDD"/>
    <w:rsid w:val="0A5A2369"/>
    <w:rsid w:val="0A5B443D"/>
    <w:rsid w:val="0AA878ED"/>
    <w:rsid w:val="0AC368D1"/>
    <w:rsid w:val="0ACD75D0"/>
    <w:rsid w:val="0B176C4F"/>
    <w:rsid w:val="0B9797AE"/>
    <w:rsid w:val="0BB609E4"/>
    <w:rsid w:val="0BF86206"/>
    <w:rsid w:val="0C402DBD"/>
    <w:rsid w:val="0C4BD3E0"/>
    <w:rsid w:val="0CD6F701"/>
    <w:rsid w:val="0D329D64"/>
    <w:rsid w:val="0D39EAC0"/>
    <w:rsid w:val="0D61D70A"/>
    <w:rsid w:val="0D7FBB80"/>
    <w:rsid w:val="0DD28DD9"/>
    <w:rsid w:val="0DE4BD0C"/>
    <w:rsid w:val="0DFB8AC4"/>
    <w:rsid w:val="0E09E39D"/>
    <w:rsid w:val="0E90F630"/>
    <w:rsid w:val="0E9FEEE8"/>
    <w:rsid w:val="0EB19501"/>
    <w:rsid w:val="0F09B3FE"/>
    <w:rsid w:val="0F64FD86"/>
    <w:rsid w:val="0F867D1E"/>
    <w:rsid w:val="0FADD2FD"/>
    <w:rsid w:val="0FC73DCF"/>
    <w:rsid w:val="101CE501"/>
    <w:rsid w:val="1032FA94"/>
    <w:rsid w:val="104A5610"/>
    <w:rsid w:val="107AFD24"/>
    <w:rsid w:val="10824A9D"/>
    <w:rsid w:val="109593B6"/>
    <w:rsid w:val="11127F4F"/>
    <w:rsid w:val="11305FFF"/>
    <w:rsid w:val="11473FE6"/>
    <w:rsid w:val="11761A55"/>
    <w:rsid w:val="11AF8A82"/>
    <w:rsid w:val="12219D85"/>
    <w:rsid w:val="132289D0"/>
    <w:rsid w:val="13EBFC07"/>
    <w:rsid w:val="13FBBC93"/>
    <w:rsid w:val="14967CC1"/>
    <w:rsid w:val="14977AF1"/>
    <w:rsid w:val="15313235"/>
    <w:rsid w:val="1580C92F"/>
    <w:rsid w:val="15CAB30A"/>
    <w:rsid w:val="15D6F7DC"/>
    <w:rsid w:val="163E47C6"/>
    <w:rsid w:val="16CA4737"/>
    <w:rsid w:val="16E745DC"/>
    <w:rsid w:val="174747EA"/>
    <w:rsid w:val="1757F179"/>
    <w:rsid w:val="1759018F"/>
    <w:rsid w:val="17B297E9"/>
    <w:rsid w:val="17BB852C"/>
    <w:rsid w:val="181DE567"/>
    <w:rsid w:val="181DE567"/>
    <w:rsid w:val="182753FF"/>
    <w:rsid w:val="1851698F"/>
    <w:rsid w:val="187E45BF"/>
    <w:rsid w:val="18A3BD0D"/>
    <w:rsid w:val="18C781ED"/>
    <w:rsid w:val="18C7F55F"/>
    <w:rsid w:val="18D739B3"/>
    <w:rsid w:val="18D79FD7"/>
    <w:rsid w:val="18DDF961"/>
    <w:rsid w:val="1901430A"/>
    <w:rsid w:val="1903D05A"/>
    <w:rsid w:val="19260158"/>
    <w:rsid w:val="19322E68"/>
    <w:rsid w:val="195D486E"/>
    <w:rsid w:val="19606A30"/>
    <w:rsid w:val="19E16BC2"/>
    <w:rsid w:val="1A51BDF5"/>
    <w:rsid w:val="1A94AD99"/>
    <w:rsid w:val="1B7C03C4"/>
    <w:rsid w:val="1BCEE504"/>
    <w:rsid w:val="1BE16839"/>
    <w:rsid w:val="1BE7C2E9"/>
    <w:rsid w:val="1C58F847"/>
    <w:rsid w:val="1C774A8B"/>
    <w:rsid w:val="1C862EF9"/>
    <w:rsid w:val="1CBF6EEE"/>
    <w:rsid w:val="1CE6B729"/>
    <w:rsid w:val="1D26CE82"/>
    <w:rsid w:val="1D7B7CCA"/>
    <w:rsid w:val="1DA31C22"/>
    <w:rsid w:val="1DBCC97E"/>
    <w:rsid w:val="1E0DE6F4"/>
    <w:rsid w:val="1E1DBBC7"/>
    <w:rsid w:val="1E4515C6"/>
    <w:rsid w:val="1E48DACB"/>
    <w:rsid w:val="1E5187DC"/>
    <w:rsid w:val="1E63D583"/>
    <w:rsid w:val="1E643537"/>
    <w:rsid w:val="1ED0ADF4"/>
    <w:rsid w:val="1F0F5198"/>
    <w:rsid w:val="1F388357"/>
    <w:rsid w:val="20B79F1C"/>
    <w:rsid w:val="212CB968"/>
    <w:rsid w:val="213C9D5A"/>
    <w:rsid w:val="21548DC1"/>
    <w:rsid w:val="216DB259"/>
    <w:rsid w:val="2170E583"/>
    <w:rsid w:val="217798D5"/>
    <w:rsid w:val="21884C9E"/>
    <w:rsid w:val="21AA9861"/>
    <w:rsid w:val="21B6C4D8"/>
    <w:rsid w:val="21D9F8F8"/>
    <w:rsid w:val="21E8F008"/>
    <w:rsid w:val="22232EAD"/>
    <w:rsid w:val="224DF6F3"/>
    <w:rsid w:val="22794FBD"/>
    <w:rsid w:val="22D2CB68"/>
    <w:rsid w:val="22DB5143"/>
    <w:rsid w:val="234217E5"/>
    <w:rsid w:val="23A183EC"/>
    <w:rsid w:val="23A627B7"/>
    <w:rsid w:val="23D2EB45"/>
    <w:rsid w:val="245E1DFC"/>
    <w:rsid w:val="246297F3"/>
    <w:rsid w:val="24759F0D"/>
    <w:rsid w:val="248BA6D0"/>
    <w:rsid w:val="24CADF58"/>
    <w:rsid w:val="24EA82FA"/>
    <w:rsid w:val="2503FC73"/>
    <w:rsid w:val="25151161"/>
    <w:rsid w:val="25500489"/>
    <w:rsid w:val="25523151"/>
    <w:rsid w:val="255CA5DC"/>
    <w:rsid w:val="2561CEA8"/>
    <w:rsid w:val="2588B4F8"/>
    <w:rsid w:val="25B5AE57"/>
    <w:rsid w:val="25E77BD7"/>
    <w:rsid w:val="265D7861"/>
    <w:rsid w:val="267D163A"/>
    <w:rsid w:val="27129D03"/>
    <w:rsid w:val="27148E62"/>
    <w:rsid w:val="27A46DED"/>
    <w:rsid w:val="27ADF1D0"/>
    <w:rsid w:val="28234B00"/>
    <w:rsid w:val="28552150"/>
    <w:rsid w:val="28BE18CF"/>
    <w:rsid w:val="28C8FBCE"/>
    <w:rsid w:val="28E363C7"/>
    <w:rsid w:val="28F6277B"/>
    <w:rsid w:val="2918AE80"/>
    <w:rsid w:val="29774636"/>
    <w:rsid w:val="29ABC03D"/>
    <w:rsid w:val="29D76915"/>
    <w:rsid w:val="29E54139"/>
    <w:rsid w:val="2A34535A"/>
    <w:rsid w:val="2A98FAA2"/>
    <w:rsid w:val="2ACB6EF7"/>
    <w:rsid w:val="2B1BCBF1"/>
    <w:rsid w:val="2B27ABDE"/>
    <w:rsid w:val="2B6BC76F"/>
    <w:rsid w:val="2BB3E823"/>
    <w:rsid w:val="2BF265C2"/>
    <w:rsid w:val="2C37A106"/>
    <w:rsid w:val="2C56AC2E"/>
    <w:rsid w:val="2C9CB0D9"/>
    <w:rsid w:val="2CB59CA2"/>
    <w:rsid w:val="2CF3BA00"/>
    <w:rsid w:val="2D5D9A70"/>
    <w:rsid w:val="2DE1B9F1"/>
    <w:rsid w:val="2E1197F7"/>
    <w:rsid w:val="2E35BCA3"/>
    <w:rsid w:val="2E55EACD"/>
    <w:rsid w:val="2EBB9885"/>
    <w:rsid w:val="2EFE170A"/>
    <w:rsid w:val="2F2A29F6"/>
    <w:rsid w:val="2F543212"/>
    <w:rsid w:val="2F5CEEAF"/>
    <w:rsid w:val="2F9B609E"/>
    <w:rsid w:val="2FAD0A9E"/>
    <w:rsid w:val="2FDB5921"/>
    <w:rsid w:val="2FFD7B0E"/>
    <w:rsid w:val="301E8A34"/>
    <w:rsid w:val="304ACE9E"/>
    <w:rsid w:val="306D0C92"/>
    <w:rsid w:val="3079750B"/>
    <w:rsid w:val="311972ED"/>
    <w:rsid w:val="312FB71E"/>
    <w:rsid w:val="31A83922"/>
    <w:rsid w:val="320DC0BD"/>
    <w:rsid w:val="33EA687D"/>
    <w:rsid w:val="3473FF02"/>
    <w:rsid w:val="348D05C2"/>
    <w:rsid w:val="349D0398"/>
    <w:rsid w:val="34D4F2C1"/>
    <w:rsid w:val="34D703B8"/>
    <w:rsid w:val="34D820A1"/>
    <w:rsid w:val="35B257CD"/>
    <w:rsid w:val="35FDCF53"/>
    <w:rsid w:val="364A4C97"/>
    <w:rsid w:val="36CD8F21"/>
    <w:rsid w:val="37057F0B"/>
    <w:rsid w:val="3721827D"/>
    <w:rsid w:val="3819BBF1"/>
    <w:rsid w:val="3872668D"/>
    <w:rsid w:val="388E22A1"/>
    <w:rsid w:val="3894912C"/>
    <w:rsid w:val="38D8D6DA"/>
    <w:rsid w:val="38DBDB3E"/>
    <w:rsid w:val="38DCA690"/>
    <w:rsid w:val="3999F07E"/>
    <w:rsid w:val="39B2EBCC"/>
    <w:rsid w:val="39EDED42"/>
    <w:rsid w:val="3A122908"/>
    <w:rsid w:val="3A1833EF"/>
    <w:rsid w:val="3A560748"/>
    <w:rsid w:val="3A691EA7"/>
    <w:rsid w:val="3A8F112D"/>
    <w:rsid w:val="3AFB5D75"/>
    <w:rsid w:val="3B11523C"/>
    <w:rsid w:val="3B16F63E"/>
    <w:rsid w:val="3B18BEB4"/>
    <w:rsid w:val="3B92C486"/>
    <w:rsid w:val="3BB0F527"/>
    <w:rsid w:val="3BDE5126"/>
    <w:rsid w:val="3BE9A95C"/>
    <w:rsid w:val="3BEB419C"/>
    <w:rsid w:val="3C307498"/>
    <w:rsid w:val="3C35F320"/>
    <w:rsid w:val="3C4A7ABB"/>
    <w:rsid w:val="3C92820D"/>
    <w:rsid w:val="3CA17540"/>
    <w:rsid w:val="3CD811A4"/>
    <w:rsid w:val="3D2461DB"/>
    <w:rsid w:val="3DB269D7"/>
    <w:rsid w:val="3DB62CAC"/>
    <w:rsid w:val="3DBA6D57"/>
    <w:rsid w:val="3DD7837C"/>
    <w:rsid w:val="3E1C3789"/>
    <w:rsid w:val="3EB1627A"/>
    <w:rsid w:val="3EB9B2EE"/>
    <w:rsid w:val="3EE2D120"/>
    <w:rsid w:val="3F188940"/>
    <w:rsid w:val="3FAC95DA"/>
    <w:rsid w:val="40BF6023"/>
    <w:rsid w:val="40C1F73C"/>
    <w:rsid w:val="40F01484"/>
    <w:rsid w:val="41156808"/>
    <w:rsid w:val="414134DC"/>
    <w:rsid w:val="414F6EA3"/>
    <w:rsid w:val="4161F7E0"/>
    <w:rsid w:val="41A25E8F"/>
    <w:rsid w:val="41BD418A"/>
    <w:rsid w:val="41CD2680"/>
    <w:rsid w:val="41E9F516"/>
    <w:rsid w:val="41EE8641"/>
    <w:rsid w:val="429F3279"/>
    <w:rsid w:val="42B53855"/>
    <w:rsid w:val="42C26DE1"/>
    <w:rsid w:val="42D332FD"/>
    <w:rsid w:val="430B9985"/>
    <w:rsid w:val="430B9985"/>
    <w:rsid w:val="43297183"/>
    <w:rsid w:val="434D713F"/>
    <w:rsid w:val="43A881E9"/>
    <w:rsid w:val="4433ADC6"/>
    <w:rsid w:val="44341425"/>
    <w:rsid w:val="446E5EC2"/>
    <w:rsid w:val="4489BA25"/>
    <w:rsid w:val="44D7A155"/>
    <w:rsid w:val="4518950A"/>
    <w:rsid w:val="4518950A"/>
    <w:rsid w:val="4530B6F2"/>
    <w:rsid w:val="45343A1D"/>
    <w:rsid w:val="45395A75"/>
    <w:rsid w:val="454BB671"/>
    <w:rsid w:val="45700AFD"/>
    <w:rsid w:val="4575E582"/>
    <w:rsid w:val="458D8119"/>
    <w:rsid w:val="45C8322B"/>
    <w:rsid w:val="460D3BC0"/>
    <w:rsid w:val="460F84D8"/>
    <w:rsid w:val="461EEB55"/>
    <w:rsid w:val="4654982D"/>
    <w:rsid w:val="4673E89E"/>
    <w:rsid w:val="4685A464"/>
    <w:rsid w:val="46A497DF"/>
    <w:rsid w:val="46CA9545"/>
    <w:rsid w:val="46D6D7F0"/>
    <w:rsid w:val="46E26EB9"/>
    <w:rsid w:val="4700A6E5"/>
    <w:rsid w:val="4714EBDC"/>
    <w:rsid w:val="4719D148"/>
    <w:rsid w:val="4720D07F"/>
    <w:rsid w:val="47338865"/>
    <w:rsid w:val="47613A67"/>
    <w:rsid w:val="4766547A"/>
    <w:rsid w:val="47A36630"/>
    <w:rsid w:val="47AD8AD8"/>
    <w:rsid w:val="47D60ABE"/>
    <w:rsid w:val="47E0687E"/>
    <w:rsid w:val="4808588C"/>
    <w:rsid w:val="4875C050"/>
    <w:rsid w:val="48BE20D3"/>
    <w:rsid w:val="492CCF16"/>
    <w:rsid w:val="4949889A"/>
    <w:rsid w:val="494CBE92"/>
    <w:rsid w:val="49566721"/>
    <w:rsid w:val="49A910DD"/>
    <w:rsid w:val="49C99C8E"/>
    <w:rsid w:val="4AA72AD1"/>
    <w:rsid w:val="4AB1D21A"/>
    <w:rsid w:val="4AB4497A"/>
    <w:rsid w:val="4ACECB1D"/>
    <w:rsid w:val="4B1A3E5B"/>
    <w:rsid w:val="4B6AA555"/>
    <w:rsid w:val="4B713BBD"/>
    <w:rsid w:val="4B8FF233"/>
    <w:rsid w:val="4C23D304"/>
    <w:rsid w:val="4C5A5E13"/>
    <w:rsid w:val="4D182DB5"/>
    <w:rsid w:val="4DA516BB"/>
    <w:rsid w:val="4E1C9FC5"/>
    <w:rsid w:val="4E453C8B"/>
    <w:rsid w:val="4E563A4F"/>
    <w:rsid w:val="4E77B333"/>
    <w:rsid w:val="4EA64FF5"/>
    <w:rsid w:val="4EBE6EDD"/>
    <w:rsid w:val="4EBF0CF6"/>
    <w:rsid w:val="4EC78DFC"/>
    <w:rsid w:val="4F0FFC1F"/>
    <w:rsid w:val="4F58BF63"/>
    <w:rsid w:val="4F8D6F63"/>
    <w:rsid w:val="4FB7EAD3"/>
    <w:rsid w:val="4FF140DC"/>
    <w:rsid w:val="4FFCCCA5"/>
    <w:rsid w:val="50347215"/>
    <w:rsid w:val="503538DC"/>
    <w:rsid w:val="504B84F1"/>
    <w:rsid w:val="505537F7"/>
    <w:rsid w:val="50698B99"/>
    <w:rsid w:val="50BB3255"/>
    <w:rsid w:val="50E2DA61"/>
    <w:rsid w:val="50F7A3AD"/>
    <w:rsid w:val="5174CFFE"/>
    <w:rsid w:val="51B90E19"/>
    <w:rsid w:val="51B9DB2E"/>
    <w:rsid w:val="51EA7D9F"/>
    <w:rsid w:val="51FEF667"/>
    <w:rsid w:val="5202BED1"/>
    <w:rsid w:val="524D1DFC"/>
    <w:rsid w:val="525D42B1"/>
    <w:rsid w:val="52859706"/>
    <w:rsid w:val="52C205A1"/>
    <w:rsid w:val="52DD4550"/>
    <w:rsid w:val="52F65138"/>
    <w:rsid w:val="5313F745"/>
    <w:rsid w:val="53719E67"/>
    <w:rsid w:val="5395522F"/>
    <w:rsid w:val="5401E077"/>
    <w:rsid w:val="542F06AA"/>
    <w:rsid w:val="54AC7C6E"/>
    <w:rsid w:val="54AFC425"/>
    <w:rsid w:val="54C1AB62"/>
    <w:rsid w:val="5505FDB7"/>
    <w:rsid w:val="5532D9C0"/>
    <w:rsid w:val="55640F46"/>
    <w:rsid w:val="557D67E6"/>
    <w:rsid w:val="55D3F783"/>
    <w:rsid w:val="561705C7"/>
    <w:rsid w:val="564A4F1F"/>
    <w:rsid w:val="571407ED"/>
    <w:rsid w:val="571C5694"/>
    <w:rsid w:val="5723ADB2"/>
    <w:rsid w:val="572C419A"/>
    <w:rsid w:val="57442607"/>
    <w:rsid w:val="57C00B82"/>
    <w:rsid w:val="57DA424E"/>
    <w:rsid w:val="586ECB79"/>
    <w:rsid w:val="58CA82D6"/>
    <w:rsid w:val="58CBB079"/>
    <w:rsid w:val="58FF9BA6"/>
    <w:rsid w:val="590BA9CA"/>
    <w:rsid w:val="5988D783"/>
    <w:rsid w:val="59D27ED4"/>
    <w:rsid w:val="5A459A4C"/>
    <w:rsid w:val="5A46E4CA"/>
    <w:rsid w:val="5A92E367"/>
    <w:rsid w:val="5AA2DC01"/>
    <w:rsid w:val="5ACA79F3"/>
    <w:rsid w:val="5AFDE52B"/>
    <w:rsid w:val="5B009AC6"/>
    <w:rsid w:val="5B11A406"/>
    <w:rsid w:val="5B57181B"/>
    <w:rsid w:val="5B5A9B20"/>
    <w:rsid w:val="5C5C0176"/>
    <w:rsid w:val="5C5E8797"/>
    <w:rsid w:val="5C7217F7"/>
    <w:rsid w:val="5C80CE49"/>
    <w:rsid w:val="5CC9F4F5"/>
    <w:rsid w:val="5CF93532"/>
    <w:rsid w:val="5D2F0C9A"/>
    <w:rsid w:val="5D3C9F60"/>
    <w:rsid w:val="5D5BD4D4"/>
    <w:rsid w:val="5DA7D47F"/>
    <w:rsid w:val="5DC5A64E"/>
    <w:rsid w:val="5E1123FB"/>
    <w:rsid w:val="5E274165"/>
    <w:rsid w:val="5E387BB4"/>
    <w:rsid w:val="5EE1367E"/>
    <w:rsid w:val="5F1F14E7"/>
    <w:rsid w:val="5F8C0BAB"/>
    <w:rsid w:val="5FC7B2F8"/>
    <w:rsid w:val="5FF0A1E2"/>
    <w:rsid w:val="5FF12F6F"/>
    <w:rsid w:val="601D95F2"/>
    <w:rsid w:val="6026B3E3"/>
    <w:rsid w:val="6064D9B8"/>
    <w:rsid w:val="606583EC"/>
    <w:rsid w:val="606F8EA6"/>
    <w:rsid w:val="608A3FF6"/>
    <w:rsid w:val="6099937E"/>
    <w:rsid w:val="60BD3B3F"/>
    <w:rsid w:val="60EC92D4"/>
    <w:rsid w:val="60EF53D8"/>
    <w:rsid w:val="60FC5A54"/>
    <w:rsid w:val="612A1060"/>
    <w:rsid w:val="612C99AC"/>
    <w:rsid w:val="61E8DF8B"/>
    <w:rsid w:val="61FFB1CE"/>
    <w:rsid w:val="621C0913"/>
    <w:rsid w:val="6257164A"/>
    <w:rsid w:val="62718062"/>
    <w:rsid w:val="628BD27C"/>
    <w:rsid w:val="633EE386"/>
    <w:rsid w:val="63A362F4"/>
    <w:rsid w:val="63AA3491"/>
    <w:rsid w:val="63F98939"/>
    <w:rsid w:val="640CB491"/>
    <w:rsid w:val="6419043B"/>
    <w:rsid w:val="6419043B"/>
    <w:rsid w:val="643FA628"/>
    <w:rsid w:val="6447E850"/>
    <w:rsid w:val="64A2E297"/>
    <w:rsid w:val="64AF89B7"/>
    <w:rsid w:val="64B0050F"/>
    <w:rsid w:val="64F44C40"/>
    <w:rsid w:val="64F7767C"/>
    <w:rsid w:val="6505D8F8"/>
    <w:rsid w:val="651DBF33"/>
    <w:rsid w:val="65447168"/>
    <w:rsid w:val="65631615"/>
    <w:rsid w:val="657FEE42"/>
    <w:rsid w:val="65A43E1A"/>
    <w:rsid w:val="660F401D"/>
    <w:rsid w:val="66F80FA9"/>
    <w:rsid w:val="676686AE"/>
    <w:rsid w:val="6794B09E"/>
    <w:rsid w:val="6795ACD9"/>
    <w:rsid w:val="67DA5C45"/>
    <w:rsid w:val="67E8DD4D"/>
    <w:rsid w:val="6812E61D"/>
    <w:rsid w:val="6864D53E"/>
    <w:rsid w:val="68E38222"/>
    <w:rsid w:val="68F4D627"/>
    <w:rsid w:val="69222A2F"/>
    <w:rsid w:val="696CA9AF"/>
    <w:rsid w:val="6A185416"/>
    <w:rsid w:val="6A1A7E22"/>
    <w:rsid w:val="6A1AEFEF"/>
    <w:rsid w:val="6A47D94D"/>
    <w:rsid w:val="6A5B8B12"/>
    <w:rsid w:val="6A67A9C1"/>
    <w:rsid w:val="6AA4D716"/>
    <w:rsid w:val="6AC0A242"/>
    <w:rsid w:val="6ACD43E2"/>
    <w:rsid w:val="6B261840"/>
    <w:rsid w:val="6B3B60EB"/>
    <w:rsid w:val="6B4AAE09"/>
    <w:rsid w:val="6B9C3039"/>
    <w:rsid w:val="6C050B40"/>
    <w:rsid w:val="6C408F0D"/>
    <w:rsid w:val="6C4D9702"/>
    <w:rsid w:val="6C591413"/>
    <w:rsid w:val="6C9DE88F"/>
    <w:rsid w:val="6CD9BBB6"/>
    <w:rsid w:val="6D123D5C"/>
    <w:rsid w:val="6D5B39E9"/>
    <w:rsid w:val="6D73EB9D"/>
    <w:rsid w:val="6D9B0EE7"/>
    <w:rsid w:val="6DA855CB"/>
    <w:rsid w:val="6DE81AFA"/>
    <w:rsid w:val="6DF6CEEC"/>
    <w:rsid w:val="6DFC0F48"/>
    <w:rsid w:val="6E33C90B"/>
    <w:rsid w:val="6E4F8A4E"/>
    <w:rsid w:val="6E8E7A35"/>
    <w:rsid w:val="6E90B5E2"/>
    <w:rsid w:val="6E985F75"/>
    <w:rsid w:val="6EA0DD56"/>
    <w:rsid w:val="6EB9C0D9"/>
    <w:rsid w:val="6EE98BAE"/>
    <w:rsid w:val="6EED8E5F"/>
    <w:rsid w:val="6F0FC2F3"/>
    <w:rsid w:val="6F737F7C"/>
    <w:rsid w:val="6F9A387A"/>
    <w:rsid w:val="6FB1174F"/>
    <w:rsid w:val="6FE1508D"/>
    <w:rsid w:val="6FF2D666"/>
    <w:rsid w:val="701B9973"/>
    <w:rsid w:val="7066E62D"/>
    <w:rsid w:val="70A3E9B8"/>
    <w:rsid w:val="70B3CDB2"/>
    <w:rsid w:val="70F47268"/>
    <w:rsid w:val="70F884A0"/>
    <w:rsid w:val="711DFBB7"/>
    <w:rsid w:val="712BF3B0"/>
    <w:rsid w:val="71FE935E"/>
    <w:rsid w:val="72A12255"/>
    <w:rsid w:val="72B65DA6"/>
    <w:rsid w:val="72BE03B2"/>
    <w:rsid w:val="72CD369C"/>
    <w:rsid w:val="7308D36C"/>
    <w:rsid w:val="730E84FD"/>
    <w:rsid w:val="73AD33C1"/>
    <w:rsid w:val="73EA7FC2"/>
    <w:rsid w:val="741B0930"/>
    <w:rsid w:val="7426C3E6"/>
    <w:rsid w:val="74D2570F"/>
    <w:rsid w:val="7510C6D0"/>
    <w:rsid w:val="753779FC"/>
    <w:rsid w:val="7537801C"/>
    <w:rsid w:val="75386527"/>
    <w:rsid w:val="754DFB7D"/>
    <w:rsid w:val="75A2F87D"/>
    <w:rsid w:val="75E94922"/>
    <w:rsid w:val="765A4F14"/>
    <w:rsid w:val="76CB39BB"/>
    <w:rsid w:val="76D3061E"/>
    <w:rsid w:val="76D821FF"/>
    <w:rsid w:val="77648362"/>
    <w:rsid w:val="78911BC1"/>
    <w:rsid w:val="78B4F0BA"/>
    <w:rsid w:val="78D576AF"/>
    <w:rsid w:val="78FBC936"/>
    <w:rsid w:val="7911298A"/>
    <w:rsid w:val="7937B611"/>
    <w:rsid w:val="795B18FB"/>
    <w:rsid w:val="798DAF13"/>
    <w:rsid w:val="79926D12"/>
    <w:rsid w:val="79A3E927"/>
    <w:rsid w:val="7A5A314C"/>
    <w:rsid w:val="7A919881"/>
    <w:rsid w:val="7AA410F0"/>
    <w:rsid w:val="7AC9ADC7"/>
    <w:rsid w:val="7BE9EA7F"/>
    <w:rsid w:val="7C0884BA"/>
    <w:rsid w:val="7C1067E8"/>
    <w:rsid w:val="7C2A51F4"/>
    <w:rsid w:val="7C2FE85F"/>
    <w:rsid w:val="7C5B5F00"/>
    <w:rsid w:val="7C5DB9F3"/>
    <w:rsid w:val="7C699713"/>
    <w:rsid w:val="7C986D41"/>
    <w:rsid w:val="7CAEFE58"/>
    <w:rsid w:val="7CC02D46"/>
    <w:rsid w:val="7D09F0F7"/>
    <w:rsid w:val="7D8774FC"/>
    <w:rsid w:val="7DBA7E5E"/>
    <w:rsid w:val="7E3A2D3C"/>
    <w:rsid w:val="7E4807A1"/>
    <w:rsid w:val="7E7065BA"/>
    <w:rsid w:val="7E9C8267"/>
    <w:rsid w:val="7EB0D8F6"/>
    <w:rsid w:val="7ECC771C"/>
    <w:rsid w:val="7F0CCEE2"/>
    <w:rsid w:val="7F1FA0F5"/>
    <w:rsid w:val="7F3644E5"/>
    <w:rsid w:val="7F76AFA2"/>
    <w:rsid w:val="7F819639"/>
    <w:rsid w:val="7FCD69A1"/>
    <w:rsid w:val="7FE11F4E"/>
    <w:rsid w:val="7FFE81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hAnsi="Arial"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hAnsi="Arial" w:eastAsia="Calibri Light" w:cs="Calibri Light"/>
      <w:kern w:val="0"/>
      <w:lang w:eastAsia="en-GB" w:bidi="en-GB"/>
      <w14:ligatures w14:val="none"/>
    </w:rPr>
  </w:style>
  <w:style w:type="character" w:styleId="BodyTextChar" w:customStyle="1">
    <w:name w:val="Body Text Char"/>
    <w:basedOn w:val="DefaultParagraphFont"/>
    <w:link w:val="BodyText"/>
    <w:uiPriority w:val="1"/>
    <w:rsid w:val="00063B4C"/>
    <w:rPr>
      <w:rFonts w:ascii="Arial" w:hAnsi="Arial" w:eastAsia="Calibri Light" w:cs="Calibri Light"/>
      <w:kern w:val="0"/>
      <w:lang w:eastAsia="en-GB" w:bidi="en-GB"/>
      <w14:ligatures w14:val="none"/>
    </w:rPr>
  </w:style>
  <w:style w:type="character" w:styleId="Heading1Char" w:customStyle="1">
    <w:name w:val="Heading 1 Char"/>
    <w:basedOn w:val="DefaultParagraphFont"/>
    <w:link w:val="Heading1"/>
    <w:uiPriority w:val="1"/>
    <w:rsid w:val="00063B4C"/>
    <w:rPr>
      <w:rFonts w:ascii="Arial" w:hAnsi="Arial" w:eastAsia="Calibri Light"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hAnsi="Calibri Light" w:eastAsia="Calibri Light" w:cs="Calibri Light"/>
      <w:kern w:val="0"/>
      <w:lang w:eastAsia="en-GB" w:bidi="en-GB"/>
      <w14:ligatures w14:val="none"/>
    </w:rPr>
  </w:style>
  <w:style w:type="character" w:styleId="Heading2Char" w:customStyle="1">
    <w:name w:val="Heading 2 Char"/>
    <w:basedOn w:val="DefaultParagraphFont"/>
    <w:link w:val="Heading2"/>
    <w:uiPriority w:val="9"/>
    <w:rsid w:val="005D7A1E"/>
    <w:rPr>
      <w:rFonts w:ascii="Aptos" w:hAnsi="Aptos" w:eastAsiaTheme="majorEastAsia"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styleId="paragraph" w:customStyle="1">
    <w:name w:val="paragraph"/>
    <w:basedOn w:val="Normal"/>
    <w:rsid w:val="00BD2909"/>
    <w:pPr>
      <w:spacing w:before="100" w:beforeAutospacing="1" w:after="100" w:afterAutospacing="1" w:line="240" w:lineRule="auto"/>
      <w:jc w:val="left"/>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BD2909"/>
  </w:style>
  <w:style w:type="character" w:styleId="eop" w:customStyle="1">
    <w:name w:val="eop"/>
    <w:basedOn w:val="DefaultParagraphFont"/>
    <w:rsid w:val="00BD2909"/>
  </w:style>
  <w:style w:type="character" w:styleId="Heading4Char" w:customStyle="1">
    <w:name w:val="Heading 4 Char"/>
    <w:basedOn w:val="DefaultParagraphFont"/>
    <w:link w:val="Heading4"/>
    <w:uiPriority w:val="9"/>
    <w:semiHidden/>
    <w:rsid w:val="007063BA"/>
    <w:rPr>
      <w:rFonts w:asciiTheme="majorHAnsi" w:hAnsiTheme="majorHAnsi" w:eastAsiaTheme="majorEastAsia" w:cstheme="majorBidi"/>
      <w:i/>
      <w:iCs/>
      <w:color w:val="2F5496" w:themeColor="accent1" w:themeShade="BF"/>
    </w:rPr>
  </w:style>
  <w:style w:type="character" w:styleId="Strong">
    <w:name w:val="Strong"/>
    <w:basedOn w:val="DefaultParagraphFont"/>
    <w:uiPriority w:val="22"/>
    <w:qFormat/>
    <w:rsid w:val="007063BA"/>
    <w:rPr>
      <w:b/>
      <w:bCs/>
    </w:rPr>
  </w:style>
  <w:style w:type="paragraph" w:styleId="TOCHeading">
    <w:name w:val="TOC Heading"/>
    <w:basedOn w:val="Heading1"/>
    <w:next w:val="Normal"/>
    <w:uiPriority w:val="39"/>
    <w:unhideWhenUsed/>
    <w:qFormat/>
    <w:rsid w:val="00967C4F"/>
    <w:pPr>
      <w:keepNext/>
      <w:keepLines/>
      <w:widowControl/>
      <w:autoSpaceDE/>
      <w:autoSpaceDN/>
      <w:spacing w:before="240" w:line="259" w:lineRule="auto"/>
      <w:ind w:left="0"/>
      <w:outlineLvl w:val="9"/>
    </w:pPr>
    <w:rPr>
      <w:rFonts w:asciiTheme="majorHAnsi" w:hAnsiTheme="majorHAnsi" w:eastAsiaTheme="majorEastAsia" w:cstheme="majorBidi"/>
      <w:b w:val="0"/>
      <w:color w:val="2F5496" w:themeColor="accent1" w:themeShade="BF"/>
      <w:lang w:val="en-US" w:eastAsia="en-US" w:bidi="ar-SA"/>
    </w:rPr>
  </w:style>
  <w:style w:type="paragraph" w:styleId="TOC1">
    <w:name w:val="toc 1"/>
    <w:basedOn w:val="Normal"/>
    <w:next w:val="Normal"/>
    <w:autoRedefine/>
    <w:uiPriority w:val="39"/>
    <w:unhideWhenUsed/>
    <w:rsid w:val="00967C4F"/>
    <w:pPr>
      <w:spacing w:after="100"/>
    </w:pPr>
  </w:style>
  <w:style w:type="paragraph" w:styleId="TOC2">
    <w:name w:val="toc 2"/>
    <w:basedOn w:val="Normal"/>
    <w:next w:val="Normal"/>
    <w:autoRedefine/>
    <w:uiPriority w:val="39"/>
    <w:unhideWhenUsed/>
    <w:rsid w:val="00967C4F"/>
    <w:pPr>
      <w:spacing w:after="100"/>
      <w:ind w:left="220"/>
    </w:pPr>
  </w:style>
  <w:style w:type="paragraph" w:styleId="Heading3">
    <w:uiPriority w:val="9"/>
    <w:name w:val="heading 3"/>
    <w:basedOn w:val="Normal"/>
    <w:next w:val="Normal"/>
    <w:unhideWhenUsed/>
    <w:qFormat/>
    <w:rsid w:val="5FF0A1E2"/>
    <w:rPr>
      <w:rFonts w:eastAsia="等线 Light" w:cs="Times New Roman" w:eastAsiaTheme="majorEastAsia" w:cstheme="majorBidi"/>
      <w:color w:val="2F5496"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5FF0A1E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xml" Id="Rfca8be969571412c" /><Relationship Type="http://schemas.openxmlformats.org/officeDocument/2006/relationships/hyperlink" Target="https://www.routledge.com/Promoting-Inclusive-Education-Lessons-from-International-Experiences/Ainscow/p/book/9780367202423" TargetMode="External" Id="Rbfbe3a640e4c4ada" /><Relationship Type="http://schemas.openxmlformats.org/officeDocument/2006/relationships/hyperlink" Target="https://www.ifs.org.uk/publications/14848" TargetMode="External" Id="R2d379a8858ad453a" /><Relationship Type="http://schemas.openxmlformats.org/officeDocument/2006/relationships/hyperlink" Target="https://www.tandfonline.com/doi/full/10.1080/13603116.2019.1695011" TargetMode="External" Id="R825ea9a4d8f74e8a" /><Relationship Type="http://schemas.openxmlformats.org/officeDocument/2006/relationships/hyperlink" Target="https://psycnet.apa.org/record/2012-17558-003" TargetMode="External" Id="R733312725fb84eaa" /><Relationship Type="http://schemas.openxmlformats.org/officeDocument/2006/relationships/hyperlink" Target="https://www.hup.harvard.edu/catalog.php?isbn=9780674224575" TargetMode="External" Id="R2c70aaf45617405d" /><Relationship Type="http://schemas.openxmlformats.org/officeDocument/2006/relationships/hyperlink" Target="https://www.childrenscommissioner.gov.uk/report/school-absence-and-vulnerable-children/" TargetMode="External" Id="Ra0a5ef349967449d" /><Relationship Type="http://schemas.openxmlformats.org/officeDocument/2006/relationships/hyperlink" Target="https://onlinelibrary.wiley.com/" TargetMode="External" Id="R64d4ffe435ff4ec0" /><Relationship Type="http://schemas.openxmlformats.org/officeDocument/2006/relationships/hyperlink" Target="https://www.gov.uk/government/publications/supporting-pupils-at-school-with-medical-conditions--3" TargetMode="External" Id="R2d893c18dd0e4d59" /><Relationship Type="http://schemas.openxmlformats.org/officeDocument/2006/relationships/hyperlink" Target="https://www.gov.uk/government/publications/long-term-conditions-compendium-of-information" TargetMode="External" Id="R94478ebf97964211" /><Relationship Type="http://schemas.openxmlformats.org/officeDocument/2006/relationships/hyperlink" Target="https://www.gov.uk/government/publications/supporting-pupils-at-school-with-medical-conditions--3" TargetMode="External" Id="Rcec58a8865194f04" /><Relationship Type="http://schemas.openxmlformats.org/officeDocument/2006/relationships/hyperlink" Target="https://www.routledge.com/Inclusive-Pedagogy-Across-the-Curriculum/Florian/p/book/9781138788770" TargetMode="External" Id="Ra6302a1478f7422a" /><Relationship Type="http://schemas.openxmlformats.org/officeDocument/2006/relationships/hyperlink" Target="https://www.who.int/docs/default-source/health-promoting-schools/global-standards-for-health-promoting-schools-who-unesco.pdf" TargetMode="External" Id="R969362ef39104aa0" /><Relationship Type="http://schemas.openxmlformats.org/officeDocument/2006/relationships/hyperlink" Target="https://www.goodthingsfoundation.org/research-publications/digital-nation-uk" TargetMode="External" Id="Rcf44564916da4a06" /><Relationship Type="http://schemas.openxmlformats.org/officeDocument/2006/relationships/hyperlink" Target="https://www.thelancet.com/journals/lancet/article/PIIS0140-6736(21)00482-0/fulltext" TargetMode="External" Id="R3996cfbbd2bc4a6d" /><Relationship Type="http://schemas.openxmlformats.org/officeDocument/2006/relationships/hyperlink" Target="https://academic.oup.com/ije/article/53/5/dyae138/7817870" TargetMode="External" Id="R59d94f880b4a43e4" /><Relationship Type="http://schemas.openxmlformats.org/officeDocument/2006/relationships/hyperlink" Target="https://onlinelibrary.wiley.com/doi/10.1111/cch.12475" TargetMode="External" Id="Rd2ef76aa52414466" /><Relationship Type="http://schemas.openxmlformats.org/officeDocument/2006/relationships/hyperlink" Target="https://www.ncbi.nlm.nih.gov/pmc/articles/PMC1719685/" TargetMode="External" Id="R00ec5f3692584614" /><Relationship Type="http://schemas.openxmlformats.org/officeDocument/2006/relationships/hyperlink" Target="https://www.england.nhs.uk/commissioning/spec-services/nqf/long-term-conditions/" TargetMode="External" Id="Rf141a9f2f8414c99" /><Relationship Type="http://schemas.openxmlformats.org/officeDocument/2006/relationships/hyperlink" Target="https://www.frontiersin.org/articles/10.3389/fpubh.2023.9907052/full" TargetMode="External" Id="R1598bd6b54fb475d" /><Relationship Type="http://schemas.openxmlformats.org/officeDocument/2006/relationships/hyperlink" Target="https://journals.sagepub.com/doi/full/10.1177/1609406917733847" TargetMode="External" Id="R2f937760aa004482" /><Relationship Type="http://schemas.openxmlformats.org/officeDocument/2006/relationships/hyperlink" Target="https://onlinelibrary.wiley.com/doi/10.1111/cch.12521" TargetMode="External" Id="R87402630e8f844bd" /><Relationship Type="http://schemas.openxmlformats.org/officeDocument/2006/relationships/hyperlink" Target="https://onlinelibrary.wiley.com/doi/10.1111/jftr.12022" TargetMode="External" Id="Rff994ffb30b24059" /><Relationship Type="http://schemas.openxmlformats.org/officeDocument/2006/relationships/hyperlink" Target="https://www.rsph.org.uk/" TargetMode="External" Id="R5cf2694397e341d4" /><Relationship Type="http://schemas.openxmlformats.org/officeDocument/2006/relationships/hyperlink" Target="https://unesdoc.unesco.org/ark:/48223/pf0000248254" TargetMode="External" Id="Rd3045e911d6c47d0" /><Relationship Type="http://schemas.openxmlformats.org/officeDocument/2006/relationships/hyperlink" Target="https://unesdoc.unesco.org/ark:/48223/pf0000248254" TargetMode="External" Id="R026b9e254e8b406d" /><Relationship Type="http://schemas.openxmlformats.org/officeDocument/2006/relationships/hyperlink" Target="https://unesdoc.unesco.org/ark:/48223/pf0000373724" TargetMode="External" Id="R8c4e9139a9d149c1" /><Relationship Type="http://schemas.openxmlformats.org/officeDocument/2006/relationships/hyperlink" Target="https://www.unesco.org/gem-report/en/publication/inclusion-and-education" TargetMode="External" Id="R2f55cad4c9ee49e7" /><Relationship Type="http://schemas.openxmlformats.org/officeDocument/2006/relationships/hyperlink" Target="https://bmcpediatr.biomedcentral.com/articles/10.1186/s12887-017-0810-1" TargetMode="External" Id="R08c4973d7b08467f" /><Relationship Type="http://schemas.openxmlformats.org/officeDocument/2006/relationships/hyperlink" Target="https://www.politybooks.com/bookdetail?book_slug=the-digital-divide--9781509536436" TargetMode="External" Id="R22cd721881be454d" /><Relationship Type="http://schemas.openxmlformats.org/officeDocument/2006/relationships/hyperlink" Target="https://adc.bmj.com/content/101/10/881" TargetMode="External" Id="R9c0f3bb574084c54" /><Relationship Type="http://schemas.openxmlformats.org/officeDocument/2006/relationships/hyperlink" Target="https://www.who.int/teams/health-promotion/school-health" TargetMode="External" Id="Rb47037cacf334ae5" /><Relationship Type="http://schemas.openxmlformats.org/officeDocument/2006/relationships/hyperlink" Target="https://www.who.int/news-room/fact-sheets/detail/noncommunicable-diseases" TargetMode="External" Id="R5715f7675b784170" /><Relationship Type="http://schemas.openxmlformats.org/officeDocument/2006/relationships/hyperlink" Target="https://www.who.int" TargetMode="External" Id="Rd21a496ac18e4871" /><Relationship Type="http://schemas.openxmlformats.org/officeDocument/2006/relationships/hyperlink" Target="https://www.who.int/publications/i/item/ncd-progress-monitor-2020" TargetMode="External" Id="R4b1c152c848f4717" /><Relationship Type="http://schemas.openxmlformats.org/officeDocument/2006/relationships/hyperlink" Target="https://pubmed.ncbi.nlm.nih.gov/37361156/" TargetMode="External" Id="Rfc1aa255b42a4a59" /><Relationship Type="http://schemas.openxmlformats.org/officeDocument/2006/relationships/hyperlink" Target="https://pubmed.ncbi.nlm.nih.gov/28543609/" TargetMode="External" Id="Rd071791288814be6" /><Relationship Type="http://schemas.openxmlformats.org/officeDocument/2006/relationships/header" Target="header2.xml" Id="R5d8af7cb425b49e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e82597bcd31bc4dd00a83a53414b405d">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6f43130c97acdfdd4e7c6a19a1a29e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2.xml><?xml version="1.0" encoding="utf-8"?>
<ds:datastoreItem xmlns:ds="http://schemas.openxmlformats.org/officeDocument/2006/customXml" ds:itemID="{48D7AD49-F708-4FEB-9329-C8A5FD462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8BBE32-F3D8-41BB-A7C2-38823B47134C}">
  <ds:schemaRefs>
    <ds:schemaRef ds:uri="http://schemas.microsoft.com/sharepoint/v3/contenttype/forms"/>
  </ds:schemaRefs>
</ds:datastoreItem>
</file>

<file path=customXml/itemProps4.xml><?xml version="1.0" encoding="utf-8"?>
<ds:datastoreItem xmlns:ds="http://schemas.openxmlformats.org/officeDocument/2006/customXml" ds:itemID="{003C92DD-0FFC-4A61-AF9D-CB9B1BE2CF86}">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Harries</dc:creator>
  <keywords/>
  <dc:description/>
  <lastModifiedBy>Sabina Aslam (2220574)</lastModifiedBy>
  <revision>83</revision>
  <dcterms:created xsi:type="dcterms:W3CDTF">2025-11-01T14:12:00.0000000Z</dcterms:created>
  <dcterms:modified xsi:type="dcterms:W3CDTF">2025-11-27T21:17:50.5421537Z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