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both"/>
        <w:rPr>
          <w:rFonts w:ascii="Times New Roman" w:hAnsi="Times New Roman" w:cs="Times New Roman"/>
          <w:sz w:val="24"/>
          <w:szCs w:val="24"/>
        </w:rPr>
      </w:pPr>
    </w:p>
    <w:p>
      <w:pPr>
        <w:spacing w:line="480" w:lineRule="auto"/>
        <w:jc w:val="center"/>
        <w:rPr>
          <w:rFonts w:ascii="Times New Roman" w:hAnsi="Times New Roman" w:cs="Times New Roman"/>
          <w:sz w:val="24"/>
          <w:szCs w:val="24"/>
        </w:rPr>
      </w:pPr>
    </w:p>
    <w:p>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Water Efficiency Initiatives in the UK and their CSR Relevance</w:t>
      </w:r>
    </w:p>
    <w:p>
      <w:pPr>
        <w:spacing w:line="480" w:lineRule="auto"/>
        <w:jc w:val="center"/>
        <w:rPr>
          <w:rFonts w:ascii="Times New Roman" w:hAnsi="Times New Roman" w:cs="Times New Roman"/>
          <w:b/>
          <w:bCs/>
          <w:sz w:val="24"/>
          <w:szCs w:val="24"/>
        </w:rPr>
      </w:pPr>
    </w:p>
    <w:p>
      <w:pPr>
        <w:spacing w:line="480" w:lineRule="auto"/>
        <w:jc w:val="center"/>
        <w:rPr>
          <w:rFonts w:ascii="Times New Roman" w:hAnsi="Times New Roman" w:cs="Times New Roman"/>
          <w:b/>
          <w:bCs/>
          <w:sz w:val="24"/>
          <w:szCs w:val="24"/>
        </w:rPr>
      </w:pPr>
    </w:p>
    <w:p>
      <w:pPr>
        <w:spacing w:line="480" w:lineRule="auto"/>
        <w:jc w:val="center"/>
        <w:rPr>
          <w:rFonts w:ascii="Times New Roman" w:hAnsi="Times New Roman" w:cs="Times New Roman"/>
          <w:b/>
          <w:bCs/>
          <w:sz w:val="24"/>
          <w:szCs w:val="24"/>
        </w:rPr>
      </w:pPr>
    </w:p>
    <w:p>
      <w:pPr>
        <w:spacing w:line="480" w:lineRule="auto"/>
        <w:jc w:val="center"/>
        <w:rPr>
          <w:rFonts w:ascii="Times New Roman" w:hAnsi="Times New Roman" w:cs="Times New Roman"/>
          <w:b/>
          <w:bCs/>
          <w:sz w:val="24"/>
          <w:szCs w:val="24"/>
        </w:rPr>
      </w:pPr>
    </w:p>
    <w:p>
      <w:pPr>
        <w:spacing w:line="480" w:lineRule="auto"/>
        <w:jc w:val="center"/>
        <w:rPr>
          <w:rFonts w:ascii="Times New Roman" w:hAnsi="Times New Roman" w:cs="Times New Roman"/>
          <w:b/>
          <w:bCs/>
          <w:sz w:val="24"/>
          <w:szCs w:val="24"/>
        </w:rPr>
      </w:pPr>
    </w:p>
    <w:p>
      <w:pPr>
        <w:spacing w:line="480" w:lineRule="auto"/>
        <w:jc w:val="center"/>
        <w:rPr>
          <w:rFonts w:ascii="Times New Roman" w:hAnsi="Times New Roman" w:cs="Times New Roman"/>
          <w:b/>
          <w:bCs/>
          <w:sz w:val="24"/>
          <w:szCs w:val="24"/>
        </w:rPr>
      </w:pPr>
      <w:bookmarkStart w:id="11" w:name="_GoBack"/>
      <w:bookmarkEnd w:id="11"/>
    </w:p>
    <w:p>
      <w:pPr>
        <w:spacing w:line="480" w:lineRule="auto"/>
        <w:jc w:val="center"/>
        <w:rPr>
          <w:rFonts w:hint="default" w:ascii="Times New Roman" w:hAnsi="Times New Roman" w:eastAsia="宋体" w:cs="Times New Roman"/>
          <w:b/>
          <w:bCs/>
          <w:sz w:val="24"/>
          <w:szCs w:val="24"/>
          <w:lang w:val="en-GB" w:eastAsia="zh-CN"/>
        </w:rPr>
      </w:pPr>
      <w:r>
        <w:rPr>
          <w:rFonts w:ascii="Times New Roman" w:hAnsi="Times New Roman" w:cs="Times New Roman"/>
          <w:b/>
          <w:bCs/>
          <w:sz w:val="24"/>
          <w:szCs w:val="24"/>
        </w:rPr>
        <w:t>Name</w:t>
      </w:r>
      <w:r>
        <w:rPr>
          <w:rFonts w:hint="eastAsia" w:ascii="Times New Roman" w:hAnsi="Times New Roman" w:eastAsia="宋体" w:cs="Times New Roman"/>
          <w:b/>
          <w:bCs/>
          <w:sz w:val="24"/>
          <w:szCs w:val="24"/>
          <w:lang w:eastAsia="zh-CN"/>
        </w:rPr>
        <w:t>：</w:t>
      </w:r>
      <w:r>
        <w:rPr>
          <w:rFonts w:hint="eastAsia" w:ascii="Times New Roman" w:hAnsi="Times New Roman" w:eastAsia="宋体" w:cs="Times New Roman"/>
          <w:b/>
          <w:bCs/>
          <w:sz w:val="24"/>
          <w:szCs w:val="24"/>
          <w:lang w:val="en-US" w:eastAsia="zh-CN"/>
        </w:rPr>
        <w:t>Ton</w:t>
      </w:r>
      <w:r>
        <w:rPr>
          <w:rFonts w:hint="default" w:ascii="Times New Roman" w:hAnsi="Times New Roman" w:eastAsia="宋体" w:cs="Times New Roman"/>
          <w:b/>
          <w:bCs/>
          <w:sz w:val="24"/>
          <w:szCs w:val="24"/>
          <w:lang w:val="en-GB" w:eastAsia="zh-CN"/>
        </w:rPr>
        <w:t>gzhou Ding</w:t>
      </w:r>
    </w:p>
    <w:p>
      <w:pPr>
        <w:spacing w:line="480" w:lineRule="auto"/>
        <w:jc w:val="center"/>
        <w:rPr>
          <w:rFonts w:hint="default" w:ascii="Times New Roman" w:hAnsi="Times New Roman" w:cs="Times New Roman"/>
          <w:b/>
          <w:bCs/>
          <w:sz w:val="24"/>
          <w:szCs w:val="24"/>
          <w:lang w:val="en-GB"/>
        </w:rPr>
      </w:pPr>
      <w:r>
        <w:rPr>
          <w:rFonts w:hint="default" w:ascii="Times New Roman" w:hAnsi="Times New Roman" w:cs="Times New Roman"/>
          <w:b/>
          <w:bCs/>
          <w:sz w:val="24"/>
          <w:szCs w:val="24"/>
          <w:lang w:val="en-GB"/>
        </w:rPr>
        <w:t>Student ID:1903371</w:t>
      </w:r>
    </w:p>
    <w:p>
      <w:pPr>
        <w:spacing w:line="480" w:lineRule="auto"/>
        <w:jc w:val="center"/>
        <w:rPr>
          <w:rFonts w:hint="default" w:ascii="Times New Roman" w:hAnsi="Times New Roman" w:cs="Times New Roman"/>
          <w:b/>
          <w:bCs/>
          <w:sz w:val="24"/>
          <w:szCs w:val="24"/>
          <w:lang w:val="en-GB"/>
        </w:rPr>
      </w:pPr>
      <w:r>
        <w:rPr>
          <w:rFonts w:ascii="Times New Roman" w:hAnsi="Times New Roman" w:cs="Times New Roman"/>
          <w:b/>
          <w:bCs/>
          <w:sz w:val="24"/>
          <w:szCs w:val="24"/>
        </w:rPr>
        <w:t>Date</w:t>
      </w:r>
      <w:r>
        <w:rPr>
          <w:rFonts w:hint="default" w:ascii="Times New Roman" w:hAnsi="Times New Roman" w:cs="Times New Roman"/>
          <w:b/>
          <w:bCs/>
          <w:sz w:val="24"/>
          <w:szCs w:val="24"/>
          <w:lang w:val="en-GB"/>
        </w:rPr>
        <w:t>:1/May/2020</w:t>
      </w:r>
    </w:p>
    <w:p>
      <w:pPr>
        <w:spacing w:line="480" w:lineRule="auto"/>
        <w:rPr>
          <w:rFonts w:ascii="Times New Roman" w:hAnsi="Times New Roman" w:cs="Times New Roman"/>
          <w:sz w:val="24"/>
          <w:szCs w:val="24"/>
        </w:rPr>
      </w:pPr>
    </w:p>
    <w:p>
      <w:pPr>
        <w:pStyle w:val="2"/>
        <w:spacing w:line="480" w:lineRule="auto"/>
        <w:rPr>
          <w:rFonts w:ascii="Times New Roman" w:hAnsi="Times New Roman" w:cs="Times New Roman"/>
          <w:color w:val="auto"/>
          <w:sz w:val="24"/>
          <w:szCs w:val="24"/>
        </w:rPr>
      </w:pPr>
    </w:p>
    <w:p>
      <w:pPr>
        <w:pStyle w:val="2"/>
        <w:spacing w:line="480" w:lineRule="auto"/>
        <w:rPr>
          <w:rFonts w:ascii="Times New Roman" w:hAnsi="Times New Roman" w:cs="Times New Roman"/>
          <w:color w:val="auto"/>
          <w:sz w:val="24"/>
          <w:szCs w:val="24"/>
        </w:rPr>
      </w:pPr>
    </w:p>
    <w:p>
      <w:pPr>
        <w:pStyle w:val="2"/>
        <w:spacing w:line="480" w:lineRule="auto"/>
        <w:rPr>
          <w:rFonts w:ascii="Times New Roman" w:hAnsi="Times New Roman" w:cs="Times New Roman"/>
          <w:color w:val="auto"/>
          <w:sz w:val="24"/>
          <w:szCs w:val="24"/>
        </w:rPr>
      </w:pPr>
    </w:p>
    <w:p>
      <w:pPr>
        <w:pStyle w:val="2"/>
        <w:spacing w:line="480" w:lineRule="auto"/>
        <w:rPr>
          <w:rFonts w:ascii="Times New Roman" w:hAnsi="Times New Roman" w:cs="Times New Roman"/>
          <w:color w:val="auto"/>
          <w:sz w:val="24"/>
          <w:szCs w:val="24"/>
        </w:rPr>
      </w:pPr>
    </w:p>
    <w:p>
      <w:pPr>
        <w:spacing w:line="480" w:lineRule="auto"/>
        <w:rPr>
          <w:rFonts w:ascii="Times New Roman" w:hAnsi="Times New Roman" w:cs="Times New Roman"/>
          <w:b/>
          <w:sz w:val="24"/>
          <w:szCs w:val="24"/>
        </w:rPr>
      </w:pPr>
      <w:r>
        <w:rPr>
          <w:rFonts w:ascii="Times New Roman" w:hAnsi="Times New Roman" w:cs="Times New Roman"/>
          <w:b/>
          <w:sz w:val="24"/>
          <w:szCs w:val="24"/>
        </w:rPr>
        <w:br w:type="page"/>
      </w:r>
    </w:p>
    <w:p>
      <w:pPr>
        <w:pStyle w:val="2"/>
        <w:spacing w:line="480" w:lineRule="auto"/>
        <w:jc w:val="left"/>
        <w:rPr>
          <w:rFonts w:ascii="Times New Roman" w:hAnsi="Times New Roman" w:cs="Times New Roman"/>
          <w:color w:val="auto"/>
          <w:sz w:val="24"/>
          <w:szCs w:val="24"/>
        </w:rPr>
      </w:pPr>
      <w:bookmarkStart w:id="0" w:name="_Toc6838"/>
      <w:r>
        <w:rPr>
          <w:rFonts w:ascii="Times New Roman" w:hAnsi="Times New Roman" w:cs="Times New Roman"/>
          <w:color w:val="auto"/>
          <w:sz w:val="24"/>
          <w:szCs w:val="24"/>
        </w:rPr>
        <w:t>Executive Summary</w:t>
      </w:r>
      <w:bookmarkEnd w:id="0"/>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In an effort to ensure the realization of United Nations Sustainable Development Goal number 6 goal of clean water and sanitation, the United Kingdom government has put in place a number of initiatives. The initiatives have resulted in significant outcomes that have helped in improving the country’s water scarcity issues. From a different perspective, the initiatives have been established as the government’s way of directing community social responsibility activities and enabling collaboration between public and private sectors towards the delivery of social services. This study systematically reviews three of UK government’s SDG-6 related initiatives and discusses the associated CSR characteristics and features. </w:t>
      </w:r>
    </w:p>
    <w:p>
      <w:pPr>
        <w:spacing w:line="480" w:lineRule="auto"/>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hAnsi="Times New Roman" w:cs="Times New Roman" w:eastAsiaTheme="minorHAnsi"/>
          <w:b w:val="0"/>
          <w:bCs w:val="0"/>
          <w:color w:val="auto"/>
          <w:sz w:val="24"/>
          <w:szCs w:val="24"/>
          <w:lang w:val="en-GB" w:eastAsia="en-US"/>
        </w:rPr>
        <w:id w:val="-887799992"/>
        <w:docPartObj>
          <w:docPartGallery w:val="Table of Contents"/>
          <w:docPartUnique/>
        </w:docPartObj>
      </w:sdtPr>
      <w:sdtEndPr>
        <w:rPr>
          <w:rFonts w:ascii="Times New Roman" w:hAnsi="Times New Roman" w:cs="Times New Roman" w:eastAsiaTheme="minorHAnsi"/>
          <w:b w:val="0"/>
          <w:bCs w:val="0"/>
          <w:color w:val="auto"/>
          <w:sz w:val="24"/>
          <w:szCs w:val="24"/>
          <w:lang w:val="en-GB" w:eastAsia="en-US"/>
        </w:rPr>
      </w:sdtEndPr>
      <w:sdtContent>
        <w:p>
          <w:pPr>
            <w:pStyle w:val="17"/>
            <w:spacing w:line="48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pPr>
            <w:pStyle w:val="7"/>
            <w:tabs>
              <w:tab w:val="right" w:leader="dot" w:pos="9026"/>
            </w:tabs>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rPr>
              <w:rFonts w:ascii="Times New Roman" w:hAnsi="Times New Roman" w:cs="Times New Roman"/>
              <w:szCs w:val="24"/>
            </w:rPr>
            <w:fldChar w:fldCharType="begin"/>
          </w:r>
          <w:r>
            <w:rPr>
              <w:rFonts w:ascii="Times New Roman" w:hAnsi="Times New Roman" w:cs="Times New Roman"/>
              <w:szCs w:val="24"/>
            </w:rPr>
            <w:instrText xml:space="preserve"> HYPERLINK \l _Toc6838 </w:instrText>
          </w:r>
          <w:r>
            <w:rPr>
              <w:rFonts w:ascii="Times New Roman" w:hAnsi="Times New Roman" w:cs="Times New Roman"/>
              <w:szCs w:val="24"/>
            </w:rPr>
            <w:fldChar w:fldCharType="separate"/>
          </w:r>
          <w:r>
            <w:rPr>
              <w:rFonts w:ascii="Times New Roman" w:hAnsi="Times New Roman" w:cs="Times New Roman"/>
              <w:szCs w:val="24"/>
            </w:rPr>
            <w:t>Executive Summary</w:t>
          </w:r>
          <w:r>
            <w:tab/>
          </w:r>
          <w:r>
            <w:fldChar w:fldCharType="begin"/>
          </w:r>
          <w:r>
            <w:instrText xml:space="preserve"> PAGEREF _Toc6838 </w:instrText>
          </w:r>
          <w:r>
            <w:fldChar w:fldCharType="separate"/>
          </w:r>
          <w:r>
            <w:t>2</w:t>
          </w:r>
          <w:r>
            <w:fldChar w:fldCharType="end"/>
          </w:r>
          <w:r>
            <w:rPr>
              <w:rFonts w:ascii="Times New Roman" w:hAnsi="Times New Roman" w:cs="Times New Roman"/>
              <w:szCs w:val="24"/>
            </w:rPr>
            <w:fldChar w:fldCharType="end"/>
          </w:r>
        </w:p>
        <w:p>
          <w:pPr>
            <w:pStyle w:val="7"/>
            <w:tabs>
              <w:tab w:val="right" w:leader="dot" w:pos="9026"/>
            </w:tabs>
          </w:pPr>
          <w:r>
            <w:rPr>
              <w:rFonts w:ascii="Times New Roman" w:hAnsi="Times New Roman" w:cs="Times New Roman"/>
              <w:bCs/>
              <w:szCs w:val="24"/>
            </w:rPr>
            <w:fldChar w:fldCharType="begin"/>
          </w:r>
          <w:r>
            <w:rPr>
              <w:rFonts w:ascii="Times New Roman" w:hAnsi="Times New Roman" w:cs="Times New Roman"/>
              <w:bCs/>
              <w:szCs w:val="24"/>
            </w:rPr>
            <w:instrText xml:space="preserve"> HYPERLINK \l _Toc24505 </w:instrText>
          </w:r>
          <w:r>
            <w:rPr>
              <w:rFonts w:ascii="Times New Roman" w:hAnsi="Times New Roman" w:cs="Times New Roman"/>
              <w:bCs/>
              <w:szCs w:val="24"/>
            </w:rPr>
            <w:fldChar w:fldCharType="separate"/>
          </w:r>
          <w:r>
            <w:rPr>
              <w:rFonts w:ascii="Times New Roman" w:hAnsi="Times New Roman" w:cs="Times New Roman"/>
              <w:szCs w:val="24"/>
            </w:rPr>
            <w:t>1.0 Introduction</w:t>
          </w:r>
          <w:r>
            <w:tab/>
          </w:r>
          <w:r>
            <w:fldChar w:fldCharType="begin"/>
          </w:r>
          <w:r>
            <w:instrText xml:space="preserve"> PAGEREF _Toc24505 </w:instrText>
          </w:r>
          <w:r>
            <w:fldChar w:fldCharType="separate"/>
          </w:r>
          <w:r>
            <w:t>4</w:t>
          </w:r>
          <w:r>
            <w:fldChar w:fldCharType="end"/>
          </w:r>
          <w:r>
            <w:rPr>
              <w:rFonts w:ascii="Times New Roman" w:hAnsi="Times New Roman" w:cs="Times New Roman"/>
              <w:bCs/>
              <w:szCs w:val="24"/>
            </w:rPr>
            <w:fldChar w:fldCharType="end"/>
          </w:r>
        </w:p>
        <w:p>
          <w:pPr>
            <w:pStyle w:val="7"/>
            <w:tabs>
              <w:tab w:val="right" w:leader="dot" w:pos="9026"/>
            </w:tabs>
          </w:pPr>
          <w:r>
            <w:rPr>
              <w:rFonts w:ascii="Times New Roman" w:hAnsi="Times New Roman" w:cs="Times New Roman"/>
              <w:bCs/>
              <w:szCs w:val="24"/>
            </w:rPr>
            <w:fldChar w:fldCharType="begin"/>
          </w:r>
          <w:r>
            <w:rPr>
              <w:rFonts w:ascii="Times New Roman" w:hAnsi="Times New Roman" w:cs="Times New Roman"/>
              <w:bCs/>
              <w:szCs w:val="24"/>
            </w:rPr>
            <w:instrText xml:space="preserve"> HYPERLINK \l _Toc31899 </w:instrText>
          </w:r>
          <w:r>
            <w:rPr>
              <w:rFonts w:ascii="Times New Roman" w:hAnsi="Times New Roman" w:cs="Times New Roman"/>
              <w:bCs/>
              <w:szCs w:val="24"/>
            </w:rPr>
            <w:fldChar w:fldCharType="separate"/>
          </w:r>
          <w:r>
            <w:rPr>
              <w:rFonts w:ascii="Times New Roman" w:hAnsi="Times New Roman" w:cs="Times New Roman"/>
              <w:szCs w:val="24"/>
            </w:rPr>
            <w:t>2.0 Method</w:t>
          </w:r>
          <w:r>
            <w:tab/>
          </w:r>
          <w:r>
            <w:fldChar w:fldCharType="begin"/>
          </w:r>
          <w:r>
            <w:instrText xml:space="preserve"> PAGEREF _Toc31899 </w:instrText>
          </w:r>
          <w:r>
            <w:fldChar w:fldCharType="separate"/>
          </w:r>
          <w:r>
            <w:t>5</w:t>
          </w:r>
          <w:r>
            <w:fldChar w:fldCharType="end"/>
          </w:r>
          <w:r>
            <w:rPr>
              <w:rFonts w:ascii="Times New Roman" w:hAnsi="Times New Roman" w:cs="Times New Roman"/>
              <w:bCs/>
              <w:szCs w:val="24"/>
            </w:rPr>
            <w:fldChar w:fldCharType="end"/>
          </w:r>
        </w:p>
        <w:p>
          <w:pPr>
            <w:pStyle w:val="7"/>
            <w:tabs>
              <w:tab w:val="right" w:leader="dot" w:pos="9026"/>
            </w:tabs>
          </w:pPr>
          <w:r>
            <w:rPr>
              <w:rFonts w:ascii="Times New Roman" w:hAnsi="Times New Roman" w:cs="Times New Roman"/>
              <w:bCs/>
              <w:szCs w:val="24"/>
            </w:rPr>
            <w:fldChar w:fldCharType="begin"/>
          </w:r>
          <w:r>
            <w:rPr>
              <w:rFonts w:ascii="Times New Roman" w:hAnsi="Times New Roman" w:cs="Times New Roman"/>
              <w:bCs/>
              <w:szCs w:val="24"/>
            </w:rPr>
            <w:instrText xml:space="preserve"> HYPERLINK \l _Toc23337 </w:instrText>
          </w:r>
          <w:r>
            <w:rPr>
              <w:rFonts w:ascii="Times New Roman" w:hAnsi="Times New Roman" w:cs="Times New Roman"/>
              <w:bCs/>
              <w:szCs w:val="24"/>
            </w:rPr>
            <w:fldChar w:fldCharType="separate"/>
          </w:r>
          <w:r>
            <w:rPr>
              <w:rFonts w:ascii="Times New Roman" w:hAnsi="Times New Roman" w:cs="Times New Roman"/>
              <w:szCs w:val="24"/>
            </w:rPr>
            <w:t>3.0 Findings</w:t>
          </w:r>
          <w:r>
            <w:tab/>
          </w:r>
          <w:r>
            <w:fldChar w:fldCharType="begin"/>
          </w:r>
          <w:r>
            <w:instrText xml:space="preserve"> PAGEREF _Toc23337 </w:instrText>
          </w:r>
          <w:r>
            <w:fldChar w:fldCharType="separate"/>
          </w:r>
          <w:r>
            <w:t>5</w:t>
          </w:r>
          <w:r>
            <w:fldChar w:fldCharType="end"/>
          </w:r>
          <w:r>
            <w:rPr>
              <w:rFonts w:ascii="Times New Roman" w:hAnsi="Times New Roman" w:cs="Times New Roman"/>
              <w:bCs/>
              <w:szCs w:val="24"/>
            </w:rPr>
            <w:fldChar w:fldCharType="end"/>
          </w:r>
        </w:p>
        <w:p>
          <w:pPr>
            <w:pStyle w:val="8"/>
            <w:tabs>
              <w:tab w:val="right" w:leader="dot" w:pos="9026"/>
            </w:tabs>
          </w:pPr>
          <w:r>
            <w:rPr>
              <w:rFonts w:ascii="Times New Roman" w:hAnsi="Times New Roman" w:cs="Times New Roman"/>
              <w:bCs/>
              <w:szCs w:val="24"/>
            </w:rPr>
            <w:fldChar w:fldCharType="begin"/>
          </w:r>
          <w:r>
            <w:rPr>
              <w:rFonts w:ascii="Times New Roman" w:hAnsi="Times New Roman" w:cs="Times New Roman"/>
              <w:bCs/>
              <w:szCs w:val="24"/>
            </w:rPr>
            <w:instrText xml:space="preserve"> HYPERLINK \l _Toc29971 </w:instrText>
          </w:r>
          <w:r>
            <w:rPr>
              <w:rFonts w:ascii="Times New Roman" w:hAnsi="Times New Roman" w:cs="Times New Roman"/>
              <w:bCs/>
              <w:szCs w:val="24"/>
            </w:rPr>
            <w:fldChar w:fldCharType="separate"/>
          </w:r>
          <w:r>
            <w:rPr>
              <w:rFonts w:hint="default" w:ascii="Times New Roman" w:hAnsi="Times New Roman" w:cs="Times New Roman"/>
              <w:szCs w:val="24"/>
            </w:rPr>
            <w:t xml:space="preserve">3.1 </w:t>
          </w:r>
          <w:r>
            <w:rPr>
              <w:rFonts w:ascii="Times New Roman" w:hAnsi="Times New Roman" w:cs="Times New Roman"/>
              <w:szCs w:val="24"/>
            </w:rPr>
            <w:t>DEFRA Consultation</w:t>
          </w:r>
          <w:r>
            <w:tab/>
          </w:r>
          <w:r>
            <w:fldChar w:fldCharType="begin"/>
          </w:r>
          <w:r>
            <w:instrText xml:space="preserve"> PAGEREF _Toc29971 </w:instrText>
          </w:r>
          <w:r>
            <w:fldChar w:fldCharType="separate"/>
          </w:r>
          <w:r>
            <w:t>5</w:t>
          </w:r>
          <w:r>
            <w:fldChar w:fldCharType="end"/>
          </w:r>
          <w:r>
            <w:rPr>
              <w:rFonts w:ascii="Times New Roman" w:hAnsi="Times New Roman" w:cs="Times New Roman"/>
              <w:bCs/>
              <w:szCs w:val="24"/>
            </w:rPr>
            <w:fldChar w:fldCharType="end"/>
          </w:r>
        </w:p>
        <w:p>
          <w:pPr>
            <w:pStyle w:val="8"/>
            <w:tabs>
              <w:tab w:val="right" w:leader="dot" w:pos="9026"/>
            </w:tabs>
          </w:pPr>
          <w:r>
            <w:rPr>
              <w:rFonts w:ascii="Times New Roman" w:hAnsi="Times New Roman" w:cs="Times New Roman"/>
              <w:bCs/>
              <w:szCs w:val="24"/>
            </w:rPr>
            <w:fldChar w:fldCharType="begin"/>
          </w:r>
          <w:r>
            <w:rPr>
              <w:rFonts w:ascii="Times New Roman" w:hAnsi="Times New Roman" w:cs="Times New Roman"/>
              <w:bCs/>
              <w:szCs w:val="24"/>
            </w:rPr>
            <w:instrText xml:space="preserve"> HYPERLINK \l _Toc18180 </w:instrText>
          </w:r>
          <w:r>
            <w:rPr>
              <w:rFonts w:ascii="Times New Roman" w:hAnsi="Times New Roman" w:cs="Times New Roman"/>
              <w:bCs/>
              <w:szCs w:val="24"/>
            </w:rPr>
            <w:fldChar w:fldCharType="separate"/>
          </w:r>
          <w:r>
            <w:rPr>
              <w:rFonts w:hint="default" w:ascii="Times New Roman" w:hAnsi="Times New Roman" w:cs="Times New Roman"/>
              <w:szCs w:val="24"/>
            </w:rPr>
            <w:t xml:space="preserve">3.2 </w:t>
          </w:r>
          <w:r>
            <w:rPr>
              <w:rFonts w:ascii="Times New Roman" w:hAnsi="Times New Roman" w:cs="Times New Roman"/>
              <w:szCs w:val="24"/>
            </w:rPr>
            <w:t>‘Love your River’ Initiative</w:t>
          </w:r>
          <w:r>
            <w:tab/>
          </w:r>
          <w:r>
            <w:fldChar w:fldCharType="begin"/>
          </w:r>
          <w:r>
            <w:instrText xml:space="preserve"> PAGEREF _Toc18180 </w:instrText>
          </w:r>
          <w:r>
            <w:fldChar w:fldCharType="separate"/>
          </w:r>
          <w:r>
            <w:t>7</w:t>
          </w:r>
          <w:r>
            <w:fldChar w:fldCharType="end"/>
          </w:r>
          <w:r>
            <w:rPr>
              <w:rFonts w:ascii="Times New Roman" w:hAnsi="Times New Roman" w:cs="Times New Roman"/>
              <w:bCs/>
              <w:szCs w:val="24"/>
            </w:rPr>
            <w:fldChar w:fldCharType="end"/>
          </w:r>
        </w:p>
        <w:p>
          <w:pPr>
            <w:pStyle w:val="8"/>
            <w:tabs>
              <w:tab w:val="right" w:leader="dot" w:pos="9026"/>
            </w:tabs>
          </w:pPr>
          <w:r>
            <w:rPr>
              <w:rFonts w:ascii="Times New Roman" w:hAnsi="Times New Roman" w:cs="Times New Roman"/>
              <w:bCs/>
              <w:szCs w:val="24"/>
            </w:rPr>
            <w:fldChar w:fldCharType="begin"/>
          </w:r>
          <w:r>
            <w:rPr>
              <w:rFonts w:ascii="Times New Roman" w:hAnsi="Times New Roman" w:cs="Times New Roman"/>
              <w:bCs/>
              <w:szCs w:val="24"/>
            </w:rPr>
            <w:instrText xml:space="preserve"> HYPERLINK \l _Toc28882 </w:instrText>
          </w:r>
          <w:r>
            <w:rPr>
              <w:rFonts w:ascii="Times New Roman" w:hAnsi="Times New Roman" w:cs="Times New Roman"/>
              <w:bCs/>
              <w:szCs w:val="24"/>
            </w:rPr>
            <w:fldChar w:fldCharType="separate"/>
          </w:r>
          <w:r>
            <w:rPr>
              <w:rFonts w:ascii="Times New Roman" w:hAnsi="Times New Roman" w:cs="Times New Roman"/>
              <w:szCs w:val="24"/>
            </w:rPr>
            <w:t>3.3 ‘Tap Into Savings’ Initiative</w:t>
          </w:r>
          <w:r>
            <w:tab/>
          </w:r>
          <w:r>
            <w:fldChar w:fldCharType="begin"/>
          </w:r>
          <w:r>
            <w:instrText xml:space="preserve"> PAGEREF _Toc28882 </w:instrText>
          </w:r>
          <w:r>
            <w:fldChar w:fldCharType="separate"/>
          </w:r>
          <w:r>
            <w:t>9</w:t>
          </w:r>
          <w:r>
            <w:fldChar w:fldCharType="end"/>
          </w:r>
          <w:r>
            <w:rPr>
              <w:rFonts w:ascii="Times New Roman" w:hAnsi="Times New Roman" w:cs="Times New Roman"/>
              <w:bCs/>
              <w:szCs w:val="24"/>
            </w:rPr>
            <w:fldChar w:fldCharType="end"/>
          </w:r>
        </w:p>
        <w:p>
          <w:pPr>
            <w:pStyle w:val="7"/>
            <w:tabs>
              <w:tab w:val="right" w:leader="dot" w:pos="9026"/>
            </w:tabs>
          </w:pPr>
          <w:r>
            <w:rPr>
              <w:rFonts w:ascii="Times New Roman" w:hAnsi="Times New Roman" w:cs="Times New Roman"/>
              <w:bCs/>
              <w:szCs w:val="24"/>
            </w:rPr>
            <w:fldChar w:fldCharType="begin"/>
          </w:r>
          <w:r>
            <w:rPr>
              <w:rFonts w:ascii="Times New Roman" w:hAnsi="Times New Roman" w:cs="Times New Roman"/>
              <w:bCs/>
              <w:szCs w:val="24"/>
            </w:rPr>
            <w:instrText xml:space="preserve"> HYPERLINK \l _Toc22646 </w:instrText>
          </w:r>
          <w:r>
            <w:rPr>
              <w:rFonts w:ascii="Times New Roman" w:hAnsi="Times New Roman" w:cs="Times New Roman"/>
              <w:bCs/>
              <w:szCs w:val="24"/>
            </w:rPr>
            <w:fldChar w:fldCharType="separate"/>
          </w:r>
          <w:r>
            <w:rPr>
              <w:rFonts w:ascii="Times New Roman" w:hAnsi="Times New Roman" w:cs="Times New Roman"/>
              <w:szCs w:val="24"/>
            </w:rPr>
            <w:t>4.0 Discussion</w:t>
          </w:r>
          <w:r>
            <w:tab/>
          </w:r>
          <w:r>
            <w:fldChar w:fldCharType="begin"/>
          </w:r>
          <w:r>
            <w:instrText xml:space="preserve"> PAGEREF _Toc22646 </w:instrText>
          </w:r>
          <w:r>
            <w:fldChar w:fldCharType="separate"/>
          </w:r>
          <w:r>
            <w:t>11</w:t>
          </w:r>
          <w:r>
            <w:fldChar w:fldCharType="end"/>
          </w:r>
          <w:r>
            <w:rPr>
              <w:rFonts w:ascii="Times New Roman" w:hAnsi="Times New Roman" w:cs="Times New Roman"/>
              <w:bCs/>
              <w:szCs w:val="24"/>
            </w:rPr>
            <w:fldChar w:fldCharType="end"/>
          </w:r>
        </w:p>
        <w:p>
          <w:pPr>
            <w:pStyle w:val="7"/>
            <w:tabs>
              <w:tab w:val="right" w:leader="dot" w:pos="9026"/>
            </w:tabs>
          </w:pPr>
          <w:r>
            <w:rPr>
              <w:rFonts w:ascii="Times New Roman" w:hAnsi="Times New Roman" w:cs="Times New Roman"/>
              <w:bCs/>
              <w:szCs w:val="24"/>
            </w:rPr>
            <w:fldChar w:fldCharType="begin"/>
          </w:r>
          <w:r>
            <w:rPr>
              <w:rFonts w:ascii="Times New Roman" w:hAnsi="Times New Roman" w:cs="Times New Roman"/>
              <w:bCs/>
              <w:szCs w:val="24"/>
            </w:rPr>
            <w:instrText xml:space="preserve"> HYPERLINK \l _Toc26253 </w:instrText>
          </w:r>
          <w:r>
            <w:rPr>
              <w:rFonts w:ascii="Times New Roman" w:hAnsi="Times New Roman" w:cs="Times New Roman"/>
              <w:bCs/>
              <w:szCs w:val="24"/>
            </w:rPr>
            <w:fldChar w:fldCharType="separate"/>
          </w:r>
          <w:r>
            <w:rPr>
              <w:rFonts w:ascii="Times New Roman" w:hAnsi="Times New Roman" w:cs="Times New Roman"/>
              <w:szCs w:val="24"/>
            </w:rPr>
            <w:t>5.0 Conclusion</w:t>
          </w:r>
          <w:r>
            <w:tab/>
          </w:r>
          <w:r>
            <w:fldChar w:fldCharType="begin"/>
          </w:r>
          <w:r>
            <w:instrText xml:space="preserve"> PAGEREF _Toc26253 </w:instrText>
          </w:r>
          <w:r>
            <w:fldChar w:fldCharType="separate"/>
          </w:r>
          <w:r>
            <w:t>13</w:t>
          </w:r>
          <w:r>
            <w:fldChar w:fldCharType="end"/>
          </w:r>
          <w:r>
            <w:rPr>
              <w:rFonts w:ascii="Times New Roman" w:hAnsi="Times New Roman" w:cs="Times New Roman"/>
              <w:bCs/>
              <w:szCs w:val="24"/>
            </w:rPr>
            <w:fldChar w:fldCharType="end"/>
          </w:r>
        </w:p>
        <w:p>
          <w:pPr>
            <w:pStyle w:val="7"/>
            <w:tabs>
              <w:tab w:val="right" w:leader="dot" w:pos="9026"/>
            </w:tabs>
          </w:pPr>
          <w:r>
            <w:rPr>
              <w:rFonts w:ascii="Times New Roman" w:hAnsi="Times New Roman" w:cs="Times New Roman"/>
              <w:bCs/>
              <w:szCs w:val="24"/>
            </w:rPr>
            <w:fldChar w:fldCharType="begin"/>
          </w:r>
          <w:r>
            <w:rPr>
              <w:rFonts w:ascii="Times New Roman" w:hAnsi="Times New Roman" w:cs="Times New Roman"/>
              <w:bCs/>
              <w:szCs w:val="24"/>
            </w:rPr>
            <w:instrText xml:space="preserve"> HYPERLINK \l _Toc20658 </w:instrText>
          </w:r>
          <w:r>
            <w:rPr>
              <w:rFonts w:ascii="Times New Roman" w:hAnsi="Times New Roman" w:cs="Times New Roman"/>
              <w:bCs/>
              <w:szCs w:val="24"/>
            </w:rPr>
            <w:fldChar w:fldCharType="separate"/>
          </w:r>
          <w:r>
            <w:rPr>
              <w:rFonts w:hint="default" w:ascii="Times New Roman" w:hAnsi="Times New Roman" w:cs="Times New Roman"/>
              <w:szCs w:val="24"/>
              <w:lang w:val="en-GB"/>
            </w:rPr>
            <w:t>6</w:t>
          </w:r>
          <w:r>
            <w:rPr>
              <w:rFonts w:ascii="Times New Roman" w:hAnsi="Times New Roman" w:cs="Times New Roman"/>
              <w:szCs w:val="24"/>
            </w:rPr>
            <w:t>.0 Recommendations</w:t>
          </w:r>
          <w:r>
            <w:tab/>
          </w:r>
          <w:r>
            <w:fldChar w:fldCharType="begin"/>
          </w:r>
          <w:r>
            <w:instrText xml:space="preserve"> PAGEREF _Toc20658 </w:instrText>
          </w:r>
          <w:r>
            <w:fldChar w:fldCharType="separate"/>
          </w:r>
          <w:r>
            <w:t>14</w:t>
          </w:r>
          <w:r>
            <w:fldChar w:fldCharType="end"/>
          </w:r>
          <w:r>
            <w:rPr>
              <w:rFonts w:ascii="Times New Roman" w:hAnsi="Times New Roman" w:cs="Times New Roman"/>
              <w:bCs/>
              <w:szCs w:val="24"/>
            </w:rPr>
            <w:fldChar w:fldCharType="end"/>
          </w:r>
        </w:p>
        <w:p>
          <w:pPr>
            <w:pStyle w:val="7"/>
            <w:tabs>
              <w:tab w:val="right" w:leader="dot" w:pos="9026"/>
            </w:tabs>
          </w:pPr>
          <w:r>
            <w:rPr>
              <w:rFonts w:ascii="Times New Roman" w:hAnsi="Times New Roman" w:cs="Times New Roman"/>
              <w:bCs/>
              <w:szCs w:val="24"/>
            </w:rPr>
            <w:fldChar w:fldCharType="begin"/>
          </w:r>
          <w:r>
            <w:rPr>
              <w:rFonts w:ascii="Times New Roman" w:hAnsi="Times New Roman" w:cs="Times New Roman"/>
              <w:bCs/>
              <w:szCs w:val="24"/>
            </w:rPr>
            <w:instrText xml:space="preserve"> HYPERLINK \l _Toc27318 </w:instrText>
          </w:r>
          <w:r>
            <w:rPr>
              <w:rFonts w:ascii="Times New Roman" w:hAnsi="Times New Roman" w:cs="Times New Roman"/>
              <w:bCs/>
              <w:szCs w:val="24"/>
            </w:rPr>
            <w:fldChar w:fldCharType="separate"/>
          </w:r>
          <w:r>
            <w:rPr>
              <w:rFonts w:hint="default" w:ascii="Times New Roman" w:hAnsi="Times New Roman" w:cs="Times New Roman"/>
              <w:szCs w:val="24"/>
              <w:lang w:val="en-GB"/>
            </w:rPr>
            <w:t>7</w:t>
          </w:r>
          <w:r>
            <w:rPr>
              <w:rFonts w:ascii="Times New Roman" w:hAnsi="Times New Roman" w:cs="Times New Roman"/>
              <w:szCs w:val="24"/>
            </w:rPr>
            <w:t>.0 References</w:t>
          </w:r>
          <w:r>
            <w:tab/>
          </w:r>
          <w:r>
            <w:fldChar w:fldCharType="begin"/>
          </w:r>
          <w:r>
            <w:instrText xml:space="preserve"> PAGEREF _Toc27318 </w:instrText>
          </w:r>
          <w:r>
            <w:fldChar w:fldCharType="separate"/>
          </w:r>
          <w:r>
            <w:t>15</w:t>
          </w:r>
          <w:r>
            <w:fldChar w:fldCharType="end"/>
          </w:r>
          <w:r>
            <w:rPr>
              <w:rFonts w:ascii="Times New Roman" w:hAnsi="Times New Roman" w:cs="Times New Roman"/>
              <w:bCs/>
              <w:szCs w:val="24"/>
            </w:rPr>
            <w:fldChar w:fldCharType="end"/>
          </w:r>
        </w:p>
        <w:p>
          <w:pPr>
            <w:spacing w:line="480" w:lineRule="auto"/>
            <w:rPr>
              <w:rFonts w:ascii="Times New Roman" w:hAnsi="Times New Roman" w:cs="Times New Roman"/>
              <w:sz w:val="24"/>
              <w:szCs w:val="24"/>
            </w:rPr>
          </w:pPr>
          <w:r>
            <w:rPr>
              <w:rFonts w:ascii="Times New Roman" w:hAnsi="Times New Roman" w:cs="Times New Roman"/>
              <w:bCs/>
              <w:szCs w:val="24"/>
            </w:rPr>
            <w:fldChar w:fldCharType="end"/>
          </w:r>
        </w:p>
      </w:sdtContent>
    </w:sdt>
    <w:p>
      <w:pPr>
        <w:pStyle w:val="2"/>
        <w:spacing w:line="480" w:lineRule="auto"/>
        <w:rPr>
          <w:rFonts w:ascii="Times New Roman" w:hAnsi="Times New Roman" w:cs="Times New Roman"/>
          <w:color w:val="auto"/>
          <w:sz w:val="24"/>
          <w:szCs w:val="24"/>
        </w:rPr>
      </w:pPr>
    </w:p>
    <w:p>
      <w:pPr>
        <w:pStyle w:val="2"/>
        <w:spacing w:line="480" w:lineRule="auto"/>
        <w:rPr>
          <w:rFonts w:ascii="Times New Roman" w:hAnsi="Times New Roman" w:cs="Times New Roman"/>
          <w:color w:val="auto"/>
          <w:sz w:val="24"/>
          <w:szCs w:val="24"/>
        </w:rPr>
      </w:pPr>
    </w:p>
    <w:p>
      <w:pPr>
        <w:pStyle w:val="2"/>
        <w:spacing w:line="480" w:lineRule="auto"/>
        <w:rPr>
          <w:rFonts w:ascii="Times New Roman" w:hAnsi="Times New Roman" w:cs="Times New Roman"/>
          <w:color w:val="auto"/>
          <w:sz w:val="24"/>
          <w:szCs w:val="24"/>
        </w:rPr>
      </w:pPr>
    </w:p>
    <w:p>
      <w:pPr>
        <w:pStyle w:val="2"/>
        <w:spacing w:line="480" w:lineRule="auto"/>
        <w:rPr>
          <w:rFonts w:ascii="Times New Roman" w:hAnsi="Times New Roman" w:cs="Times New Roman"/>
          <w:color w:val="auto"/>
          <w:sz w:val="24"/>
          <w:szCs w:val="24"/>
        </w:rPr>
      </w:pPr>
    </w:p>
    <w:p>
      <w:pPr>
        <w:pStyle w:val="2"/>
        <w:spacing w:line="480" w:lineRule="auto"/>
        <w:rPr>
          <w:rFonts w:ascii="Times New Roman" w:hAnsi="Times New Roman" w:cs="Times New Roman"/>
          <w:color w:val="auto"/>
          <w:sz w:val="24"/>
          <w:szCs w:val="24"/>
        </w:rPr>
      </w:pPr>
    </w:p>
    <w:p>
      <w:pPr>
        <w:spacing w:line="480" w:lineRule="auto"/>
        <w:rPr>
          <w:rFonts w:ascii="Times New Roman" w:hAnsi="Times New Roman" w:cs="Times New Roman" w:eastAsiaTheme="majorEastAsia"/>
          <w:b/>
          <w:bCs/>
          <w:sz w:val="24"/>
          <w:szCs w:val="24"/>
        </w:rPr>
      </w:pPr>
      <w:r>
        <w:rPr>
          <w:rFonts w:ascii="Times New Roman" w:hAnsi="Times New Roman" w:cs="Times New Roman"/>
          <w:sz w:val="24"/>
          <w:szCs w:val="24"/>
        </w:rPr>
        <w:br w:type="page"/>
      </w:r>
    </w:p>
    <w:p>
      <w:pPr>
        <w:pStyle w:val="2"/>
        <w:spacing w:line="480" w:lineRule="auto"/>
        <w:jc w:val="left"/>
        <w:rPr>
          <w:rFonts w:ascii="Times New Roman" w:hAnsi="Times New Roman" w:cs="Times New Roman"/>
          <w:color w:val="auto"/>
          <w:sz w:val="24"/>
          <w:szCs w:val="24"/>
        </w:rPr>
      </w:pPr>
      <w:bookmarkStart w:id="1" w:name="_Toc24505"/>
      <w:r>
        <w:rPr>
          <w:rFonts w:ascii="Times New Roman" w:hAnsi="Times New Roman" w:cs="Times New Roman"/>
          <w:color w:val="auto"/>
          <w:sz w:val="24"/>
          <w:szCs w:val="24"/>
        </w:rPr>
        <w:t>1.0 Introduction</w:t>
      </w:r>
      <w:bookmarkEnd w:id="1"/>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The United Kingdom (UK) is one of the most active regions in the world in terms of water conservation. As stated by Morley and Lewis (2014), the region’s climate is frequently featured with drought. For example, the country recently experienced a short drought during the 2018 summer. Other major drought events occurred in the region between 2010 and 2012, 2004, 1996, and in 1976 as identified by Parry et al., 2018. According to Rahiz and New (2013), these events mainly result from the numerous water shortages in the country’s public water supply. </w:t>
      </w:r>
    </w:p>
    <w:p>
      <w:pPr>
        <w:spacing w:line="480" w:lineRule="auto"/>
        <w:rPr>
          <w:rFonts w:ascii="Times New Roman" w:hAnsi="Times New Roman" w:cs="Times New Roman"/>
          <w:sz w:val="24"/>
          <w:szCs w:val="24"/>
        </w:rPr>
      </w:pPr>
      <w:r>
        <w:rPr>
          <w:rFonts w:ascii="Times New Roman" w:hAnsi="Times New Roman" w:cs="Times New Roman"/>
          <w:sz w:val="24"/>
          <w:szCs w:val="24"/>
        </w:rPr>
        <w:t>Graymore and Wallis (2010) posit that water efficiency is the major cornerstone in the management of public water supply and water resources. Gleick, Christian-Smith, and Cooley (2011) define water efficiency as a compilation of all efforts that help in the reduction of water wastage. For the sake of global insight on the matter, the United Nations established the sustainable development goal number 6 of clean water and sanitation that aims to increase water efficiency. Also, the UN development goal number 6 aims to ensure the sustainable supply and withdrawal of fresh water to reduce the size of the world’s population that is suffering from the scarcity of water.</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Considering UK’s state of water, the country has taken UN development goal very seriously and is putting in a lot of effort to ensure water efficiency. To explore these efforts in details, this paper carries out a desktop research that identifies the various initiatives related to the UN development goal that the UK government has taken for this cause as presented in existing literature. </w:t>
      </w:r>
    </w:p>
    <w:p>
      <w:pPr>
        <w:spacing w:line="480" w:lineRule="auto"/>
        <w:rPr>
          <w:rFonts w:ascii="Times New Roman" w:hAnsi="Times New Roman" w:cs="Times New Roman"/>
          <w:sz w:val="24"/>
          <w:szCs w:val="24"/>
        </w:rPr>
      </w:pPr>
    </w:p>
    <w:p>
      <w:pPr>
        <w:pStyle w:val="2"/>
        <w:spacing w:line="480" w:lineRule="auto"/>
        <w:jc w:val="left"/>
        <w:rPr>
          <w:rFonts w:ascii="Times New Roman" w:hAnsi="Times New Roman" w:cs="Times New Roman"/>
          <w:color w:val="auto"/>
          <w:sz w:val="24"/>
          <w:szCs w:val="24"/>
        </w:rPr>
      </w:pPr>
      <w:bookmarkStart w:id="2" w:name="_Toc31899"/>
      <w:r>
        <w:rPr>
          <w:rFonts w:ascii="Times New Roman" w:hAnsi="Times New Roman" w:cs="Times New Roman"/>
          <w:color w:val="auto"/>
          <w:sz w:val="24"/>
          <w:szCs w:val="24"/>
        </w:rPr>
        <w:t>2.0 Method</w:t>
      </w:r>
      <w:bookmarkEnd w:id="2"/>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research purely utilises secondary sources of existing literature. It reviews scholarly articles and books as the major sources of information and data. This presents the researcher with a number of advantages such as the ease of access and low cost of acquiring information and data as identified by Samraj (2018). </w:t>
      </w:r>
    </w:p>
    <w:p>
      <w:pPr>
        <w:pStyle w:val="2"/>
        <w:spacing w:line="480" w:lineRule="auto"/>
        <w:jc w:val="left"/>
        <w:rPr>
          <w:rFonts w:ascii="Times New Roman" w:hAnsi="Times New Roman" w:cs="Times New Roman"/>
          <w:color w:val="auto"/>
          <w:sz w:val="24"/>
          <w:szCs w:val="24"/>
        </w:rPr>
      </w:pPr>
      <w:bookmarkStart w:id="3" w:name="_Toc23337"/>
      <w:r>
        <w:rPr>
          <w:rFonts w:ascii="Times New Roman" w:hAnsi="Times New Roman" w:cs="Times New Roman"/>
          <w:color w:val="auto"/>
          <w:sz w:val="24"/>
          <w:szCs w:val="24"/>
        </w:rPr>
        <w:t>3.0 Findings</w:t>
      </w:r>
      <w:bookmarkEnd w:id="3"/>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From the desktop research, the study was able to identify a number of UN sustainable development goal-6 related initiatives that the UK government has put in place in an effort to ensure water efficiency. These include: </w:t>
      </w:r>
    </w:p>
    <w:p>
      <w:pPr>
        <w:pStyle w:val="3"/>
        <w:numPr>
          <w:ilvl w:val="1"/>
          <w:numId w:val="1"/>
        </w:numPr>
        <w:spacing w:line="480" w:lineRule="auto"/>
        <w:rPr>
          <w:rFonts w:ascii="Times New Roman" w:hAnsi="Times New Roman" w:cs="Times New Roman"/>
          <w:color w:val="auto"/>
          <w:sz w:val="24"/>
          <w:szCs w:val="24"/>
        </w:rPr>
      </w:pPr>
      <w:bookmarkStart w:id="4" w:name="_Toc29971"/>
      <w:r>
        <w:rPr>
          <w:rFonts w:ascii="Times New Roman" w:hAnsi="Times New Roman" w:cs="Times New Roman"/>
          <w:color w:val="auto"/>
          <w:sz w:val="24"/>
          <w:szCs w:val="24"/>
        </w:rPr>
        <w:t>DEFRA Consultation</w:t>
      </w:r>
      <w:bookmarkEnd w:id="4"/>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DEFRA is a consultation that was established by the UK government to seek evidence and public views on the various measures that can be taken to reduce the overall personal usage of water (Jack and Petetin, 2018).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As noted by Pankhani and Jenkins (2018), in 2016, it was identified that a “twin-track approach” was needed in the UK to increase the supply of water and to reduce its demand so as to secure the water supplies’ resilience over the next five decades. This approach was supported by various quarters including Murrant et al., (2017) who asserted that to maintain the current resilience levels; the country needed an additional 3,300 million litres of water supply by 2050. To achieve this, it would further need to come up with both supply and demand management measures. It is based on this requirement that the DEFRA consultation was established.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DEFRA was established as part of government efforts to improve its planning and allocation of water resources and to ensure improved collaboration between the water using sectors and the water companies. The initiative aims at developing a national framework that collects and uses evidence to identify challenges of water availability, both at the regional and national levels. According to Cook (2017), the government further uses this evidence to develop legislative improvements that enable the informing of water companies through effective collaboration. </w:t>
      </w:r>
    </w:p>
    <w:p>
      <w:pPr>
        <w:spacing w:line="480" w:lineRule="auto"/>
        <w:rPr>
          <w:rFonts w:ascii="Times New Roman" w:hAnsi="Times New Roman" w:cs="Times New Roman"/>
          <w:sz w:val="24"/>
          <w:szCs w:val="24"/>
        </w:rPr>
      </w:pPr>
      <w:r>
        <w:rPr>
          <w:rFonts w:ascii="Times New Roman" w:hAnsi="Times New Roman" w:cs="Times New Roman"/>
          <w:sz w:val="24"/>
          <w:szCs w:val="24"/>
        </w:rPr>
        <w:t>The DEFRA initiative has been very successful as it has been able to collect loads of insights from water consumers, all of which can help to improve water efficiency in the country upon implementation. For example, as identified by Jones and Comfort (2020),  the entity has developed a number of initiatives for the government on matters of establishing regulations, water efficiency labelling, metering, incentives, rain water harvesting, grey water re-use, supply pipe leakages, and behaviour change and communications. There were however no identifiable failures to the initiatives.</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However, the initiative has not availed any reports to the public on its failures and successes. The table below is developed to show the role, purpose, failures and successes of the initiative.  </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21"/>
        <w:gridCol w:w="46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621" w:type="dxa"/>
          </w:tcPr>
          <w:p>
            <w:pPr>
              <w:spacing w:after="0" w:line="480" w:lineRule="auto"/>
              <w:rPr>
                <w:rFonts w:ascii="Times New Roman" w:hAnsi="Times New Roman" w:cs="Times New Roman"/>
                <w:sz w:val="24"/>
                <w:szCs w:val="24"/>
              </w:rPr>
            </w:pPr>
            <w:r>
              <w:rPr>
                <w:rFonts w:ascii="Times New Roman" w:hAnsi="Times New Roman" w:cs="Times New Roman"/>
                <w:sz w:val="24"/>
                <w:szCs w:val="24"/>
              </w:rPr>
              <w:t>Name of the Initiative</w:t>
            </w:r>
          </w:p>
        </w:tc>
        <w:tc>
          <w:tcPr>
            <w:tcW w:w="4621" w:type="dxa"/>
          </w:tcPr>
          <w:p>
            <w:pPr>
              <w:spacing w:after="0" w:line="480" w:lineRule="auto"/>
              <w:rPr>
                <w:rFonts w:ascii="Times New Roman" w:hAnsi="Times New Roman" w:cs="Times New Roman"/>
                <w:i/>
                <w:sz w:val="24"/>
                <w:szCs w:val="24"/>
              </w:rPr>
            </w:pPr>
            <w:r>
              <w:rPr>
                <w:rFonts w:ascii="Times New Roman" w:hAnsi="Times New Roman" w:cs="Times New Roman"/>
                <w:i/>
                <w:sz w:val="24"/>
                <w:szCs w:val="24"/>
              </w:rPr>
              <w:t>DEFRA Consultations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480" w:lineRule="auto"/>
              <w:rPr>
                <w:rFonts w:ascii="Times New Roman" w:hAnsi="Times New Roman" w:cs="Times New Roman"/>
                <w:sz w:val="24"/>
                <w:szCs w:val="24"/>
              </w:rPr>
            </w:pPr>
            <w:r>
              <w:rPr>
                <w:rFonts w:ascii="Times New Roman" w:hAnsi="Times New Roman" w:cs="Times New Roman"/>
                <w:sz w:val="24"/>
                <w:szCs w:val="24"/>
              </w:rPr>
              <w:t>Parties Involved</w:t>
            </w:r>
          </w:p>
        </w:tc>
        <w:tc>
          <w:tcPr>
            <w:tcW w:w="4621" w:type="dxa"/>
          </w:tcPr>
          <w:p>
            <w:pPr>
              <w:spacing w:after="0" w:line="480" w:lineRule="auto"/>
              <w:rPr>
                <w:rFonts w:ascii="Times New Roman" w:hAnsi="Times New Roman" w:cs="Times New Roman"/>
                <w:i/>
                <w:sz w:val="24"/>
                <w:szCs w:val="24"/>
              </w:rPr>
            </w:pPr>
            <w:r>
              <w:rPr>
                <w:rFonts w:ascii="Times New Roman" w:hAnsi="Times New Roman" w:cs="Times New Roman"/>
                <w:i/>
                <w:sz w:val="24"/>
                <w:szCs w:val="24"/>
              </w:rPr>
              <w:t>Water companies, the public, the government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480" w:lineRule="auto"/>
              <w:rPr>
                <w:rFonts w:ascii="Times New Roman" w:hAnsi="Times New Roman" w:cs="Times New Roman"/>
                <w:sz w:val="24"/>
                <w:szCs w:val="24"/>
              </w:rPr>
            </w:pPr>
            <w:r>
              <w:rPr>
                <w:rFonts w:ascii="Times New Roman" w:hAnsi="Times New Roman" w:cs="Times New Roman"/>
                <w:sz w:val="24"/>
                <w:szCs w:val="24"/>
              </w:rPr>
              <w:t>Role of the public sector</w:t>
            </w:r>
          </w:p>
        </w:tc>
        <w:tc>
          <w:tcPr>
            <w:tcW w:w="4621" w:type="dxa"/>
          </w:tcPr>
          <w:p>
            <w:pPr>
              <w:pStyle w:val="13"/>
              <w:numPr>
                <w:ilvl w:val="0"/>
                <w:numId w:val="2"/>
              </w:numPr>
              <w:spacing w:after="0" w:line="480" w:lineRule="auto"/>
              <w:rPr>
                <w:rFonts w:ascii="Times New Roman" w:hAnsi="Times New Roman" w:cs="Times New Roman"/>
                <w:i/>
                <w:sz w:val="24"/>
                <w:szCs w:val="24"/>
              </w:rPr>
            </w:pPr>
            <w:r>
              <w:rPr>
                <w:rFonts w:ascii="Times New Roman" w:hAnsi="Times New Roman" w:cs="Times New Roman"/>
                <w:i/>
                <w:sz w:val="24"/>
                <w:szCs w:val="24"/>
              </w:rPr>
              <w:t>To encourage the water consumers to share water efficiency insights</w:t>
            </w:r>
          </w:p>
          <w:p>
            <w:pPr>
              <w:pStyle w:val="13"/>
              <w:numPr>
                <w:ilvl w:val="0"/>
                <w:numId w:val="2"/>
              </w:numPr>
              <w:spacing w:after="0" w:line="480" w:lineRule="auto"/>
              <w:rPr>
                <w:rFonts w:ascii="Times New Roman" w:hAnsi="Times New Roman" w:cs="Times New Roman"/>
                <w:i/>
                <w:sz w:val="24"/>
                <w:szCs w:val="24"/>
              </w:rPr>
            </w:pPr>
            <w:r>
              <w:rPr>
                <w:rFonts w:ascii="Times New Roman" w:hAnsi="Times New Roman" w:cs="Times New Roman"/>
                <w:i/>
                <w:sz w:val="24"/>
                <w:szCs w:val="24"/>
              </w:rPr>
              <w:t>To use the collected information to identify water availability problems</w:t>
            </w:r>
          </w:p>
          <w:p>
            <w:pPr>
              <w:pStyle w:val="13"/>
              <w:numPr>
                <w:ilvl w:val="0"/>
                <w:numId w:val="2"/>
              </w:numPr>
              <w:spacing w:after="0" w:line="480" w:lineRule="auto"/>
              <w:rPr>
                <w:rFonts w:ascii="Times New Roman" w:hAnsi="Times New Roman" w:cs="Times New Roman"/>
                <w:i/>
                <w:sz w:val="24"/>
                <w:szCs w:val="24"/>
              </w:rPr>
            </w:pPr>
            <w:r>
              <w:rPr>
                <w:rFonts w:ascii="Times New Roman" w:hAnsi="Times New Roman" w:cs="Times New Roman"/>
                <w:i/>
                <w:sz w:val="24"/>
                <w:szCs w:val="24"/>
              </w:rPr>
              <w:t>To use the evidence to enable collaboration between water suppliers and water consumers</w:t>
            </w:r>
          </w:p>
          <w:p>
            <w:pPr>
              <w:pStyle w:val="13"/>
              <w:numPr>
                <w:ilvl w:val="0"/>
                <w:numId w:val="2"/>
              </w:numPr>
              <w:spacing w:after="0" w:line="480" w:lineRule="auto"/>
              <w:rPr>
                <w:rFonts w:ascii="Times New Roman" w:hAnsi="Times New Roman" w:cs="Times New Roman"/>
                <w:i/>
                <w:sz w:val="24"/>
                <w:szCs w:val="24"/>
              </w:rPr>
            </w:pPr>
            <w:r>
              <w:rPr>
                <w:rFonts w:ascii="Times New Roman" w:hAnsi="Times New Roman" w:cs="Times New Roman"/>
                <w:i/>
                <w:sz w:val="24"/>
                <w:szCs w:val="24"/>
              </w:rPr>
              <w:t>To use the information to enable legislative improvements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480" w:lineRule="auto"/>
              <w:rPr>
                <w:rFonts w:ascii="Times New Roman" w:hAnsi="Times New Roman" w:cs="Times New Roman"/>
                <w:sz w:val="24"/>
                <w:szCs w:val="24"/>
              </w:rPr>
            </w:pPr>
            <w:r>
              <w:rPr>
                <w:rFonts w:ascii="Times New Roman" w:hAnsi="Times New Roman" w:cs="Times New Roman"/>
                <w:sz w:val="24"/>
                <w:szCs w:val="24"/>
              </w:rPr>
              <w:t>Purpose of the Initiative</w:t>
            </w:r>
          </w:p>
        </w:tc>
        <w:tc>
          <w:tcPr>
            <w:tcW w:w="4621" w:type="dxa"/>
          </w:tcPr>
          <w:p>
            <w:pPr>
              <w:spacing w:after="0" w:line="480" w:lineRule="auto"/>
              <w:rPr>
                <w:rFonts w:ascii="Times New Roman" w:hAnsi="Times New Roman" w:cs="Times New Roman"/>
                <w:i/>
                <w:sz w:val="24"/>
                <w:szCs w:val="24"/>
              </w:rPr>
            </w:pPr>
            <w:r>
              <w:rPr>
                <w:rFonts w:ascii="Times New Roman" w:hAnsi="Times New Roman" w:cs="Times New Roman"/>
                <w:i/>
                <w:sz w:val="24"/>
                <w:szCs w:val="24"/>
              </w:rPr>
              <w:t>To seek the evidence and public views on the various measures that can be taken to reduce the overall personal usage of water and to improve water efficiency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480" w:lineRule="auto"/>
              <w:rPr>
                <w:rFonts w:ascii="Times New Roman" w:hAnsi="Times New Roman" w:cs="Times New Roman"/>
                <w:sz w:val="24"/>
                <w:szCs w:val="24"/>
              </w:rPr>
            </w:pPr>
            <w:r>
              <w:rPr>
                <w:rFonts w:ascii="Times New Roman" w:hAnsi="Times New Roman" w:cs="Times New Roman"/>
                <w:sz w:val="24"/>
                <w:szCs w:val="24"/>
              </w:rPr>
              <w:t>Successes of the initiative</w:t>
            </w:r>
          </w:p>
        </w:tc>
        <w:tc>
          <w:tcPr>
            <w:tcW w:w="4621" w:type="dxa"/>
          </w:tcPr>
          <w:p>
            <w:pPr>
              <w:spacing w:after="0" w:line="480" w:lineRule="auto"/>
              <w:rPr>
                <w:rFonts w:ascii="Times New Roman" w:hAnsi="Times New Roman" w:cs="Times New Roman"/>
                <w:i/>
                <w:sz w:val="24"/>
                <w:szCs w:val="24"/>
              </w:rPr>
            </w:pPr>
            <w:r>
              <w:rPr>
                <w:rFonts w:ascii="Times New Roman" w:hAnsi="Times New Roman" w:cs="Times New Roman"/>
                <w:i/>
                <w:sz w:val="24"/>
                <w:szCs w:val="24"/>
              </w:rPr>
              <w:t>Successful development of an array of recommendations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480" w:lineRule="auto"/>
              <w:rPr>
                <w:rFonts w:ascii="Times New Roman" w:hAnsi="Times New Roman" w:cs="Times New Roman"/>
                <w:sz w:val="24"/>
                <w:szCs w:val="24"/>
              </w:rPr>
            </w:pPr>
            <w:r>
              <w:rPr>
                <w:rFonts w:ascii="Times New Roman" w:hAnsi="Times New Roman" w:cs="Times New Roman"/>
                <w:sz w:val="24"/>
                <w:szCs w:val="24"/>
              </w:rPr>
              <w:t>Failures of the initiative</w:t>
            </w:r>
          </w:p>
        </w:tc>
        <w:tc>
          <w:tcPr>
            <w:tcW w:w="4621" w:type="dxa"/>
          </w:tcPr>
          <w:p>
            <w:pPr>
              <w:spacing w:after="0" w:line="480" w:lineRule="auto"/>
              <w:rPr>
                <w:rFonts w:ascii="Times New Roman" w:hAnsi="Times New Roman" w:cs="Times New Roman"/>
                <w:i/>
                <w:sz w:val="24"/>
                <w:szCs w:val="24"/>
              </w:rPr>
            </w:pPr>
            <w:r>
              <w:rPr>
                <w:rFonts w:ascii="Times New Roman" w:hAnsi="Times New Roman" w:cs="Times New Roman"/>
                <w:i/>
                <w:sz w:val="24"/>
                <w:szCs w:val="24"/>
              </w:rPr>
              <w:t>No available documentation of failures</w:t>
            </w:r>
          </w:p>
        </w:tc>
      </w:tr>
    </w:tbl>
    <w:p>
      <w:pPr>
        <w:spacing w:line="480" w:lineRule="auto"/>
        <w:rPr>
          <w:rFonts w:ascii="Times New Roman" w:hAnsi="Times New Roman" w:cs="Times New Roman"/>
          <w:i/>
          <w:sz w:val="24"/>
          <w:szCs w:val="24"/>
        </w:rPr>
      </w:pPr>
      <w:r>
        <w:rPr>
          <w:rFonts w:ascii="Times New Roman" w:hAnsi="Times New Roman" w:cs="Times New Roman"/>
          <w:i/>
          <w:sz w:val="24"/>
          <w:szCs w:val="24"/>
        </w:rPr>
        <w:t>Table 1: Summary of DEFRA Consultation</w:t>
      </w:r>
    </w:p>
    <w:p>
      <w:pPr>
        <w:pStyle w:val="3"/>
        <w:numPr>
          <w:ilvl w:val="1"/>
          <w:numId w:val="1"/>
        </w:numPr>
        <w:spacing w:line="480" w:lineRule="auto"/>
        <w:rPr>
          <w:rFonts w:ascii="Times New Roman" w:hAnsi="Times New Roman" w:cs="Times New Roman"/>
          <w:color w:val="auto"/>
          <w:sz w:val="24"/>
          <w:szCs w:val="24"/>
        </w:rPr>
      </w:pPr>
      <w:bookmarkStart w:id="5" w:name="_Toc18180"/>
      <w:r>
        <w:rPr>
          <w:rFonts w:ascii="Times New Roman" w:hAnsi="Times New Roman" w:cs="Times New Roman"/>
          <w:color w:val="auto"/>
          <w:sz w:val="24"/>
          <w:szCs w:val="24"/>
        </w:rPr>
        <w:t>‘Love your River’ Initiative</w:t>
      </w:r>
      <w:bookmarkEnd w:id="5"/>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‘Love your River’ is a public initiative that was launched in 2012 and that brings together the Environment Agency, the Wildlife Trusts, and the National Trust, as well as the various Water Companies and the Keep Britain Tidy Organization.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The initiative aims at increasing public awareness on water efficiency. To achieve its objectives it requires the public to contemplate and brainstorm on what they can do differently to assist in the protection of the local environment. Its main focus is the manner in which water is used in homes and businesses and how this affects the local rivers. According to (Watson, 2017), the programme seeks to enlighten the public on how their high water usage will result to less water for businesses and people in the future, the damaging effect that the careless usage will have on the natural environment, particularly near the rivers, and how people can get by with less water, specifically in the events of droughts.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Liu, Turner and White (2017) assert that the initiative is an all-inclusive project with a partnership approach, aimed at addressing urban pollution by mainly focusing on the improvement of water quality and all the habitats around the water courses. Additionally, it seeks to improve the protection of the abstractions of drinking water supply. </w:t>
      </w:r>
    </w:p>
    <w:p>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Accordingly, the major role of the public sector in this initiative is funding. The UK government has committed itself to the funding of the major activities of the initiative and has diligently done so since its first project in 2014 (Orr et al., 2018). </w:t>
      </w:r>
    </w:p>
    <w:p>
      <w:pPr>
        <w:spacing w:line="480" w:lineRule="auto"/>
        <w:rPr>
          <w:rFonts w:ascii="Times New Roman" w:hAnsi="Times New Roman" w:cs="Times New Roman"/>
          <w:sz w:val="24"/>
          <w:szCs w:val="24"/>
        </w:rPr>
      </w:pPr>
      <w:r>
        <w:rPr>
          <w:rFonts w:ascii="Times New Roman" w:hAnsi="Times New Roman" w:cs="Times New Roman"/>
          <w:sz w:val="24"/>
          <w:szCs w:val="24"/>
        </w:rPr>
        <w:t>The initiative has had a number of successes. First, as identified by Watson (2019), it has brought together organizations that have similar aspirations and has been able to work with volunteers, businesses, schools, and the local community, and in the process, a number of benefits for both the community and the environment have been realised. There have also been notable improvements in the watercourses of the various areas it has focussed on. Second, the initiative has enabled the achievement of large financial savings for the participating organizations, through the efficient, proactive, and unique approach. For example, as identified by Groenfeldt (2019), the Severn Trent Water Company has been able to save at least £1M through the efforts recommended by this initiative.</w:t>
      </w:r>
    </w:p>
    <w:p>
      <w:pPr>
        <w:spacing w:line="480" w:lineRule="auto"/>
        <w:rPr>
          <w:rFonts w:ascii="Times New Roman" w:hAnsi="Times New Roman" w:cs="Times New Roman"/>
          <w:sz w:val="24"/>
          <w:szCs w:val="24"/>
        </w:rPr>
      </w:pPr>
      <w:r>
        <w:rPr>
          <w:rFonts w:ascii="Times New Roman" w:hAnsi="Times New Roman" w:cs="Times New Roman"/>
          <w:sz w:val="24"/>
          <w:szCs w:val="24"/>
        </w:rPr>
        <w:t>Third, the initiative has successfully attracted beneficial relationships. For example, its various projects have been able to attract much interest from other organizations and from the media. For example, as stated by Hoolohan and Browne (2018), a BBC miniseries was recently completed on the initiative. There is also a blog on the UK government official website in it, further prompting much interest and attention on social media. Additionally, as acknowledged by Ryan and Burton (2016), the initiative was highlighted in 2015 at an International Conference held in Ireland and was given as an example of best government practices. This attention has prompted other governments to show interest in adopting a similar model. There are however no records of the initiative’s failures.</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21"/>
        <w:gridCol w:w="46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480" w:lineRule="auto"/>
              <w:rPr>
                <w:rFonts w:ascii="Times New Roman" w:hAnsi="Times New Roman" w:cs="Times New Roman"/>
                <w:sz w:val="24"/>
                <w:szCs w:val="24"/>
              </w:rPr>
            </w:pPr>
            <w:r>
              <w:rPr>
                <w:rFonts w:ascii="Times New Roman" w:hAnsi="Times New Roman" w:cs="Times New Roman"/>
                <w:sz w:val="24"/>
                <w:szCs w:val="24"/>
              </w:rPr>
              <w:t>Name of the Initiative</w:t>
            </w:r>
          </w:p>
        </w:tc>
        <w:tc>
          <w:tcPr>
            <w:tcW w:w="4621" w:type="dxa"/>
          </w:tcPr>
          <w:p>
            <w:pPr>
              <w:spacing w:after="0" w:line="480" w:lineRule="auto"/>
              <w:rPr>
                <w:rFonts w:ascii="Times New Roman" w:hAnsi="Times New Roman" w:cs="Times New Roman"/>
                <w:i/>
                <w:sz w:val="24"/>
                <w:szCs w:val="24"/>
              </w:rPr>
            </w:pPr>
            <w:r>
              <w:rPr>
                <w:rFonts w:ascii="Times New Roman" w:hAnsi="Times New Roman" w:cs="Times New Roman"/>
                <w:i/>
                <w:sz w:val="24"/>
                <w:szCs w:val="24"/>
              </w:rPr>
              <w:t>Love your River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480" w:lineRule="auto"/>
              <w:rPr>
                <w:rFonts w:ascii="Times New Roman" w:hAnsi="Times New Roman" w:cs="Times New Roman"/>
                <w:sz w:val="24"/>
                <w:szCs w:val="24"/>
              </w:rPr>
            </w:pPr>
            <w:r>
              <w:rPr>
                <w:rFonts w:ascii="Times New Roman" w:hAnsi="Times New Roman" w:cs="Times New Roman"/>
                <w:sz w:val="24"/>
                <w:szCs w:val="24"/>
              </w:rPr>
              <w:t>Parties Involved</w:t>
            </w:r>
          </w:p>
        </w:tc>
        <w:tc>
          <w:tcPr>
            <w:tcW w:w="4621" w:type="dxa"/>
          </w:tcPr>
          <w:p>
            <w:pPr>
              <w:spacing w:after="0" w:line="480" w:lineRule="auto"/>
              <w:rPr>
                <w:rFonts w:ascii="Times New Roman" w:hAnsi="Times New Roman" w:cs="Times New Roman"/>
                <w:i/>
                <w:sz w:val="24"/>
                <w:szCs w:val="24"/>
              </w:rPr>
            </w:pPr>
            <w:r>
              <w:rPr>
                <w:rFonts w:ascii="Times New Roman" w:hAnsi="Times New Roman" w:cs="Times New Roman"/>
                <w:i/>
                <w:sz w:val="24"/>
                <w:szCs w:val="24"/>
              </w:rPr>
              <w:t xml:space="preserve"> Organizations, Non-government Organizations, Water Companies, volunteer groups, the local community, business community, education centres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480" w:lineRule="auto"/>
              <w:rPr>
                <w:rFonts w:ascii="Times New Roman" w:hAnsi="Times New Roman" w:cs="Times New Roman"/>
                <w:sz w:val="24"/>
                <w:szCs w:val="24"/>
              </w:rPr>
            </w:pPr>
            <w:r>
              <w:rPr>
                <w:rFonts w:ascii="Times New Roman" w:hAnsi="Times New Roman" w:cs="Times New Roman"/>
                <w:sz w:val="24"/>
                <w:szCs w:val="24"/>
              </w:rPr>
              <w:t>Role of Public Sector</w:t>
            </w:r>
          </w:p>
        </w:tc>
        <w:tc>
          <w:tcPr>
            <w:tcW w:w="4621" w:type="dxa"/>
          </w:tcPr>
          <w:p>
            <w:pPr>
              <w:spacing w:after="0" w:line="480" w:lineRule="auto"/>
              <w:rPr>
                <w:rFonts w:ascii="Times New Roman" w:hAnsi="Times New Roman" w:cs="Times New Roman"/>
                <w:i/>
                <w:sz w:val="24"/>
                <w:szCs w:val="24"/>
              </w:rPr>
            </w:pPr>
            <w:r>
              <w:rPr>
                <w:rFonts w:ascii="Times New Roman" w:hAnsi="Times New Roman" w:cs="Times New Roman"/>
                <w:i/>
                <w:sz w:val="24"/>
                <w:szCs w:val="24"/>
              </w:rPr>
              <w:t>To provide funding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480" w:lineRule="auto"/>
              <w:rPr>
                <w:rFonts w:ascii="Times New Roman" w:hAnsi="Times New Roman" w:cs="Times New Roman"/>
                <w:sz w:val="24"/>
                <w:szCs w:val="24"/>
              </w:rPr>
            </w:pPr>
            <w:r>
              <w:rPr>
                <w:rFonts w:ascii="Times New Roman" w:hAnsi="Times New Roman" w:cs="Times New Roman"/>
                <w:sz w:val="24"/>
                <w:szCs w:val="24"/>
              </w:rPr>
              <w:t>Purpose of Initiative</w:t>
            </w:r>
          </w:p>
        </w:tc>
        <w:tc>
          <w:tcPr>
            <w:tcW w:w="4621" w:type="dxa"/>
          </w:tcPr>
          <w:p>
            <w:pPr>
              <w:spacing w:after="0" w:line="480" w:lineRule="auto"/>
              <w:rPr>
                <w:rFonts w:ascii="Times New Roman" w:hAnsi="Times New Roman" w:cs="Times New Roman"/>
                <w:i/>
                <w:sz w:val="24"/>
                <w:szCs w:val="24"/>
              </w:rPr>
            </w:pPr>
            <w:r>
              <w:rPr>
                <w:rFonts w:ascii="Times New Roman" w:hAnsi="Times New Roman" w:cs="Times New Roman"/>
                <w:i/>
                <w:sz w:val="24"/>
                <w:szCs w:val="24"/>
              </w:rPr>
              <w:t>To protect inhabitants around water courses</w:t>
            </w:r>
          </w:p>
          <w:p>
            <w:pPr>
              <w:spacing w:after="0" w:line="480" w:lineRule="auto"/>
              <w:rPr>
                <w:rFonts w:ascii="Times New Roman" w:hAnsi="Times New Roman" w:cs="Times New Roman"/>
                <w:i/>
                <w:sz w:val="24"/>
                <w:szCs w:val="24"/>
              </w:rPr>
            </w:pPr>
            <w:r>
              <w:rPr>
                <w:rFonts w:ascii="Times New Roman" w:hAnsi="Times New Roman" w:cs="Times New Roman"/>
                <w:i/>
                <w:sz w:val="24"/>
                <w:szCs w:val="24"/>
              </w:rPr>
              <w:t>To improve water quality and efficiency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480" w:lineRule="auto"/>
              <w:rPr>
                <w:rFonts w:ascii="Times New Roman" w:hAnsi="Times New Roman" w:cs="Times New Roman"/>
                <w:sz w:val="24"/>
                <w:szCs w:val="24"/>
              </w:rPr>
            </w:pPr>
            <w:r>
              <w:rPr>
                <w:rFonts w:ascii="Times New Roman" w:hAnsi="Times New Roman" w:cs="Times New Roman"/>
                <w:sz w:val="24"/>
                <w:szCs w:val="24"/>
              </w:rPr>
              <w:t>Successes of the Initiative</w:t>
            </w:r>
          </w:p>
        </w:tc>
        <w:tc>
          <w:tcPr>
            <w:tcW w:w="4621" w:type="dxa"/>
          </w:tcPr>
          <w:p>
            <w:pPr>
              <w:spacing w:after="0" w:line="480" w:lineRule="auto"/>
              <w:rPr>
                <w:rFonts w:ascii="Times New Roman" w:hAnsi="Times New Roman" w:cs="Times New Roman"/>
                <w:i/>
                <w:sz w:val="24"/>
                <w:szCs w:val="24"/>
              </w:rPr>
            </w:pPr>
            <w:r>
              <w:rPr>
                <w:rFonts w:ascii="Times New Roman" w:hAnsi="Times New Roman" w:cs="Times New Roman"/>
                <w:i/>
                <w:sz w:val="24"/>
                <w:szCs w:val="24"/>
              </w:rPr>
              <w:t>Enhanced organizational collaboration</w:t>
            </w:r>
          </w:p>
          <w:p>
            <w:pPr>
              <w:spacing w:after="0" w:line="480" w:lineRule="auto"/>
              <w:rPr>
                <w:rFonts w:ascii="Times New Roman" w:hAnsi="Times New Roman" w:cs="Times New Roman"/>
                <w:i/>
                <w:sz w:val="24"/>
                <w:szCs w:val="24"/>
              </w:rPr>
            </w:pPr>
            <w:r>
              <w:rPr>
                <w:rFonts w:ascii="Times New Roman" w:hAnsi="Times New Roman" w:cs="Times New Roman"/>
                <w:i/>
                <w:sz w:val="24"/>
                <w:szCs w:val="24"/>
              </w:rPr>
              <w:t>Achieved vast recognition</w:t>
            </w:r>
          </w:p>
          <w:p>
            <w:pPr>
              <w:spacing w:after="0" w:line="480" w:lineRule="auto"/>
              <w:rPr>
                <w:rFonts w:ascii="Times New Roman" w:hAnsi="Times New Roman" w:cs="Times New Roman"/>
                <w:i/>
                <w:sz w:val="24"/>
                <w:szCs w:val="24"/>
              </w:rPr>
            </w:pPr>
            <w:r>
              <w:rPr>
                <w:rFonts w:ascii="Times New Roman" w:hAnsi="Times New Roman" w:cs="Times New Roman"/>
                <w:i/>
                <w:sz w:val="24"/>
                <w:szCs w:val="24"/>
              </w:rPr>
              <w:t>Has enabled huge financial savings for its participants</w:t>
            </w:r>
          </w:p>
        </w:tc>
      </w:tr>
    </w:tbl>
    <w:p>
      <w:pPr>
        <w:spacing w:line="480" w:lineRule="auto"/>
        <w:rPr>
          <w:rFonts w:ascii="Times New Roman" w:hAnsi="Times New Roman" w:cs="Times New Roman"/>
          <w:i/>
          <w:sz w:val="24"/>
          <w:szCs w:val="24"/>
        </w:rPr>
      </w:pPr>
      <w:r>
        <w:rPr>
          <w:rFonts w:ascii="Times New Roman" w:hAnsi="Times New Roman" w:cs="Times New Roman"/>
          <w:i/>
          <w:sz w:val="24"/>
          <w:szCs w:val="24"/>
        </w:rPr>
        <w:t>Table 2: Summary of ‘Love your River’</w:t>
      </w:r>
    </w:p>
    <w:p>
      <w:pPr>
        <w:pStyle w:val="3"/>
        <w:spacing w:line="480" w:lineRule="auto"/>
        <w:rPr>
          <w:rFonts w:ascii="Times New Roman" w:hAnsi="Times New Roman" w:cs="Times New Roman"/>
          <w:color w:val="auto"/>
          <w:sz w:val="24"/>
          <w:szCs w:val="24"/>
        </w:rPr>
      </w:pPr>
      <w:bookmarkStart w:id="6" w:name="_Toc28882"/>
      <w:r>
        <w:rPr>
          <w:rFonts w:ascii="Times New Roman" w:hAnsi="Times New Roman" w:cs="Times New Roman"/>
          <w:color w:val="auto"/>
          <w:sz w:val="24"/>
          <w:szCs w:val="24"/>
        </w:rPr>
        <w:t>3.3 ‘Tap Into Savings’ Initiative</w:t>
      </w:r>
      <w:bookmarkEnd w:id="6"/>
    </w:p>
    <w:p>
      <w:pPr>
        <w:spacing w:before="240" w:line="480" w:lineRule="auto"/>
        <w:rPr>
          <w:rFonts w:ascii="Times New Roman" w:hAnsi="Times New Roman" w:cs="Times New Roman"/>
          <w:sz w:val="24"/>
          <w:szCs w:val="24"/>
        </w:rPr>
      </w:pPr>
      <w:r>
        <w:rPr>
          <w:rFonts w:ascii="Times New Roman" w:hAnsi="Times New Roman" w:cs="Times New Roman"/>
          <w:sz w:val="24"/>
          <w:szCs w:val="24"/>
        </w:rPr>
        <w:t xml:space="preserve">Tap into Savings Initiative, was launched by the UK government in 2010 and ran through to 2011. The project’s aim is to help residents, particularly those living in and neighbouring social housings to save energy, money, and water. According to Manouseli, Kayaga and Kalawsky (2019), during the initiative period, more than 4,500 homes were fitted with free water efficiency devices and advice on efficient use provided. In fact, this was the very first water efficiency program in the country to provide free installation of efficiency devices and to influence pro-environmental behaviours and attitudes.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According to Manouseli, Kayaga and Kalawsky (2017), on average, the ‘Tap into Savings’ programme was able to deliver water savings of 40 litres daily per each of the visited homes. Further, Hoolohan and Browne (2016) noted that the project was able to deliver savings of more than 57 megalitres of clean water annually, and to reduce the emission of gases that trigger climate change by at least 185 tonnes annually. These achievements were mainly funded by the government of the United Kingdom. Various other public sectors in the country played participated in enabling the visiting of the various homes and the provision of the efficiency devices.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main challenge that the initiative encountered was to encourage residents to accept the free home visit offer and to attend the Eco Team meetings. According to Manouseli et al. (2017), to overcome this, the government tailored materials for the different audience, conducted door step recruitments, outreached at community facilities, and used regular media coverage. Local figureheads were also used to draw attention. </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21"/>
        <w:gridCol w:w="46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480" w:lineRule="auto"/>
              <w:rPr>
                <w:rFonts w:ascii="Times New Roman" w:hAnsi="Times New Roman" w:cs="Times New Roman"/>
                <w:sz w:val="24"/>
                <w:szCs w:val="24"/>
              </w:rPr>
            </w:pPr>
            <w:r>
              <w:rPr>
                <w:rFonts w:ascii="Times New Roman" w:hAnsi="Times New Roman" w:cs="Times New Roman"/>
                <w:sz w:val="24"/>
                <w:szCs w:val="24"/>
              </w:rPr>
              <w:t>Name of the Initiative</w:t>
            </w:r>
          </w:p>
        </w:tc>
        <w:tc>
          <w:tcPr>
            <w:tcW w:w="4621" w:type="dxa"/>
          </w:tcPr>
          <w:p>
            <w:pPr>
              <w:spacing w:after="0" w:line="480" w:lineRule="auto"/>
              <w:rPr>
                <w:rFonts w:ascii="Times New Roman" w:hAnsi="Times New Roman" w:cs="Times New Roman"/>
                <w:i/>
                <w:sz w:val="24"/>
                <w:szCs w:val="24"/>
              </w:rPr>
            </w:pPr>
            <w:r>
              <w:rPr>
                <w:rFonts w:ascii="Times New Roman" w:hAnsi="Times New Roman" w:cs="Times New Roman"/>
                <w:i/>
                <w:sz w:val="24"/>
                <w:szCs w:val="24"/>
              </w:rPr>
              <w:t>Tap into Savings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Parties Involved </w:t>
            </w:r>
          </w:p>
        </w:tc>
        <w:tc>
          <w:tcPr>
            <w:tcW w:w="4621" w:type="dxa"/>
          </w:tcPr>
          <w:p>
            <w:pPr>
              <w:spacing w:after="0" w:line="480" w:lineRule="auto"/>
              <w:rPr>
                <w:rFonts w:ascii="Times New Roman" w:hAnsi="Times New Roman" w:cs="Times New Roman"/>
                <w:i/>
                <w:sz w:val="24"/>
                <w:szCs w:val="24"/>
              </w:rPr>
            </w:pPr>
            <w:r>
              <w:rPr>
                <w:rFonts w:ascii="Times New Roman" w:hAnsi="Times New Roman" w:cs="Times New Roman"/>
                <w:i/>
                <w:sz w:val="24"/>
                <w:szCs w:val="24"/>
              </w:rPr>
              <w:t>The government, major public sectors, water companies, the local communities and their figureheads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480" w:lineRule="auto"/>
              <w:rPr>
                <w:rFonts w:ascii="Times New Roman" w:hAnsi="Times New Roman" w:cs="Times New Roman"/>
                <w:sz w:val="24"/>
                <w:szCs w:val="24"/>
              </w:rPr>
            </w:pPr>
            <w:r>
              <w:rPr>
                <w:rFonts w:ascii="Times New Roman" w:hAnsi="Times New Roman" w:cs="Times New Roman"/>
                <w:sz w:val="24"/>
                <w:szCs w:val="24"/>
              </w:rPr>
              <w:t>Role of the public sector</w:t>
            </w:r>
          </w:p>
        </w:tc>
        <w:tc>
          <w:tcPr>
            <w:tcW w:w="4621" w:type="dxa"/>
          </w:tcPr>
          <w:p>
            <w:pPr>
              <w:spacing w:after="0" w:line="480" w:lineRule="auto"/>
              <w:rPr>
                <w:rFonts w:ascii="Times New Roman" w:hAnsi="Times New Roman" w:cs="Times New Roman"/>
                <w:i/>
                <w:sz w:val="24"/>
                <w:szCs w:val="24"/>
              </w:rPr>
            </w:pPr>
            <w:r>
              <w:rPr>
                <w:rFonts w:ascii="Times New Roman" w:hAnsi="Times New Roman" w:cs="Times New Roman"/>
                <w:i/>
                <w:sz w:val="24"/>
                <w:szCs w:val="24"/>
              </w:rPr>
              <w:t>To enable home visits</w:t>
            </w:r>
          </w:p>
          <w:p>
            <w:pPr>
              <w:spacing w:after="0" w:line="480" w:lineRule="auto"/>
              <w:rPr>
                <w:rFonts w:ascii="Times New Roman" w:hAnsi="Times New Roman" w:cs="Times New Roman"/>
                <w:i/>
                <w:sz w:val="24"/>
                <w:szCs w:val="24"/>
              </w:rPr>
            </w:pPr>
            <w:r>
              <w:rPr>
                <w:rFonts w:ascii="Times New Roman" w:hAnsi="Times New Roman" w:cs="Times New Roman"/>
                <w:i/>
                <w:sz w:val="24"/>
                <w:szCs w:val="24"/>
              </w:rPr>
              <w:t>To provide the free devices and advice</w:t>
            </w:r>
          </w:p>
          <w:p>
            <w:pPr>
              <w:spacing w:after="0" w:line="480" w:lineRule="auto"/>
              <w:rPr>
                <w:rFonts w:ascii="Times New Roman" w:hAnsi="Times New Roman" w:cs="Times New Roman"/>
                <w:i/>
                <w:sz w:val="24"/>
                <w:szCs w:val="24"/>
              </w:rPr>
            </w:pPr>
            <w:r>
              <w:rPr>
                <w:rFonts w:ascii="Times New Roman" w:hAnsi="Times New Roman" w:cs="Times New Roman"/>
                <w:i/>
                <w:sz w:val="24"/>
                <w:szCs w:val="24"/>
              </w:rPr>
              <w:t>To arrange and conduct Eco Team meetings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480" w:lineRule="auto"/>
              <w:rPr>
                <w:rFonts w:ascii="Times New Roman" w:hAnsi="Times New Roman" w:cs="Times New Roman"/>
                <w:sz w:val="24"/>
                <w:szCs w:val="24"/>
              </w:rPr>
            </w:pPr>
            <w:r>
              <w:rPr>
                <w:rFonts w:ascii="Times New Roman" w:hAnsi="Times New Roman" w:cs="Times New Roman"/>
                <w:sz w:val="24"/>
                <w:szCs w:val="24"/>
              </w:rPr>
              <w:t xml:space="preserve">Purpose of the Initiative </w:t>
            </w:r>
          </w:p>
        </w:tc>
        <w:tc>
          <w:tcPr>
            <w:tcW w:w="4621" w:type="dxa"/>
          </w:tcPr>
          <w:p>
            <w:pPr>
              <w:spacing w:after="0" w:line="480" w:lineRule="auto"/>
              <w:rPr>
                <w:rFonts w:ascii="Times New Roman" w:hAnsi="Times New Roman" w:cs="Times New Roman"/>
                <w:i/>
                <w:sz w:val="24"/>
                <w:szCs w:val="24"/>
              </w:rPr>
            </w:pPr>
            <w:r>
              <w:rPr>
                <w:rFonts w:ascii="Times New Roman" w:hAnsi="Times New Roman" w:cs="Times New Roman"/>
                <w:i/>
                <w:sz w:val="24"/>
                <w:szCs w:val="24"/>
              </w:rPr>
              <w:t>To provide free water efficiency devices and advice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spacing w:after="0" w:line="480" w:lineRule="auto"/>
              <w:rPr>
                <w:rFonts w:ascii="Times New Roman" w:hAnsi="Times New Roman" w:cs="Times New Roman"/>
                <w:sz w:val="24"/>
                <w:szCs w:val="24"/>
              </w:rPr>
            </w:pPr>
            <w:r>
              <w:rPr>
                <w:rFonts w:ascii="Times New Roman" w:hAnsi="Times New Roman" w:cs="Times New Roman"/>
                <w:sz w:val="24"/>
                <w:szCs w:val="24"/>
              </w:rPr>
              <w:t>Successes</w:t>
            </w:r>
          </w:p>
        </w:tc>
        <w:tc>
          <w:tcPr>
            <w:tcW w:w="4621" w:type="dxa"/>
          </w:tcPr>
          <w:p>
            <w:pPr>
              <w:pStyle w:val="13"/>
              <w:numPr>
                <w:ilvl w:val="0"/>
                <w:numId w:val="3"/>
              </w:numPr>
              <w:spacing w:after="0" w:line="480" w:lineRule="auto"/>
              <w:rPr>
                <w:rFonts w:ascii="Times New Roman" w:hAnsi="Times New Roman" w:cs="Times New Roman"/>
                <w:i/>
                <w:sz w:val="24"/>
                <w:szCs w:val="24"/>
              </w:rPr>
            </w:pPr>
            <w:r>
              <w:rPr>
                <w:rFonts w:ascii="Times New Roman" w:hAnsi="Times New Roman" w:cs="Times New Roman"/>
                <w:i/>
                <w:sz w:val="24"/>
                <w:szCs w:val="24"/>
              </w:rPr>
              <w:t>Was able to deliver savings of more than 57 mega litres of clean water annually</w:t>
            </w:r>
          </w:p>
          <w:p>
            <w:pPr>
              <w:pStyle w:val="13"/>
              <w:numPr>
                <w:ilvl w:val="0"/>
                <w:numId w:val="3"/>
              </w:numPr>
              <w:spacing w:after="0" w:line="480" w:lineRule="auto"/>
              <w:rPr>
                <w:rFonts w:ascii="Times New Roman" w:hAnsi="Times New Roman" w:cs="Times New Roman"/>
                <w:i/>
                <w:sz w:val="24"/>
                <w:szCs w:val="24"/>
              </w:rPr>
            </w:pPr>
            <w:r>
              <w:rPr>
                <w:rFonts w:ascii="Times New Roman" w:hAnsi="Times New Roman" w:cs="Times New Roman"/>
                <w:i/>
                <w:sz w:val="24"/>
                <w:szCs w:val="24"/>
              </w:rPr>
              <w:t>Was able to reduce the emission of gases that trigger climate change by at least 185 tonnes annually.</w:t>
            </w:r>
          </w:p>
        </w:tc>
      </w:tr>
    </w:tbl>
    <w:p>
      <w:pPr>
        <w:spacing w:line="480" w:lineRule="auto"/>
        <w:rPr>
          <w:rFonts w:ascii="Times New Roman" w:hAnsi="Times New Roman" w:cs="Times New Roman"/>
          <w:i/>
          <w:sz w:val="24"/>
          <w:szCs w:val="24"/>
        </w:rPr>
      </w:pPr>
      <w:r>
        <w:rPr>
          <w:rFonts w:ascii="Times New Roman" w:hAnsi="Times New Roman" w:cs="Times New Roman"/>
          <w:i/>
          <w:sz w:val="24"/>
          <w:szCs w:val="24"/>
        </w:rPr>
        <w:t>Table 3: Summary of the ‘Tap into Savings’ Initiative</w:t>
      </w:r>
    </w:p>
    <w:p>
      <w:pPr>
        <w:pStyle w:val="2"/>
        <w:spacing w:line="480" w:lineRule="auto"/>
        <w:jc w:val="left"/>
        <w:rPr>
          <w:rFonts w:ascii="Times New Roman" w:hAnsi="Times New Roman" w:cs="Times New Roman"/>
          <w:color w:val="auto"/>
          <w:sz w:val="24"/>
          <w:szCs w:val="24"/>
        </w:rPr>
      </w:pPr>
      <w:bookmarkStart w:id="7" w:name="_Toc22646"/>
      <w:r>
        <w:rPr>
          <w:rFonts w:ascii="Times New Roman" w:hAnsi="Times New Roman" w:cs="Times New Roman"/>
          <w:color w:val="auto"/>
          <w:sz w:val="24"/>
          <w:szCs w:val="24"/>
        </w:rPr>
        <w:t>4.0 Discussion</w:t>
      </w:r>
      <w:bookmarkEnd w:id="7"/>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Governments are the main drivers and promoters of Corporate Social Responsibility (Tang et al., 2018) and the UN development goals. Over the years, governments and the public sectors have become more involved in the initially private sphere. Knudsen and Moon (2017) report that initially, the role of the government in CSR was to offer voluntary private regulation. Gradually however, governments have become more involved, mainly with the aim of promoting and protecting social objectives as stipulated in the UN sustainable development goals.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major channel that the UK government uses to drive CSR is establishing initiatives that protect and promote social objectives. To fit in the scope, the initiatives are structured in a way that they incorporate the core characteristics of CSR. These characteristics include voluntary participation, managing externalities, orientation of multiple stakeholders, values and practices, and beyond philanthropy (Jamali and Mirshak, 2007).  Looking at the three examples of UK government’s initiatives, in all of them, the government opens them up for other public sectors and private organizations to volunteer and provide additional input. More specifically, for example in the case of ‘Tap into Savings’, organizations, both private and public, were encouraged to donate the efficiency devices for delivery to the various homes. This further encourages the private sector’s participation and involvement in the realization of the ‘water efficiency’ social objective.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More, the initiatives are also meant to manage externalities, in this case, water wastage and possible water shortages. All the identified initiatives were aimed at enlightening the public on the benefits and means of water efficiency, and sometimes providing the necessary tools to enable water conservation. The initiatives were also aimed at enabling collaboration between water suppliers and water consumers. Just as required in CSR, there were also a number of stakeholders. In the identified initiatives for example, the government highly engaged water companies, the business community, the local community, education centres, and the private sector. Among other things, these stakeholders help in the decision making process, financial contribution through charitable money donations, and in any other input that the projects require.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The initiatives are drivers of water use efficiency (UN development goal-6), present several benefits to the government, the stakeholders, and the public. Through the initiatives, the government is able to garner help in delivering social objectives. For example, it is the duty of the UK government to ensure that all citizens have access to clean and safe water. Through the initiatives, the government has been able to bring in the support of the private sector and the local communities, into delivering its mandate. The stakeholders, particularly the private sector, also derive CSR related benefits from such initiatives. According to Du, Bhattacharya and Sen (2010), these benefits include improved brand recognition and a positive business reputation. The initiative activities have provided the organizations with an opportunity to present themselves to the public and to engage and interact with customers on a philanthropic cause. </w:t>
      </w:r>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public is also a primary beneficiary of such government initiatives. For instance, through the initiatives, local populations learn more about methods of water conservation and also receive free goodies, particularly in the ‘Tap to Savings’ programme. The realization of the social objective of water efficiency is also beneficial, both to the current and future generations. </w:t>
      </w:r>
    </w:p>
    <w:p>
      <w:pPr>
        <w:pStyle w:val="2"/>
        <w:spacing w:line="480" w:lineRule="auto"/>
        <w:jc w:val="left"/>
        <w:rPr>
          <w:rFonts w:ascii="Times New Roman" w:hAnsi="Times New Roman" w:cs="Times New Roman"/>
          <w:color w:val="auto"/>
          <w:sz w:val="24"/>
          <w:szCs w:val="24"/>
        </w:rPr>
      </w:pPr>
      <w:bookmarkStart w:id="8" w:name="_Toc26253"/>
      <w:r>
        <w:rPr>
          <w:rFonts w:ascii="Times New Roman" w:hAnsi="Times New Roman" w:cs="Times New Roman"/>
          <w:color w:val="auto"/>
          <w:sz w:val="24"/>
          <w:szCs w:val="24"/>
        </w:rPr>
        <w:t>5.0 Conclusion</w:t>
      </w:r>
      <w:bookmarkEnd w:id="8"/>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This paper has effectively met its objectives by sufficiently reviewing three water efficiency initiatives in the UK and discussing the associated CSR relevant to the initiative and UN development goal number 6.  From the study, it is evident that the UK government’s water-efficiency initiatives are primarily meant to encourage CSR inputs from the private sector to help achieve the UN development goal. To increase appeal to potential stakeholders, the initiatives are modelled and characterised as CSRs and are positioned as a basis on which the private organizations can build on to deliver value and to give back to the society. As a result, all parties involved end up benefitting including government agencies, private stakeholders and even local communities. </w:t>
      </w:r>
    </w:p>
    <w:p>
      <w:pPr>
        <w:spacing w:line="480" w:lineRule="auto"/>
        <w:rPr>
          <w:rFonts w:ascii="Times New Roman" w:hAnsi="Times New Roman" w:cs="Times New Roman"/>
          <w:sz w:val="24"/>
          <w:szCs w:val="24"/>
        </w:rPr>
      </w:pPr>
      <w:r>
        <w:rPr>
          <w:rFonts w:ascii="Times New Roman" w:hAnsi="Times New Roman" w:cs="Times New Roman"/>
          <w:sz w:val="24"/>
          <w:szCs w:val="24"/>
        </w:rPr>
        <w:t>Moreover, the initiatives also manage externalities such as water wastage and shortages to help increase water use efficiency. At the same time the initiatives enlighten the public on the means and benefits of water efficiency while providing them with the necessary tools to increase water conservation. As drivers of CSR, the initiatives present multiple benefits not only to the UK government but also to private stakeholders and the public. Through the initiatives, the UK has adequately delivered its social objectives with regard to the UN Development goal. For instance, the government has increased access to clean and safe water while increasing awareness on the importance of water conservation.</w:t>
      </w: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spacing w:line="480" w:lineRule="auto"/>
        <w:rPr>
          <w:rFonts w:ascii="Times New Roman" w:hAnsi="Times New Roman" w:cs="Times New Roman"/>
          <w:sz w:val="24"/>
          <w:szCs w:val="24"/>
        </w:rPr>
      </w:pPr>
    </w:p>
    <w:p>
      <w:pPr>
        <w:pStyle w:val="2"/>
        <w:spacing w:line="480" w:lineRule="auto"/>
        <w:jc w:val="left"/>
        <w:rPr>
          <w:rFonts w:ascii="Times New Roman" w:hAnsi="Times New Roman" w:cs="Times New Roman"/>
          <w:color w:val="auto"/>
          <w:sz w:val="24"/>
          <w:szCs w:val="24"/>
        </w:rPr>
      </w:pPr>
      <w:bookmarkStart w:id="9" w:name="_Toc20658"/>
      <w:r>
        <w:rPr>
          <w:rFonts w:hint="default" w:ascii="Times New Roman" w:hAnsi="Times New Roman" w:cs="Times New Roman"/>
          <w:color w:val="auto"/>
          <w:sz w:val="24"/>
          <w:szCs w:val="24"/>
          <w:lang w:val="en-GB"/>
        </w:rPr>
        <w:t>6</w:t>
      </w:r>
      <w:r>
        <w:rPr>
          <w:rFonts w:ascii="Times New Roman" w:hAnsi="Times New Roman" w:cs="Times New Roman"/>
          <w:color w:val="auto"/>
          <w:sz w:val="24"/>
          <w:szCs w:val="24"/>
        </w:rPr>
        <w:t>.0 Recommendations</w:t>
      </w:r>
      <w:bookmarkEnd w:id="9"/>
    </w:p>
    <w:p>
      <w:pPr>
        <w:spacing w:line="480" w:lineRule="auto"/>
        <w:rPr>
          <w:rFonts w:ascii="Times New Roman" w:hAnsi="Times New Roman" w:cs="Times New Roman"/>
          <w:sz w:val="24"/>
          <w:szCs w:val="24"/>
        </w:rPr>
      </w:pPr>
      <w:r>
        <w:rPr>
          <w:rFonts w:ascii="Times New Roman" w:hAnsi="Times New Roman" w:cs="Times New Roman"/>
          <w:sz w:val="24"/>
          <w:szCs w:val="24"/>
        </w:rPr>
        <w:t xml:space="preserve">From the identified initiatives, it appears that the UK government has not been very keen on incentivising the private sector into engaging and assisting in the achievement of the UN development goal. To encourage more participation and involvement in future projects, the government should consider providing incentives such as tax exemptions. Additionally, the government can encourage voluntary participation of the public by providing certificates of participation to active members of the public. Finally, the government can also push for the delivery of annual reports for each initiative for scholarly use. </w:t>
      </w:r>
    </w:p>
    <w:p>
      <w:pPr>
        <w:spacing w:line="480" w:lineRule="auto"/>
        <w:rPr>
          <w:rFonts w:ascii="Times New Roman" w:hAnsi="Times New Roman" w:cs="Times New Roman" w:eastAsiaTheme="majorEastAsia"/>
          <w:b/>
          <w:bCs/>
          <w:sz w:val="24"/>
          <w:szCs w:val="24"/>
        </w:rPr>
      </w:pPr>
    </w:p>
    <w:p>
      <w:pPr>
        <w:spacing w:line="480" w:lineRule="auto"/>
        <w:rPr>
          <w:rFonts w:ascii="Times New Roman" w:hAnsi="Times New Roman" w:cs="Times New Roman" w:eastAsiaTheme="majorEastAsia"/>
          <w:b/>
          <w:bCs/>
          <w:sz w:val="24"/>
          <w:szCs w:val="24"/>
        </w:rPr>
      </w:pPr>
    </w:p>
    <w:p>
      <w:pPr>
        <w:spacing w:line="480" w:lineRule="auto"/>
        <w:rPr>
          <w:rFonts w:ascii="Times New Roman" w:hAnsi="Times New Roman" w:cs="Times New Roman" w:eastAsiaTheme="majorEastAsia"/>
          <w:b/>
          <w:bCs/>
          <w:sz w:val="24"/>
          <w:szCs w:val="24"/>
        </w:rPr>
      </w:pPr>
    </w:p>
    <w:p>
      <w:pPr>
        <w:spacing w:line="480" w:lineRule="auto"/>
        <w:rPr>
          <w:rFonts w:ascii="Times New Roman" w:hAnsi="Times New Roman" w:cs="Times New Roman" w:eastAsiaTheme="majorEastAsia"/>
          <w:b/>
          <w:bCs/>
          <w:sz w:val="24"/>
          <w:szCs w:val="24"/>
        </w:rPr>
      </w:pPr>
    </w:p>
    <w:p>
      <w:pPr>
        <w:spacing w:line="480" w:lineRule="auto"/>
        <w:rPr>
          <w:rFonts w:ascii="Times New Roman" w:hAnsi="Times New Roman" w:cs="Times New Roman" w:eastAsiaTheme="majorEastAsia"/>
          <w:b/>
          <w:bCs/>
          <w:sz w:val="24"/>
          <w:szCs w:val="24"/>
        </w:rPr>
      </w:pPr>
    </w:p>
    <w:p>
      <w:pPr>
        <w:spacing w:line="480" w:lineRule="auto"/>
        <w:rPr>
          <w:rFonts w:ascii="Times New Roman" w:hAnsi="Times New Roman" w:cs="Times New Roman" w:eastAsiaTheme="majorEastAsia"/>
          <w:b/>
          <w:bCs/>
          <w:sz w:val="24"/>
          <w:szCs w:val="24"/>
        </w:rPr>
      </w:pPr>
    </w:p>
    <w:p>
      <w:pPr>
        <w:spacing w:line="480" w:lineRule="auto"/>
        <w:rPr>
          <w:rFonts w:ascii="Times New Roman" w:hAnsi="Times New Roman" w:cs="Times New Roman" w:eastAsiaTheme="majorEastAsia"/>
          <w:b/>
          <w:bCs/>
          <w:sz w:val="24"/>
          <w:szCs w:val="24"/>
        </w:rPr>
      </w:pPr>
    </w:p>
    <w:p>
      <w:pPr>
        <w:spacing w:line="480" w:lineRule="auto"/>
        <w:rPr>
          <w:rFonts w:ascii="Times New Roman" w:hAnsi="Times New Roman" w:cs="Times New Roman" w:eastAsiaTheme="majorEastAsia"/>
          <w:b/>
          <w:bCs/>
          <w:sz w:val="24"/>
          <w:szCs w:val="24"/>
        </w:rPr>
      </w:pPr>
    </w:p>
    <w:p>
      <w:pPr>
        <w:spacing w:line="480" w:lineRule="auto"/>
        <w:rPr>
          <w:rFonts w:ascii="Times New Roman" w:hAnsi="Times New Roman" w:cs="Times New Roman" w:eastAsiaTheme="majorEastAsia"/>
          <w:b/>
          <w:bCs/>
          <w:sz w:val="24"/>
          <w:szCs w:val="24"/>
        </w:rPr>
      </w:pPr>
    </w:p>
    <w:p>
      <w:pPr>
        <w:spacing w:line="480" w:lineRule="auto"/>
        <w:rPr>
          <w:rFonts w:ascii="Times New Roman" w:hAnsi="Times New Roman" w:cs="Times New Roman" w:eastAsiaTheme="majorEastAsia"/>
          <w:b/>
          <w:bCs/>
          <w:sz w:val="24"/>
          <w:szCs w:val="24"/>
        </w:rPr>
      </w:pPr>
    </w:p>
    <w:p>
      <w:pPr>
        <w:spacing w:line="480" w:lineRule="auto"/>
        <w:rPr>
          <w:rFonts w:ascii="Times New Roman" w:hAnsi="Times New Roman" w:cs="Times New Roman" w:eastAsiaTheme="majorEastAsia"/>
          <w:b/>
          <w:bCs/>
          <w:sz w:val="24"/>
          <w:szCs w:val="24"/>
        </w:rPr>
      </w:pPr>
    </w:p>
    <w:p>
      <w:pPr>
        <w:pStyle w:val="2"/>
        <w:spacing w:line="480" w:lineRule="auto"/>
        <w:jc w:val="left"/>
        <w:rPr>
          <w:rFonts w:ascii="Times New Roman" w:hAnsi="Times New Roman" w:cs="Times New Roman"/>
          <w:color w:val="auto"/>
          <w:sz w:val="24"/>
          <w:szCs w:val="24"/>
        </w:rPr>
      </w:pPr>
      <w:bookmarkStart w:id="10" w:name="_Toc27318"/>
      <w:r>
        <w:rPr>
          <w:rFonts w:hint="default" w:ascii="Times New Roman" w:hAnsi="Times New Roman" w:cs="Times New Roman"/>
          <w:color w:val="auto"/>
          <w:sz w:val="24"/>
          <w:szCs w:val="24"/>
          <w:lang w:val="en-GB"/>
        </w:rPr>
        <w:t>7</w:t>
      </w:r>
      <w:r>
        <w:rPr>
          <w:rFonts w:ascii="Times New Roman" w:hAnsi="Times New Roman" w:cs="Times New Roman"/>
          <w:color w:val="auto"/>
          <w:sz w:val="24"/>
          <w:szCs w:val="24"/>
        </w:rPr>
        <w:t>.0 References</w:t>
      </w:r>
      <w:bookmarkEnd w:id="10"/>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Cook, C., 2017. Drought Planning in England: A Primer. Environmental Change Institute, University of Oxford.</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Du, S., Bhattacharya, C.B. and Sen, S., 2010. Maximizing business returns to corporate social responsibility (CSR): The role of CSR communication. International journal of management reviews, 12(1), pp.8-19.</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Gleick, P. H., Christian-Smith, J., and Cooley, H. (2011). Water-use efficiency and productivity: rethinking the basin approach. Water International, 36(7), 784-798.</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Graymore, M.L. and Wallis, A.M., 2010. Water savings or water efficiency? Water-use attitudes and behaviour in rural and regional areas. International journal of sustainable development &amp; world ecology, 17(1), pp.84-93.</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Groenfeldt, D., 2019. Water ethics: A values approach to solving the water crisis. Routledge.</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Hoolohan, C. and Browne, A., 2016. Reframing water efficiency: Determining collective approaches to change water use in the home. British Journal of Environment and Climate Change, 6, pp.179-191.</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Hoolohan, C. and Browne, A.L., 2018. Reimagining spaces of innovation for water efficiency and demand management: An exploration of professional practices in the English water sector. Water Alternatives, 11(3), p.957.</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Jack, B. and Petetin, L., 2018. Environmental principles and governance after EU exit Consultation paper.</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Jamali, D. and Mirshak, R., 2007. Corporate social responsibility (CSR): Theory and practice in a developing country context. Journal of business ethics, 72(3), pp.243-262.</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Jones, P. and Comfort, D., 2020. Water resource issues and spatial planning. Town and Country Planning, pp.30-36.</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Knudsen, J.S. and Moon, J., 2017. Visible hands: Government regulation and international business responsibility. Cambridge University Press.</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Liu, A., Turner, A.J. and White, S., 2017. Assessment of Future Water Efficiency Measures.</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Manouseli, D., 2017. Evaluation of residential water efficiency programmes in the UK (Doctoral dissertation, Loughborough University).</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Manouseli, D., Kayaga, S.M. and Kalawsky, R., 2019. Evaluating the effectiveness of residential water efficiency initiatives in England: Influencing factors and policy implications. Water Resources Management, 33(7), pp.2219-2238.</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Manouseli, D., Kayaga, S.M. and Kalawsky, R., 2017. Evaluation of water efficiency programs in single-family households in the UK: a case study. Water Science and Technology: Water Supply, 17(6), pp.1785-1792.</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Morley, N. J., and Lewis, J. W. 2014. Extreme climatic events and host–pathogen interactions: The impact of the 1976 drought in the UK. Ecological complexity, 17, 1-19.</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Murrant, D., Quinn, A., Chapman, L. and Heaton, C., 2017. Water use of the UK thermal electricity generation fleet by 2050: Part 2 quantifying the problem. Energy Policy, 108, pp.859-874.</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Orr, P., Papadopoulou, L., Twigger-Ross, C., House, N. and London, S., 2018. Water Efficiency and Behaviour Change Rapid Evidence Assessment (REA).</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 xml:space="preserve">Pankhani, T. and Jenkins, J., 2018. Attitudes, behaviour, and engagement toward water consumption and conservation in a higher education setting. </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Parry, S., Hannaford, J., Lloyd-Hughes, B. and Prudhomme, C., 2018. Multi-year droughts in Europe: analysis of development and causes. Hydrology Research, 43(5), pp.689-706.</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Rahiz, M. and New, M., 2013. 21st century drought scenarios for the UK. Water resources management, 27(4), pp.1039-1061.</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Ryan, S. and Burton, A., 2016. Integrated water planning strategies to implement before 2020 and beyond.</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Samraj, B. 2018. Writing a Research Article. In The Palgrave Handbook of Applied Linguistics Research Methodology (pp. 199-219). Palgrave Macmillan, London.</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Tang, Y., Ma, Y., Wong, C.W. and Miao, X., 2018. Evolution of government policies on guiding corporate social responsibility in China. Sustainability, 10(3), p.741.</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 xml:space="preserve">United Nations. (2019). Sustainable development goals 6 info and progress. Retrieved from </w:t>
      </w:r>
      <w:r>
        <w:fldChar w:fldCharType="begin"/>
      </w:r>
      <w:r>
        <w:instrText xml:space="preserve"> HYPERLINK "https://sustainabledevelopment.un.org/sdg6" </w:instrText>
      </w:r>
      <w:r>
        <w:fldChar w:fldCharType="separate"/>
      </w:r>
      <w:r>
        <w:rPr>
          <w:rStyle w:val="12"/>
        </w:rPr>
        <w:t>https://sustainabledevelopment.un.org/sdg6</w:t>
      </w:r>
      <w:r>
        <w:rPr>
          <w:rStyle w:val="12"/>
        </w:rPr>
        <w:fldChar w:fldCharType="end"/>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Watson, S., 2017. Consuming water smartly: the significance of sociocultural differences to water-saving initiatives. Local Environment, 22(10), pp.1237-1251.</w:t>
      </w:r>
    </w:p>
    <w:p>
      <w:pPr>
        <w:numPr>
          <w:ilvl w:val="0"/>
          <w:numId w:val="4"/>
        </w:numPr>
        <w:spacing w:line="480" w:lineRule="auto"/>
        <w:ind w:left="425" w:leftChars="0" w:hanging="425" w:firstLineChars="0"/>
        <w:rPr>
          <w:rFonts w:ascii="Times New Roman" w:hAnsi="Times New Roman" w:cs="Times New Roman"/>
          <w:sz w:val="24"/>
          <w:szCs w:val="24"/>
        </w:rPr>
      </w:pPr>
      <w:r>
        <w:rPr>
          <w:rFonts w:ascii="Times New Roman" w:hAnsi="Times New Roman" w:cs="Times New Roman"/>
          <w:sz w:val="24"/>
          <w:szCs w:val="24"/>
        </w:rPr>
        <w:t>Watson, S., 2019. Consuming Water: Habits, Rituals and State Interventions. In City Water Matters (pp. 43-72). Palgrave Macmillan, Singapore.</w:t>
      </w:r>
    </w:p>
    <w:sectPr>
      <w:headerReference r:id="rId3" w:type="default"/>
      <w:pgSz w:w="11906" w:h="16838"/>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155912908"/>
      <w:docPartObj>
        <w:docPartGallery w:val="autotext"/>
      </w:docPartObj>
    </w:sdtPr>
    <w:sdtContent>
      <w:p>
        <w:pPr>
          <w:pStyle w:val="6"/>
          <w:jc w:val="right"/>
        </w:pPr>
        <w:r>
          <w:fldChar w:fldCharType="begin"/>
        </w:r>
        <w:r>
          <w:instrText xml:space="preserve"> PAGE   \* MERGEFORMAT </w:instrText>
        </w:r>
        <w:r>
          <w:fldChar w:fldCharType="separate"/>
        </w:r>
        <w:r>
          <w:t>16</w:t>
        </w:r>
        <w:r>
          <w:fldChar w:fldCharType="end"/>
        </w:r>
      </w:p>
    </w:sdtContent>
  </w:sdt>
  <w:p>
    <w:pPr>
      <w:pStyle w:val="6"/>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33F5B6B"/>
    <w:multiLevelType w:val="singleLevel"/>
    <w:tmpl w:val="933F5B6B"/>
    <w:lvl w:ilvl="0" w:tentative="0">
      <w:start w:val="1"/>
      <w:numFmt w:val="decimal"/>
      <w:lvlText w:val="%1."/>
      <w:lvlJc w:val="left"/>
      <w:pPr>
        <w:ind w:left="425" w:hanging="425"/>
      </w:pPr>
      <w:rPr>
        <w:rFonts w:hint="default"/>
      </w:rPr>
    </w:lvl>
  </w:abstractNum>
  <w:abstractNum w:abstractNumId="1">
    <w:nsid w:val="0C456E1A"/>
    <w:multiLevelType w:val="multilevel"/>
    <w:tmpl w:val="0C456E1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8E812EF"/>
    <w:multiLevelType w:val="multilevel"/>
    <w:tmpl w:val="28E812EF"/>
    <w:lvl w:ilvl="0" w:tentative="0">
      <w:start w:val="3"/>
      <w:numFmt w:val="decimal"/>
      <w:lvlText w:val="%1"/>
      <w:lvlJc w:val="left"/>
      <w:pPr>
        <w:ind w:left="360" w:hanging="360"/>
      </w:pPr>
      <w:rPr>
        <w:rFonts w:hint="default"/>
      </w:rPr>
    </w:lvl>
    <w:lvl w:ilvl="1" w:tentative="0">
      <w:start w:val="1"/>
      <w:numFmt w:val="decimal"/>
      <w:lvlText w:val="%1.%2"/>
      <w:lvlJc w:val="left"/>
      <w:pPr>
        <w:ind w:left="720" w:hanging="720"/>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1080" w:hanging="1080"/>
      </w:pPr>
      <w:rPr>
        <w:rFonts w:hint="default"/>
      </w:rPr>
    </w:lvl>
    <w:lvl w:ilvl="4" w:tentative="0">
      <w:start w:val="1"/>
      <w:numFmt w:val="decimal"/>
      <w:lvlText w:val="%1.%2.%3.%4.%5"/>
      <w:lvlJc w:val="left"/>
      <w:pPr>
        <w:ind w:left="1080" w:hanging="1080"/>
      </w:pPr>
      <w:rPr>
        <w:rFonts w:hint="default"/>
      </w:rPr>
    </w:lvl>
    <w:lvl w:ilvl="5" w:tentative="0">
      <w:start w:val="1"/>
      <w:numFmt w:val="decimal"/>
      <w:lvlText w:val="%1.%2.%3.%4.%5.%6"/>
      <w:lvlJc w:val="left"/>
      <w:pPr>
        <w:ind w:left="1440" w:hanging="1440"/>
      </w:pPr>
      <w:rPr>
        <w:rFonts w:hint="default"/>
      </w:rPr>
    </w:lvl>
    <w:lvl w:ilvl="6" w:tentative="0">
      <w:start w:val="1"/>
      <w:numFmt w:val="decimal"/>
      <w:lvlText w:val="%1.%2.%3.%4.%5.%6.%7"/>
      <w:lvlJc w:val="left"/>
      <w:pPr>
        <w:ind w:left="1800" w:hanging="1800"/>
      </w:pPr>
      <w:rPr>
        <w:rFonts w:hint="default"/>
      </w:rPr>
    </w:lvl>
    <w:lvl w:ilvl="7" w:tentative="0">
      <w:start w:val="1"/>
      <w:numFmt w:val="decimal"/>
      <w:lvlText w:val="%1.%2.%3.%4.%5.%6.%7.%8"/>
      <w:lvlJc w:val="left"/>
      <w:pPr>
        <w:ind w:left="1800" w:hanging="1800"/>
      </w:pPr>
      <w:rPr>
        <w:rFonts w:hint="default"/>
      </w:rPr>
    </w:lvl>
    <w:lvl w:ilvl="8" w:tentative="0">
      <w:start w:val="1"/>
      <w:numFmt w:val="decimal"/>
      <w:lvlText w:val="%1.%2.%3.%4.%5.%6.%7.%8.%9"/>
      <w:lvlJc w:val="left"/>
      <w:pPr>
        <w:ind w:left="2160" w:hanging="2160"/>
      </w:pPr>
      <w:rPr>
        <w:rFonts w:hint="default"/>
      </w:rPr>
    </w:lvl>
  </w:abstractNum>
  <w:abstractNum w:abstractNumId="3">
    <w:nsid w:val="3F5B52FC"/>
    <w:multiLevelType w:val="multilevel"/>
    <w:tmpl w:val="3F5B52F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406A"/>
    <w:rsid w:val="00014EDA"/>
    <w:rsid w:val="00055AB0"/>
    <w:rsid w:val="0008406A"/>
    <w:rsid w:val="000A715C"/>
    <w:rsid w:val="000C3D87"/>
    <w:rsid w:val="000E1CAA"/>
    <w:rsid w:val="00101DCF"/>
    <w:rsid w:val="00170BC7"/>
    <w:rsid w:val="001A2245"/>
    <w:rsid w:val="00222627"/>
    <w:rsid w:val="0023317D"/>
    <w:rsid w:val="00263347"/>
    <w:rsid w:val="002B3381"/>
    <w:rsid w:val="002C3EF8"/>
    <w:rsid w:val="002E074F"/>
    <w:rsid w:val="002F5F7B"/>
    <w:rsid w:val="003022E8"/>
    <w:rsid w:val="003109E2"/>
    <w:rsid w:val="003868C5"/>
    <w:rsid w:val="0039213D"/>
    <w:rsid w:val="00396783"/>
    <w:rsid w:val="003E3BF9"/>
    <w:rsid w:val="00406BBD"/>
    <w:rsid w:val="0040759D"/>
    <w:rsid w:val="00445AC1"/>
    <w:rsid w:val="004E7D0E"/>
    <w:rsid w:val="00581F21"/>
    <w:rsid w:val="005942DA"/>
    <w:rsid w:val="005F1180"/>
    <w:rsid w:val="00656FFA"/>
    <w:rsid w:val="006641A2"/>
    <w:rsid w:val="006A442B"/>
    <w:rsid w:val="006C68E8"/>
    <w:rsid w:val="006E163B"/>
    <w:rsid w:val="006E3E52"/>
    <w:rsid w:val="006E59D8"/>
    <w:rsid w:val="0072240A"/>
    <w:rsid w:val="00740DCD"/>
    <w:rsid w:val="00744684"/>
    <w:rsid w:val="00777EDA"/>
    <w:rsid w:val="007B71A8"/>
    <w:rsid w:val="007F09D9"/>
    <w:rsid w:val="00805E75"/>
    <w:rsid w:val="00830915"/>
    <w:rsid w:val="00851B8B"/>
    <w:rsid w:val="00894442"/>
    <w:rsid w:val="008F19DD"/>
    <w:rsid w:val="00911B23"/>
    <w:rsid w:val="009210AE"/>
    <w:rsid w:val="00945CFC"/>
    <w:rsid w:val="00946E4B"/>
    <w:rsid w:val="009670E0"/>
    <w:rsid w:val="00983608"/>
    <w:rsid w:val="00993001"/>
    <w:rsid w:val="009C0216"/>
    <w:rsid w:val="009D3867"/>
    <w:rsid w:val="00A07EF9"/>
    <w:rsid w:val="00A2598D"/>
    <w:rsid w:val="00A7240D"/>
    <w:rsid w:val="00A87DC5"/>
    <w:rsid w:val="00AC1A60"/>
    <w:rsid w:val="00AF181F"/>
    <w:rsid w:val="00B14402"/>
    <w:rsid w:val="00B276DE"/>
    <w:rsid w:val="00B61514"/>
    <w:rsid w:val="00B6726F"/>
    <w:rsid w:val="00BA2AA6"/>
    <w:rsid w:val="00BC2E2F"/>
    <w:rsid w:val="00BE19A7"/>
    <w:rsid w:val="00C05B94"/>
    <w:rsid w:val="00CB1603"/>
    <w:rsid w:val="00CC4121"/>
    <w:rsid w:val="00CE29C8"/>
    <w:rsid w:val="00CE5431"/>
    <w:rsid w:val="00CF7282"/>
    <w:rsid w:val="00D80128"/>
    <w:rsid w:val="00D83A66"/>
    <w:rsid w:val="00DA5FB0"/>
    <w:rsid w:val="00DB2A8A"/>
    <w:rsid w:val="00DF356C"/>
    <w:rsid w:val="00E04817"/>
    <w:rsid w:val="00EA141C"/>
    <w:rsid w:val="00EA568B"/>
    <w:rsid w:val="00ED2569"/>
    <w:rsid w:val="00F36736"/>
    <w:rsid w:val="00F54AC1"/>
    <w:rsid w:val="00F762B8"/>
    <w:rsid w:val="00F97326"/>
    <w:rsid w:val="00FB0909"/>
    <w:rsid w:val="00FB6065"/>
    <w:rsid w:val="00FC3464"/>
    <w:rsid w:val="00FC5AA0"/>
    <w:rsid w:val="00FD2737"/>
    <w:rsid w:val="00FE1B60"/>
    <w:rsid w:val="2B060700"/>
    <w:rsid w:val="45E978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4"/>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19"/>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default="1" w:styleId="11">
    <w:name w:val="Default Paragraph Font"/>
    <w:semiHidden/>
    <w:unhideWhenUsed/>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4">
    <w:name w:val="Balloon Text"/>
    <w:basedOn w:val="1"/>
    <w:link w:val="18"/>
    <w:semiHidden/>
    <w:unhideWhenUsed/>
    <w:qFormat/>
    <w:uiPriority w:val="99"/>
    <w:pPr>
      <w:spacing w:after="0" w:line="240" w:lineRule="auto"/>
    </w:pPr>
    <w:rPr>
      <w:rFonts w:ascii="Tahoma" w:hAnsi="Tahoma" w:cs="Tahoma"/>
      <w:sz w:val="16"/>
      <w:szCs w:val="16"/>
    </w:rPr>
  </w:style>
  <w:style w:type="paragraph" w:styleId="5">
    <w:name w:val="footer"/>
    <w:basedOn w:val="1"/>
    <w:link w:val="16"/>
    <w:unhideWhenUsed/>
    <w:qFormat/>
    <w:uiPriority w:val="99"/>
    <w:pPr>
      <w:tabs>
        <w:tab w:val="center" w:pos="4513"/>
        <w:tab w:val="right" w:pos="9026"/>
      </w:tabs>
      <w:spacing w:after="0" w:line="240" w:lineRule="auto"/>
    </w:pPr>
  </w:style>
  <w:style w:type="paragraph" w:styleId="6">
    <w:name w:val="header"/>
    <w:basedOn w:val="1"/>
    <w:link w:val="15"/>
    <w:unhideWhenUsed/>
    <w:uiPriority w:val="99"/>
    <w:pPr>
      <w:tabs>
        <w:tab w:val="center" w:pos="4513"/>
        <w:tab w:val="right" w:pos="9026"/>
      </w:tabs>
      <w:spacing w:after="0" w:line="240" w:lineRule="auto"/>
    </w:pPr>
  </w:style>
  <w:style w:type="paragraph" w:styleId="7">
    <w:name w:val="toc 1"/>
    <w:basedOn w:val="1"/>
    <w:next w:val="1"/>
    <w:unhideWhenUsed/>
    <w:qFormat/>
    <w:uiPriority w:val="39"/>
    <w:pPr>
      <w:spacing w:after="100"/>
    </w:pPr>
  </w:style>
  <w:style w:type="paragraph" w:styleId="8">
    <w:name w:val="toc 2"/>
    <w:basedOn w:val="1"/>
    <w:next w:val="1"/>
    <w:unhideWhenUsed/>
    <w:qFormat/>
    <w:uiPriority w:val="39"/>
    <w:pPr>
      <w:spacing w:after="100"/>
      <w:ind w:left="220"/>
    </w:pPr>
  </w:style>
  <w:style w:type="table" w:styleId="10">
    <w:name w:val="Table Grid"/>
    <w:basedOn w:val="9"/>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Hyperlink"/>
    <w:basedOn w:val="11"/>
    <w:unhideWhenUsed/>
    <w:uiPriority w:val="99"/>
    <w:rPr>
      <w:color w:val="0000FF" w:themeColor="hyperlink"/>
      <w:u w:val="single"/>
      <w14:textFill>
        <w14:solidFill>
          <w14:schemeClr w14:val="hlink"/>
        </w14:solidFill>
      </w14:textFill>
    </w:rPr>
  </w:style>
  <w:style w:type="paragraph" w:styleId="13">
    <w:name w:val="List Paragraph"/>
    <w:basedOn w:val="1"/>
    <w:qFormat/>
    <w:uiPriority w:val="34"/>
    <w:pPr>
      <w:ind w:left="720"/>
      <w:contextualSpacing/>
    </w:pPr>
  </w:style>
  <w:style w:type="character" w:customStyle="1" w:styleId="14">
    <w:name w:val="Heading 1 Char"/>
    <w:basedOn w:val="11"/>
    <w:link w:val="2"/>
    <w:qFormat/>
    <w:uiPriority w:val="9"/>
    <w:rPr>
      <w:rFonts w:asciiTheme="majorHAnsi" w:hAnsiTheme="majorHAnsi" w:eastAsiaTheme="majorEastAsia" w:cstheme="majorBidi"/>
      <w:b/>
      <w:bCs/>
      <w:color w:val="376092" w:themeColor="accent1" w:themeShade="BF"/>
      <w:sz w:val="28"/>
      <w:szCs w:val="28"/>
    </w:rPr>
  </w:style>
  <w:style w:type="character" w:customStyle="1" w:styleId="15">
    <w:name w:val="Header Char"/>
    <w:basedOn w:val="11"/>
    <w:link w:val="6"/>
    <w:uiPriority w:val="99"/>
  </w:style>
  <w:style w:type="character" w:customStyle="1" w:styleId="16">
    <w:name w:val="Footer Char"/>
    <w:basedOn w:val="11"/>
    <w:link w:val="5"/>
    <w:qFormat/>
    <w:uiPriority w:val="99"/>
  </w:style>
  <w:style w:type="paragraph" w:customStyle="1" w:styleId="17">
    <w:name w:val="TOC Heading"/>
    <w:basedOn w:val="2"/>
    <w:next w:val="1"/>
    <w:semiHidden/>
    <w:unhideWhenUsed/>
    <w:qFormat/>
    <w:uiPriority w:val="39"/>
    <w:pPr>
      <w:outlineLvl w:val="9"/>
    </w:pPr>
    <w:rPr>
      <w:lang w:val="en-US" w:eastAsia="ja-JP"/>
    </w:rPr>
  </w:style>
  <w:style w:type="character" w:customStyle="1" w:styleId="18">
    <w:name w:val="Balloon Text Char"/>
    <w:basedOn w:val="11"/>
    <w:link w:val="4"/>
    <w:semiHidden/>
    <w:uiPriority w:val="99"/>
    <w:rPr>
      <w:rFonts w:ascii="Tahoma" w:hAnsi="Tahoma" w:cs="Tahoma"/>
      <w:sz w:val="16"/>
      <w:szCs w:val="16"/>
    </w:rPr>
  </w:style>
  <w:style w:type="character" w:customStyle="1" w:styleId="19">
    <w:name w:val="Heading 2 Char"/>
    <w:basedOn w:val="11"/>
    <w:link w:val="3"/>
    <w:qFormat/>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8CE0718-1D1E-D14C-B849-480656ECEDC9}">
  <ds:schemaRefs/>
</ds:datastoreItem>
</file>

<file path=docProps/app.xml><?xml version="1.0" encoding="utf-8"?>
<Properties xmlns="http://schemas.openxmlformats.org/officeDocument/2006/extended-properties" xmlns:vt="http://schemas.openxmlformats.org/officeDocument/2006/docPropsVTypes">
  <Template>Normal.dotm</Template>
  <Pages>16</Pages>
  <Words>3460</Words>
  <Characters>19724</Characters>
  <Lines>164</Lines>
  <Paragraphs>46</Paragraphs>
  <TotalTime>10</TotalTime>
  <ScaleCrop>false</ScaleCrop>
  <LinksUpToDate>false</LinksUpToDate>
  <CharactersWithSpaces>23138</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2020-04-20T20:25:00Z</dcterms:created>
  <dc:creator>Admin</dc:creator>
  <cp:lastModifiedBy>J</cp:lastModifiedBy>
  <dcterms:modified xsi:type="dcterms:W3CDTF">2020-04-27T15:11:39Z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